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C8528" w14:textId="09DCAE8B" w:rsidR="000D2AA6" w:rsidRDefault="00287C66" w:rsidP="00287C66">
      <w:pPr>
        <w:jc w:val="center"/>
        <w:rPr>
          <w:b/>
          <w:bCs/>
          <w:sz w:val="28"/>
          <w:szCs w:val="28"/>
        </w:rPr>
      </w:pPr>
      <w:r w:rsidRPr="00287C66">
        <w:rPr>
          <w:b/>
          <w:bCs/>
          <w:sz w:val="28"/>
          <w:szCs w:val="28"/>
        </w:rPr>
        <w:t>Planning Working Group (PLWG) Meeting Minutes</w:t>
      </w:r>
    </w:p>
    <w:p w14:paraId="1EE0C269" w14:textId="69A63AFE" w:rsidR="00A765CC" w:rsidRPr="00A765CC" w:rsidRDefault="00796137" w:rsidP="00287C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 29</w:t>
      </w:r>
      <w:r w:rsidR="00287C66" w:rsidRPr="00287C66">
        <w:rPr>
          <w:b/>
          <w:bCs/>
          <w:sz w:val="28"/>
          <w:szCs w:val="28"/>
        </w:rPr>
        <w:t>, 2025 (</w:t>
      </w:r>
      <w:r w:rsidR="00B24967">
        <w:rPr>
          <w:b/>
          <w:bCs/>
          <w:sz w:val="28"/>
          <w:szCs w:val="28"/>
        </w:rPr>
        <w:t xml:space="preserve">In Person + </w:t>
      </w:r>
      <w:proofErr w:type="spellStart"/>
      <w:r w:rsidR="00287C66" w:rsidRPr="00287C66">
        <w:rPr>
          <w:b/>
          <w:bCs/>
          <w:sz w:val="28"/>
          <w:szCs w:val="28"/>
        </w:rPr>
        <w:t>WebEx</w:t>
      </w:r>
      <w:proofErr w:type="spellEnd"/>
      <w:r w:rsidR="00287C66" w:rsidRPr="00287C66">
        <w:rPr>
          <w:b/>
          <w:bCs/>
          <w:sz w:val="28"/>
          <w:szCs w:val="28"/>
        </w:rPr>
        <w:t>)</w:t>
      </w:r>
    </w:p>
    <w:tbl>
      <w:tblPr>
        <w:tblW w:w="495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7110"/>
        <w:gridCol w:w="1620"/>
      </w:tblGrid>
      <w:tr w:rsidR="0056135A" w:rsidRPr="00A765CC" w14:paraId="2C1C752A" w14:textId="77777777" w:rsidTr="0056135A">
        <w:trPr>
          <w:trHeight w:val="630"/>
        </w:trPr>
        <w:tc>
          <w:tcPr>
            <w:tcW w:w="291" w:type="pct"/>
            <w:hideMark/>
          </w:tcPr>
          <w:p w14:paraId="2F8EFA68" w14:textId="77777777" w:rsidR="0056135A" w:rsidRPr="00A765CC" w:rsidRDefault="0056135A" w:rsidP="00A765CC">
            <w:r w:rsidRPr="00A765CC">
              <w:rPr>
                <w:b/>
                <w:bCs/>
              </w:rPr>
              <w:t>1.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14:paraId="323D7672" w14:textId="77777777" w:rsidR="0056135A" w:rsidRDefault="0056135A" w:rsidP="00A765CC">
            <w:pPr>
              <w:rPr>
                <w:b/>
                <w:bCs/>
              </w:rPr>
            </w:pPr>
            <w:r w:rsidRPr="00A765CC">
              <w:rPr>
                <w:b/>
                <w:bCs/>
              </w:rPr>
              <w:t>Antitrust Admonition</w:t>
            </w:r>
          </w:p>
          <w:p w14:paraId="1B292D78" w14:textId="391B0657" w:rsidR="0056135A" w:rsidRPr="00A765CC" w:rsidRDefault="0056135A" w:rsidP="00A765CC">
            <w:r>
              <w:t>Antitrust admonition was given.</w:t>
            </w:r>
          </w:p>
        </w:tc>
        <w:tc>
          <w:tcPr>
            <w:tcW w:w="874" w:type="pct"/>
            <w:hideMark/>
          </w:tcPr>
          <w:p w14:paraId="15C2053A" w14:textId="77777777" w:rsidR="0056135A" w:rsidRPr="00A765CC" w:rsidRDefault="0056135A" w:rsidP="00A765CC">
            <w:r w:rsidRPr="00A765CC">
              <w:rPr>
                <w:b/>
                <w:bCs/>
              </w:rPr>
              <w:t>Chair</w:t>
            </w:r>
          </w:p>
        </w:tc>
      </w:tr>
      <w:tr w:rsidR="0056135A" w:rsidRPr="00A765CC" w14:paraId="4A04B9CE" w14:textId="77777777" w:rsidTr="0056135A">
        <w:trPr>
          <w:trHeight w:val="630"/>
        </w:trPr>
        <w:tc>
          <w:tcPr>
            <w:tcW w:w="291" w:type="pct"/>
            <w:hideMark/>
          </w:tcPr>
          <w:p w14:paraId="5AC78C3F" w14:textId="77777777" w:rsidR="0056135A" w:rsidRPr="00A765CC" w:rsidRDefault="0056135A" w:rsidP="00A765CC">
            <w:r w:rsidRPr="00A765CC">
              <w:rPr>
                <w:b/>
                <w:bCs/>
              </w:rPr>
              <w:t>2.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14:paraId="0D6A44C6" w14:textId="77777777" w:rsidR="0056135A" w:rsidRDefault="0056135A" w:rsidP="00A765CC">
            <w:pPr>
              <w:rPr>
                <w:b/>
                <w:bCs/>
              </w:rPr>
            </w:pPr>
            <w:r w:rsidRPr="00A765CC">
              <w:rPr>
                <w:b/>
                <w:bCs/>
              </w:rPr>
              <w:t>Agenda Review</w:t>
            </w:r>
          </w:p>
          <w:p w14:paraId="345C2B5F" w14:textId="03AFE6BC" w:rsidR="0056135A" w:rsidRPr="00A765CC" w:rsidRDefault="0056135A" w:rsidP="00A765CC">
            <w:r>
              <w:t>Agenda was reviewed.</w:t>
            </w:r>
          </w:p>
        </w:tc>
        <w:tc>
          <w:tcPr>
            <w:tcW w:w="874" w:type="pct"/>
            <w:hideMark/>
          </w:tcPr>
          <w:p w14:paraId="4EF8B739" w14:textId="77777777" w:rsidR="0056135A" w:rsidRPr="00A765CC" w:rsidRDefault="0056135A" w:rsidP="00A765CC">
            <w:r w:rsidRPr="00A765CC">
              <w:rPr>
                <w:b/>
                <w:bCs/>
              </w:rPr>
              <w:t>Chair</w:t>
            </w:r>
          </w:p>
        </w:tc>
      </w:tr>
      <w:tr w:rsidR="0056135A" w:rsidRPr="00A765CC" w14:paraId="7FD5B6DD" w14:textId="77777777" w:rsidTr="0056135A">
        <w:trPr>
          <w:trHeight w:val="630"/>
        </w:trPr>
        <w:tc>
          <w:tcPr>
            <w:tcW w:w="291" w:type="pct"/>
            <w:hideMark/>
          </w:tcPr>
          <w:p w14:paraId="3258EB6E" w14:textId="77777777" w:rsidR="0056135A" w:rsidRPr="00A765CC" w:rsidRDefault="0056135A" w:rsidP="00A765CC">
            <w:r w:rsidRPr="00A765CC">
              <w:rPr>
                <w:b/>
                <w:bCs/>
              </w:rPr>
              <w:t>3.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14:paraId="6418ACD8" w14:textId="4EE6ACE7" w:rsidR="0056135A" w:rsidRDefault="0056135A" w:rsidP="00A765CC">
            <w:pPr>
              <w:rPr>
                <w:b/>
                <w:bCs/>
              </w:rPr>
            </w:pPr>
            <w:r w:rsidRPr="00A765CC">
              <w:rPr>
                <w:b/>
                <w:bCs/>
              </w:rPr>
              <w:t>Review of PLWG Meeting Minutes (</w:t>
            </w:r>
            <w:r w:rsidR="00796137">
              <w:rPr>
                <w:b/>
                <w:bCs/>
              </w:rPr>
              <w:t>March 18</w:t>
            </w:r>
            <w:r w:rsidRPr="00A765CC">
              <w:rPr>
                <w:b/>
                <w:bCs/>
              </w:rPr>
              <w:t>)</w:t>
            </w:r>
          </w:p>
          <w:p w14:paraId="184C9B67" w14:textId="66E993B2" w:rsidR="0056135A" w:rsidRPr="00A765CC" w:rsidRDefault="0056135A" w:rsidP="00A765CC">
            <w:r>
              <w:t>Meeting minutes reviewed. No feedback received.</w:t>
            </w:r>
          </w:p>
        </w:tc>
        <w:tc>
          <w:tcPr>
            <w:tcW w:w="874" w:type="pct"/>
            <w:hideMark/>
          </w:tcPr>
          <w:p w14:paraId="4DF279FC" w14:textId="77777777" w:rsidR="0056135A" w:rsidRPr="00A765CC" w:rsidRDefault="0056135A" w:rsidP="00A765CC">
            <w:r w:rsidRPr="00A765CC">
              <w:rPr>
                <w:b/>
                <w:bCs/>
              </w:rPr>
              <w:t>Chair</w:t>
            </w:r>
          </w:p>
        </w:tc>
      </w:tr>
      <w:tr w:rsidR="0056135A" w:rsidRPr="00A765CC" w14:paraId="7C4DE588" w14:textId="77777777" w:rsidTr="0056135A">
        <w:trPr>
          <w:trHeight w:val="630"/>
        </w:trPr>
        <w:tc>
          <w:tcPr>
            <w:tcW w:w="291" w:type="pct"/>
            <w:hideMark/>
          </w:tcPr>
          <w:p w14:paraId="42364174" w14:textId="02216F97" w:rsidR="0056135A" w:rsidRPr="00A765CC" w:rsidRDefault="005E59BE" w:rsidP="00A765CC">
            <w:r>
              <w:rPr>
                <w:b/>
                <w:bCs/>
              </w:rPr>
              <w:t>4</w:t>
            </w:r>
            <w:r w:rsidR="0056135A" w:rsidRPr="00A765CC">
              <w:rPr>
                <w:b/>
                <w:bCs/>
              </w:rPr>
              <w:t>.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14:paraId="3679CF04" w14:textId="77777777" w:rsidR="0056135A" w:rsidRPr="00A765CC" w:rsidRDefault="0056135A" w:rsidP="00A765CC">
            <w:r w:rsidRPr="00A765CC">
              <w:rPr>
                <w:b/>
                <w:bCs/>
              </w:rPr>
              <w:t>PGRR 120 – SSO Prevention for Generator Interconnection</w:t>
            </w:r>
          </w:p>
        </w:tc>
        <w:tc>
          <w:tcPr>
            <w:tcW w:w="874" w:type="pct"/>
            <w:hideMark/>
          </w:tcPr>
          <w:p w14:paraId="7A07980D" w14:textId="77777777" w:rsidR="0056135A" w:rsidRPr="00A765CC" w:rsidRDefault="0056135A" w:rsidP="00A765CC">
            <w:r w:rsidRPr="00A765CC">
              <w:rPr>
                <w:b/>
                <w:bCs/>
              </w:rPr>
              <w:t>PLWG</w:t>
            </w:r>
          </w:p>
        </w:tc>
      </w:tr>
      <w:tr w:rsidR="0056135A" w:rsidRPr="00A765CC" w14:paraId="32583F93" w14:textId="77777777" w:rsidTr="0056135A">
        <w:trPr>
          <w:trHeight w:val="630"/>
        </w:trPr>
        <w:tc>
          <w:tcPr>
            <w:tcW w:w="291" w:type="pct"/>
            <w:hideMark/>
          </w:tcPr>
          <w:p w14:paraId="536B8C8A" w14:textId="77777777" w:rsidR="0056135A" w:rsidRPr="00A765CC" w:rsidRDefault="0056135A" w:rsidP="00A765CC"/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14:paraId="306CC2C0" w14:textId="4EBAA0DA" w:rsidR="0056135A" w:rsidRPr="00185A3F" w:rsidRDefault="0056135A" w:rsidP="00A765CC">
            <w:pPr>
              <w:numPr>
                <w:ilvl w:val="0"/>
                <w:numId w:val="2"/>
              </w:numPr>
            </w:pPr>
            <w:r w:rsidRPr="00A765CC">
              <w:rPr>
                <w:b/>
                <w:bCs/>
              </w:rPr>
              <w:t xml:space="preserve">Review </w:t>
            </w:r>
            <w:r w:rsidR="009F7154">
              <w:rPr>
                <w:b/>
                <w:bCs/>
              </w:rPr>
              <w:t>ERCOT</w:t>
            </w:r>
            <w:r w:rsidRPr="00A765CC">
              <w:rPr>
                <w:b/>
                <w:bCs/>
              </w:rPr>
              <w:t xml:space="preserve"> Comments</w:t>
            </w:r>
          </w:p>
          <w:p w14:paraId="4C3CDEBB" w14:textId="354D2CAB" w:rsidR="00240829" w:rsidRDefault="006701DF" w:rsidP="006701DF">
            <w:pPr>
              <w:ind w:left="360"/>
            </w:pPr>
            <w:r>
              <w:t>Megan Miller (ERCOT)</w:t>
            </w:r>
            <w:r w:rsidR="003B5A7A">
              <w:t xml:space="preserve"> spoke to</w:t>
            </w:r>
            <w:r w:rsidR="003921B3">
              <w:t xml:space="preserve"> </w:t>
            </w:r>
            <w:r w:rsidR="008E4F6B">
              <w:t>comments filed on April 16.</w:t>
            </w:r>
          </w:p>
          <w:p w14:paraId="332A683A" w14:textId="6ACFF247" w:rsidR="00704F48" w:rsidRDefault="00DA7B35" w:rsidP="006701DF">
            <w:pPr>
              <w:ind w:left="360"/>
            </w:pPr>
            <w:r>
              <w:t xml:space="preserve">Aditi Upadhyay (Lone Star) </w:t>
            </w:r>
            <w:r w:rsidR="00704F48">
              <w:t xml:space="preserve">– </w:t>
            </w:r>
            <w:r w:rsidR="00837C18">
              <w:t>C</w:t>
            </w:r>
            <w:r w:rsidR="00704F48">
              <w:t xml:space="preserve">oncerned that </w:t>
            </w:r>
            <w:r w:rsidR="00AD3B6A">
              <w:t xml:space="preserve">the </w:t>
            </w:r>
            <w:r w:rsidR="00704F48">
              <w:t xml:space="preserve">proposed </w:t>
            </w:r>
            <w:r w:rsidR="00210DB5">
              <w:t xml:space="preserve">cutoff date </w:t>
            </w:r>
            <w:r w:rsidR="00837C18">
              <w:t xml:space="preserve">of September 1, 2025, </w:t>
            </w:r>
            <w:r w:rsidR="00210DB5">
              <w:t>would impact projects</w:t>
            </w:r>
            <w:r w:rsidR="00E119C4">
              <w:t xml:space="preserve"> that </w:t>
            </w:r>
            <w:r w:rsidR="00837C18">
              <w:t>have</w:t>
            </w:r>
            <w:r w:rsidR="00E119C4">
              <w:t xml:space="preserve"> </w:t>
            </w:r>
            <w:r w:rsidR="00077827">
              <w:t>incurred</w:t>
            </w:r>
            <w:r w:rsidR="00210DB5">
              <w:t xml:space="preserve"> significant investment</w:t>
            </w:r>
            <w:r w:rsidR="00AD3B6A">
              <w:t xml:space="preserve">. Doesn’t believe that banning interconnection is a prudent approach </w:t>
            </w:r>
            <w:proofErr w:type="gramStart"/>
            <w:r w:rsidR="00AD3B6A">
              <w:t>in light of</w:t>
            </w:r>
            <w:proofErr w:type="gramEnd"/>
            <w:r w:rsidR="00AD3B6A">
              <w:t xml:space="preserve"> </w:t>
            </w:r>
            <w:r w:rsidR="00E119C4">
              <w:t xml:space="preserve">system </w:t>
            </w:r>
            <w:r w:rsidR="00AD3B6A">
              <w:t>growth forecast.</w:t>
            </w:r>
          </w:p>
          <w:p w14:paraId="5FFB66F8" w14:textId="57C9095C" w:rsidR="00210DB5" w:rsidRPr="00A765CC" w:rsidRDefault="00210DB5" w:rsidP="006701DF">
            <w:pPr>
              <w:ind w:left="360"/>
            </w:pPr>
            <w:r>
              <w:t xml:space="preserve">Megan – </w:t>
            </w:r>
            <w:r w:rsidR="008E4F6B">
              <w:t>ERCOT would p</w:t>
            </w:r>
            <w:r>
              <w:t>ush back on calling this a “ban” since there are path</w:t>
            </w:r>
            <w:r w:rsidR="008E4F6B">
              <w:t>way</w:t>
            </w:r>
            <w:r>
              <w:t>s</w:t>
            </w:r>
            <w:r w:rsidR="00E119C4">
              <w:t xml:space="preserve"> in existing language</w:t>
            </w:r>
            <w:r>
              <w:t xml:space="preserve"> for </w:t>
            </w:r>
            <w:r w:rsidR="00AC2A7F">
              <w:t>a generator to pursue transmission enhancements</w:t>
            </w:r>
            <w:r w:rsidR="0032404E">
              <w:t xml:space="preserve"> (e.g. </w:t>
            </w:r>
            <w:r w:rsidR="0032404E" w:rsidRPr="0032404E">
              <w:t>Protocol Section 3.11.4.11</w:t>
            </w:r>
            <w:r w:rsidR="0032404E">
              <w:t>).</w:t>
            </w:r>
          </w:p>
        </w:tc>
        <w:tc>
          <w:tcPr>
            <w:tcW w:w="874" w:type="pct"/>
            <w:hideMark/>
          </w:tcPr>
          <w:p w14:paraId="4AAA13F5" w14:textId="3B8C88E8" w:rsidR="0056135A" w:rsidRPr="00A765CC" w:rsidRDefault="009F7154" w:rsidP="00A765CC">
            <w:r>
              <w:rPr>
                <w:b/>
                <w:bCs/>
              </w:rPr>
              <w:t>ERCOT</w:t>
            </w:r>
          </w:p>
        </w:tc>
      </w:tr>
      <w:tr w:rsidR="0056135A" w:rsidRPr="00A765CC" w14:paraId="7B2077B7" w14:textId="77777777" w:rsidTr="0056135A">
        <w:trPr>
          <w:trHeight w:val="630"/>
        </w:trPr>
        <w:tc>
          <w:tcPr>
            <w:tcW w:w="291" w:type="pct"/>
            <w:hideMark/>
          </w:tcPr>
          <w:p w14:paraId="7E8BC2BD" w14:textId="77777777" w:rsidR="0056135A" w:rsidRPr="00A765CC" w:rsidRDefault="0056135A" w:rsidP="00A765CC"/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14:paraId="5FBD0F05" w14:textId="776097D8" w:rsidR="005E59BE" w:rsidRPr="005E59BE" w:rsidRDefault="005E59BE" w:rsidP="00A765CC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5E59BE">
              <w:rPr>
                <w:b/>
                <w:bCs/>
              </w:rPr>
              <w:t>Review Smart Wires Comments</w:t>
            </w:r>
          </w:p>
          <w:p w14:paraId="661E98E3" w14:textId="560EE705" w:rsidR="005E59BE" w:rsidRDefault="003921B3" w:rsidP="002636A3">
            <w:pPr>
              <w:ind w:left="345"/>
            </w:pPr>
            <w:r>
              <w:t>Ted Bloch-Rubin</w:t>
            </w:r>
            <w:r w:rsidR="002636A3">
              <w:t>, Juan Botero,</w:t>
            </w:r>
            <w:r w:rsidR="00F83F3C">
              <w:t xml:space="preserve"> and Alex Al-Homsi</w:t>
            </w:r>
            <w:r>
              <w:t xml:space="preserve"> </w:t>
            </w:r>
            <w:r w:rsidR="00074BF9">
              <w:t xml:space="preserve">with Smart Wires </w:t>
            </w:r>
            <w:r w:rsidR="00CC59B0">
              <w:t>provided presentation “</w:t>
            </w:r>
            <w:proofErr w:type="spellStart"/>
            <w:r w:rsidR="00CC59B0">
              <w:t>SmartValve</w:t>
            </w:r>
            <w:proofErr w:type="spellEnd"/>
            <w:r w:rsidR="00CC59B0">
              <w:t xml:space="preserve"> for Series Compensation without SSR</w:t>
            </w:r>
            <w:r w:rsidR="008F3AFB">
              <w:t>.</w:t>
            </w:r>
            <w:r w:rsidR="00CC59B0">
              <w:t xml:space="preserve">” </w:t>
            </w:r>
            <w:r w:rsidR="00074BF9">
              <w:t xml:space="preserve">This is a technology of </w:t>
            </w:r>
            <w:r w:rsidR="008F3AFB">
              <w:t xml:space="preserve">Modular Static </w:t>
            </w:r>
            <w:r w:rsidR="00074BF9">
              <w:t>S</w:t>
            </w:r>
            <w:r w:rsidR="008F3AFB">
              <w:t>ynchronous Series Compensators (M-SSSC) to mitigate risk of SSO/SSR</w:t>
            </w:r>
            <w:r w:rsidR="00120156">
              <w:t>.</w:t>
            </w:r>
            <w:r w:rsidR="007C3171">
              <w:t xml:space="preserve"> </w:t>
            </w:r>
          </w:p>
          <w:p w14:paraId="2DF1077A" w14:textId="4752818C" w:rsidR="00F83F3C" w:rsidRDefault="00F83F3C" w:rsidP="002636A3">
            <w:pPr>
              <w:ind w:left="345"/>
            </w:pPr>
            <w:r>
              <w:t>Aditi (Lone Star)</w:t>
            </w:r>
            <w:r w:rsidR="00077827">
              <w:t xml:space="preserve"> </w:t>
            </w:r>
            <w:r>
              <w:t xml:space="preserve">– Does this </w:t>
            </w:r>
            <w:r w:rsidR="00BF2A84">
              <w:t xml:space="preserve">technology </w:t>
            </w:r>
            <w:proofErr w:type="gramStart"/>
            <w:r>
              <w:t>completely eliminate</w:t>
            </w:r>
            <w:proofErr w:type="gramEnd"/>
            <w:r>
              <w:t xml:space="preserve"> the risk for SSR?</w:t>
            </w:r>
          </w:p>
          <w:p w14:paraId="52BAD2C8" w14:textId="6A8CB828" w:rsidR="0056135A" w:rsidRPr="00A765CC" w:rsidRDefault="00F83F3C" w:rsidP="003B5A7A">
            <w:pPr>
              <w:ind w:left="345"/>
            </w:pPr>
            <w:r>
              <w:t xml:space="preserve">Juan (Smart Wires) – Depends on the topology. It’s best to make the analysis </w:t>
            </w:r>
            <w:r w:rsidR="00E572E3">
              <w:t>specific to the applicable case.</w:t>
            </w:r>
            <w:r w:rsidR="00F85181">
              <w:rPr>
                <w:b/>
                <w:bCs/>
              </w:rPr>
              <w:t xml:space="preserve"> </w:t>
            </w:r>
          </w:p>
        </w:tc>
        <w:tc>
          <w:tcPr>
            <w:tcW w:w="874" w:type="pct"/>
            <w:hideMark/>
          </w:tcPr>
          <w:p w14:paraId="1F7DFB69" w14:textId="5C3C556A" w:rsidR="005E59BE" w:rsidRDefault="005E59BE" w:rsidP="00A765CC">
            <w:pPr>
              <w:rPr>
                <w:b/>
                <w:bCs/>
              </w:rPr>
            </w:pPr>
            <w:r>
              <w:rPr>
                <w:b/>
                <w:bCs/>
              </w:rPr>
              <w:t>Ted Bloch-Rubin</w:t>
            </w:r>
          </w:p>
          <w:p w14:paraId="56DB416F" w14:textId="77777777" w:rsidR="00E46C13" w:rsidRDefault="00E46C13" w:rsidP="00A765CC">
            <w:pPr>
              <w:rPr>
                <w:b/>
                <w:bCs/>
              </w:rPr>
            </w:pPr>
          </w:p>
          <w:p w14:paraId="6781D8D7" w14:textId="77777777" w:rsidR="00E46C13" w:rsidRDefault="00E46C13" w:rsidP="00A765CC">
            <w:pPr>
              <w:rPr>
                <w:b/>
                <w:bCs/>
              </w:rPr>
            </w:pPr>
          </w:p>
          <w:p w14:paraId="643521E3" w14:textId="3381C08E" w:rsidR="0056135A" w:rsidRPr="00A765CC" w:rsidRDefault="0056135A" w:rsidP="00A765CC"/>
        </w:tc>
      </w:tr>
      <w:tr w:rsidR="0056135A" w:rsidRPr="00A765CC" w14:paraId="28FF574A" w14:textId="77777777" w:rsidTr="00240829">
        <w:trPr>
          <w:trHeight w:val="630"/>
        </w:trPr>
        <w:tc>
          <w:tcPr>
            <w:tcW w:w="291" w:type="pct"/>
            <w:hideMark/>
          </w:tcPr>
          <w:p w14:paraId="279D90AE" w14:textId="77777777" w:rsidR="0056135A" w:rsidRPr="00A765CC" w:rsidRDefault="0056135A" w:rsidP="00A765CC"/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14:paraId="62C43DF3" w14:textId="56F40E99" w:rsidR="006E5CCB" w:rsidRPr="00A765CC" w:rsidRDefault="006E5CCB" w:rsidP="008D3628">
            <w:pPr>
              <w:ind w:left="360"/>
            </w:pPr>
            <w:r w:rsidRPr="006E5CCB">
              <w:rPr>
                <w:b/>
                <w:bCs/>
                <w:i/>
                <w:iCs/>
              </w:rPr>
              <w:t>Action Taken</w:t>
            </w:r>
            <w:r w:rsidRPr="00945144">
              <w:rPr>
                <w:b/>
                <w:bCs/>
                <w:i/>
                <w:iCs/>
              </w:rPr>
              <w:t xml:space="preserve">: </w:t>
            </w:r>
            <w:r w:rsidR="00945144" w:rsidRPr="00945144">
              <w:rPr>
                <w:b/>
                <w:bCs/>
                <w:i/>
                <w:iCs/>
              </w:rPr>
              <w:t>Continue to table</w:t>
            </w:r>
            <w:r w:rsidR="00EF5F01" w:rsidRPr="00945144">
              <w:rPr>
                <w:b/>
                <w:bCs/>
                <w:i/>
                <w:iCs/>
              </w:rPr>
              <w:t xml:space="preserve"> PGRR120 </w:t>
            </w:r>
            <w:r w:rsidRPr="00945144">
              <w:rPr>
                <w:b/>
                <w:bCs/>
                <w:i/>
                <w:iCs/>
              </w:rPr>
              <w:t xml:space="preserve">until </w:t>
            </w:r>
            <w:r w:rsidR="003B5A7A" w:rsidRPr="00945144">
              <w:rPr>
                <w:b/>
                <w:bCs/>
                <w:i/>
                <w:iCs/>
              </w:rPr>
              <w:t>May</w:t>
            </w:r>
            <w:r w:rsidR="00240829" w:rsidRPr="00945144">
              <w:rPr>
                <w:b/>
                <w:bCs/>
                <w:i/>
                <w:iCs/>
              </w:rPr>
              <w:t xml:space="preserve"> </w:t>
            </w:r>
            <w:r w:rsidRPr="00945144">
              <w:rPr>
                <w:b/>
                <w:bCs/>
                <w:i/>
                <w:iCs/>
              </w:rPr>
              <w:t>PLWG meeting</w:t>
            </w:r>
            <w:r w:rsidR="003B5A7A" w:rsidRPr="00945144">
              <w:rPr>
                <w:b/>
                <w:bCs/>
                <w:i/>
                <w:iCs/>
              </w:rPr>
              <w:t xml:space="preserve"> to allow for discussion at DWG meeting on May 15.</w:t>
            </w:r>
          </w:p>
        </w:tc>
        <w:tc>
          <w:tcPr>
            <w:tcW w:w="874" w:type="pct"/>
          </w:tcPr>
          <w:p w14:paraId="1D896BD8" w14:textId="0DE25F3D" w:rsidR="0056135A" w:rsidRPr="00A765CC" w:rsidRDefault="0056135A" w:rsidP="00A765CC"/>
        </w:tc>
      </w:tr>
      <w:tr w:rsidR="00084DDC" w:rsidRPr="00A765CC" w14:paraId="53792D7B" w14:textId="77777777" w:rsidTr="00240829">
        <w:trPr>
          <w:trHeight w:val="630"/>
        </w:trPr>
        <w:tc>
          <w:tcPr>
            <w:tcW w:w="291" w:type="pct"/>
          </w:tcPr>
          <w:p w14:paraId="1CF608B5" w14:textId="77777777" w:rsidR="00084DDC" w:rsidRPr="00A765CC" w:rsidRDefault="00084DDC" w:rsidP="00A765CC"/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</w:tcPr>
          <w:p w14:paraId="25B8BDC7" w14:textId="77777777" w:rsidR="00084DDC" w:rsidRPr="006E5CCB" w:rsidRDefault="00084DDC" w:rsidP="008D3628">
            <w:pPr>
              <w:ind w:left="360"/>
              <w:rPr>
                <w:b/>
                <w:bCs/>
                <w:i/>
                <w:iCs/>
              </w:rPr>
            </w:pPr>
          </w:p>
        </w:tc>
        <w:tc>
          <w:tcPr>
            <w:tcW w:w="874" w:type="pct"/>
          </w:tcPr>
          <w:p w14:paraId="3B5553B5" w14:textId="77777777" w:rsidR="00084DDC" w:rsidRPr="00A765CC" w:rsidRDefault="00084DDC" w:rsidP="00A765CC"/>
        </w:tc>
      </w:tr>
      <w:tr w:rsidR="0056135A" w:rsidRPr="00A765CC" w14:paraId="0FD7E72D" w14:textId="77777777" w:rsidTr="00240829">
        <w:trPr>
          <w:trHeight w:val="345"/>
        </w:trPr>
        <w:tc>
          <w:tcPr>
            <w:tcW w:w="291" w:type="pct"/>
            <w:hideMark/>
          </w:tcPr>
          <w:p w14:paraId="66C479BD" w14:textId="6385410E" w:rsidR="0056135A" w:rsidRPr="00A765CC" w:rsidRDefault="00790B75" w:rsidP="00A765CC">
            <w:r>
              <w:rPr>
                <w:b/>
                <w:bCs/>
              </w:rPr>
              <w:lastRenderedPageBreak/>
              <w:t>5</w:t>
            </w:r>
            <w:r w:rsidR="0056135A" w:rsidRPr="00A765CC">
              <w:rPr>
                <w:b/>
                <w:bCs/>
              </w:rPr>
              <w:t>.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14:paraId="1A7F28EB" w14:textId="77777777" w:rsidR="0056135A" w:rsidRPr="00A765CC" w:rsidRDefault="0056135A" w:rsidP="00A765CC">
            <w:r w:rsidRPr="00A765CC">
              <w:rPr>
                <w:b/>
                <w:bCs/>
              </w:rPr>
              <w:t>PGRR 122 – Reliability Performance Criteria for Loss of Load</w:t>
            </w:r>
          </w:p>
        </w:tc>
        <w:tc>
          <w:tcPr>
            <w:tcW w:w="874" w:type="pct"/>
            <w:hideMark/>
          </w:tcPr>
          <w:p w14:paraId="1B51905F" w14:textId="77777777" w:rsidR="0056135A" w:rsidRPr="00A765CC" w:rsidRDefault="0056135A" w:rsidP="00A765CC">
            <w:r w:rsidRPr="00A765CC">
              <w:rPr>
                <w:b/>
                <w:bCs/>
              </w:rPr>
              <w:t>ERCOT/PLWG</w:t>
            </w:r>
          </w:p>
        </w:tc>
      </w:tr>
      <w:tr w:rsidR="00240829" w:rsidRPr="00A765CC" w14:paraId="028401F1" w14:textId="77777777" w:rsidTr="00240829">
        <w:trPr>
          <w:trHeight w:val="990"/>
        </w:trPr>
        <w:tc>
          <w:tcPr>
            <w:tcW w:w="291" w:type="pct"/>
          </w:tcPr>
          <w:p w14:paraId="58CA2D1A" w14:textId="77777777" w:rsidR="00240829" w:rsidRPr="00A765CC" w:rsidRDefault="00240829" w:rsidP="00A765CC">
            <w:pPr>
              <w:rPr>
                <w:b/>
                <w:bCs/>
              </w:rPr>
            </w:pP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</w:tcPr>
          <w:p w14:paraId="6D6BAAD3" w14:textId="655A0BBC" w:rsidR="00BD454A" w:rsidRDefault="00BD454A" w:rsidP="00602883">
            <w:pPr>
              <w:rPr>
                <w:b/>
                <w:bCs/>
              </w:rPr>
            </w:pPr>
            <w:r>
              <w:rPr>
                <w:b/>
                <w:bCs/>
              </w:rPr>
              <w:t>ERCOT Draft Comments</w:t>
            </w:r>
          </w:p>
          <w:p w14:paraId="609AEDDC" w14:textId="37F2F91D" w:rsidR="00602883" w:rsidRDefault="007C236E" w:rsidP="00602883">
            <w:r>
              <w:t xml:space="preserve">Jeff Billo (ERCOT) introduced a set of </w:t>
            </w:r>
            <w:r w:rsidR="00602883" w:rsidRPr="00602883">
              <w:t>draft comments</w:t>
            </w:r>
            <w:r>
              <w:t xml:space="preserve"> that builds</w:t>
            </w:r>
            <w:r w:rsidR="00602883" w:rsidRPr="00602883">
              <w:t xml:space="preserve"> on top of LCRA’s February 21 comments.</w:t>
            </w:r>
            <w:r w:rsidR="001E6E50">
              <w:t xml:space="preserve"> </w:t>
            </w:r>
            <w:r w:rsidR="00EC12E8">
              <w:t xml:space="preserve">This now limits the load loss requirement </w:t>
            </w:r>
            <w:r w:rsidR="002D27E4">
              <w:t xml:space="preserve">applicability </w:t>
            </w:r>
            <w:r w:rsidR="00EC12E8">
              <w:t>to Large Load Interconnection Stud</w:t>
            </w:r>
            <w:r w:rsidR="002D27E4">
              <w:t>ies</w:t>
            </w:r>
            <w:r w:rsidR="00EC12E8">
              <w:t xml:space="preserve"> (LLIS). ERCOT n</w:t>
            </w:r>
            <w:r w:rsidR="002F4621">
              <w:t xml:space="preserve">oted that the </w:t>
            </w:r>
            <w:r w:rsidR="001E6E50">
              <w:t xml:space="preserve">1,000 MW number </w:t>
            </w:r>
            <w:proofErr w:type="gramStart"/>
            <w:r w:rsidR="001E6E50">
              <w:t>still</w:t>
            </w:r>
            <w:proofErr w:type="gramEnd"/>
            <w:r w:rsidR="001E6E50">
              <w:t xml:space="preserve"> in pencil</w:t>
            </w:r>
            <w:r w:rsidR="00FF01C4">
              <w:t xml:space="preserve"> pending the completion of the Frequency Overshoot Study</w:t>
            </w:r>
            <w:r w:rsidR="002D27E4">
              <w:t>.</w:t>
            </w:r>
            <w:r w:rsidR="003A110E">
              <w:t xml:space="preserve"> Plans to present results of this Study to the DWG in May.</w:t>
            </w:r>
          </w:p>
          <w:p w14:paraId="3306011B" w14:textId="519384D2" w:rsidR="00F508CD" w:rsidRPr="006762FD" w:rsidRDefault="004D202C" w:rsidP="00602883">
            <w:r w:rsidRPr="00372D8C">
              <w:t>J</w:t>
            </w:r>
            <w:r w:rsidRPr="006762FD">
              <w:t>ohn Russ Hubbard (</w:t>
            </w:r>
            <w:r w:rsidR="0086794C">
              <w:t>TIEC</w:t>
            </w:r>
            <w:r w:rsidRPr="006762FD">
              <w:t>) –</w:t>
            </w:r>
            <w:r w:rsidR="0080136D">
              <w:t xml:space="preserve"> </w:t>
            </w:r>
            <w:r w:rsidR="00D45808" w:rsidRPr="006762FD">
              <w:t xml:space="preserve">Concerned this will impose </w:t>
            </w:r>
            <w:r w:rsidR="009E161E" w:rsidRPr="006762FD">
              <w:t xml:space="preserve">retrofit costs on Large Loads and thus </w:t>
            </w:r>
            <w:r w:rsidR="0080136D">
              <w:t xml:space="preserve">negatively </w:t>
            </w:r>
            <w:r w:rsidR="009E161E" w:rsidRPr="006762FD">
              <w:t>impact development in Texas.</w:t>
            </w:r>
          </w:p>
          <w:p w14:paraId="790B2CEE" w14:textId="5DF4A6F0" w:rsidR="00B54238" w:rsidRPr="006762FD" w:rsidRDefault="00B54238" w:rsidP="00602883">
            <w:r w:rsidRPr="006762FD">
              <w:t xml:space="preserve">Melissa Trevino (Occidental) – Is ERCOT contemplating a model that would be </w:t>
            </w:r>
            <w:proofErr w:type="gramStart"/>
            <w:r w:rsidRPr="006762FD">
              <w:t>similar to</w:t>
            </w:r>
            <w:proofErr w:type="gramEnd"/>
            <w:r w:rsidRPr="006762FD">
              <w:t xml:space="preserve"> </w:t>
            </w:r>
            <w:r w:rsidR="00834AEF" w:rsidRPr="006762FD">
              <w:t>voltage ride-through for existing loads? If get too close to the end of a project and have made a lot of design decisions</w:t>
            </w:r>
            <w:r w:rsidR="00372D8C">
              <w:t xml:space="preserve"> and</w:t>
            </w:r>
            <w:r w:rsidR="00834AEF" w:rsidRPr="006762FD">
              <w:t xml:space="preserve"> then </w:t>
            </w:r>
            <w:proofErr w:type="gramStart"/>
            <w:r w:rsidR="00834AEF" w:rsidRPr="006762FD">
              <w:t>asked</w:t>
            </w:r>
            <w:proofErr w:type="gramEnd"/>
            <w:r w:rsidR="00834AEF" w:rsidRPr="006762FD">
              <w:t xml:space="preserve"> to </w:t>
            </w:r>
            <w:r w:rsidR="004A339E" w:rsidRPr="006762FD">
              <w:t>change settings</w:t>
            </w:r>
            <w:r w:rsidR="00372D8C">
              <w:t xml:space="preserve"> to meet this requirement,</w:t>
            </w:r>
            <w:r w:rsidR="004A339E" w:rsidRPr="006762FD">
              <w:t xml:space="preserve"> it would be tantamount to </w:t>
            </w:r>
            <w:r w:rsidR="00372D8C">
              <w:t xml:space="preserve">being </w:t>
            </w:r>
            <w:r w:rsidR="004A339E" w:rsidRPr="006762FD">
              <w:t>retroactive.</w:t>
            </w:r>
          </w:p>
          <w:p w14:paraId="05810260" w14:textId="7262A0E6" w:rsidR="00B54238" w:rsidRPr="006762FD" w:rsidRDefault="00B54238" w:rsidP="00602883">
            <w:r w:rsidRPr="006762FD">
              <w:t>Jeff</w:t>
            </w:r>
            <w:r w:rsidR="00372D8C">
              <w:t xml:space="preserve"> Billo (ERCOT)</w:t>
            </w:r>
            <w:r w:rsidRPr="006762FD">
              <w:t xml:space="preserve"> – Vision of </w:t>
            </w:r>
            <w:r w:rsidR="00372D8C">
              <w:t>PGRR</w:t>
            </w:r>
            <w:r w:rsidRPr="006762FD">
              <w:t xml:space="preserve">122 does not </w:t>
            </w:r>
            <w:r w:rsidR="004A339E" w:rsidRPr="006762FD">
              <w:t>contemplate</w:t>
            </w:r>
            <w:r w:rsidRPr="006762FD">
              <w:t xml:space="preserve"> asking existing loads to do something. If there is an issue identified,</w:t>
            </w:r>
            <w:r w:rsidR="00372D8C">
              <w:t xml:space="preserve"> ERCOT</w:t>
            </w:r>
            <w:r w:rsidRPr="006762FD">
              <w:t xml:space="preserve"> would work with transmission </w:t>
            </w:r>
            <w:r w:rsidR="003E3C80">
              <w:t xml:space="preserve">solutions </w:t>
            </w:r>
            <w:r w:rsidRPr="006762FD">
              <w:t xml:space="preserve">and potentially new </w:t>
            </w:r>
            <w:r w:rsidR="003E3C80">
              <w:t>Large Lo</w:t>
            </w:r>
            <w:r w:rsidRPr="006762FD">
              <w:t>ads.</w:t>
            </w:r>
          </w:p>
          <w:p w14:paraId="7AE1B859" w14:textId="5B614BCE" w:rsidR="004D202C" w:rsidRPr="006762FD" w:rsidRDefault="004D202C" w:rsidP="00602883">
            <w:r w:rsidRPr="006762FD">
              <w:t xml:space="preserve">Martha Henson </w:t>
            </w:r>
            <w:r w:rsidR="004C1FD5" w:rsidRPr="006762FD">
              <w:t>(Oncor) –</w:t>
            </w:r>
            <w:r w:rsidR="00954399" w:rsidRPr="006762FD">
              <w:t xml:space="preserve"> Before being comfortable with supporting set of comments, would want that number to be in ink rather than pencil. Look</w:t>
            </w:r>
            <w:r w:rsidR="003E3C80">
              <w:t>ing</w:t>
            </w:r>
            <w:r w:rsidR="00954399" w:rsidRPr="006762FD">
              <w:t xml:space="preserve"> forward to DWG conversation.</w:t>
            </w:r>
          </w:p>
          <w:p w14:paraId="676A6215" w14:textId="0AC2C4F9" w:rsidR="00DD2B2B" w:rsidRDefault="004C1FD5" w:rsidP="00602883">
            <w:r w:rsidRPr="006762FD">
              <w:t>Evan Neel (</w:t>
            </w:r>
            <w:proofErr w:type="spellStart"/>
            <w:r w:rsidRPr="006762FD">
              <w:t>Lancium</w:t>
            </w:r>
            <w:proofErr w:type="spellEnd"/>
            <w:r w:rsidRPr="006762FD">
              <w:t>)</w:t>
            </w:r>
            <w:r w:rsidR="00954399" w:rsidRPr="006762FD">
              <w:t xml:space="preserve"> – Agree with comments / concerns of Oxy. </w:t>
            </w:r>
            <w:r w:rsidR="00E225FA">
              <w:t>H</w:t>
            </w:r>
            <w:r w:rsidR="000D1D6E" w:rsidRPr="006762FD">
              <w:t xml:space="preserve">aving the criteria helps a developer know how to plan for and meet </w:t>
            </w:r>
            <w:proofErr w:type="gramStart"/>
            <w:r w:rsidR="000D1D6E" w:rsidRPr="006762FD">
              <w:t>that criteria</w:t>
            </w:r>
            <w:proofErr w:type="gramEnd"/>
            <w:r w:rsidR="000D1D6E" w:rsidRPr="006762FD">
              <w:t xml:space="preserve">. </w:t>
            </w:r>
            <w:r w:rsidR="00DD2B2B">
              <w:t>Raised several hypothetical scenarios for ERCOT to consider.</w:t>
            </w:r>
          </w:p>
          <w:p w14:paraId="5AA5AD0F" w14:textId="0DB30663" w:rsidR="00974764" w:rsidRDefault="00974764" w:rsidP="00602883">
            <w:r>
              <w:t xml:space="preserve">Sun Wook Kang </w:t>
            </w:r>
            <w:r w:rsidR="00084DDC">
              <w:t xml:space="preserve">(ERCOT) </w:t>
            </w:r>
            <w:r>
              <w:t xml:space="preserve">– </w:t>
            </w:r>
            <w:r w:rsidR="00035287">
              <w:t xml:space="preserve">ERCOT </w:t>
            </w:r>
            <w:r>
              <w:t>will look for system instability or dynamic reliability issues</w:t>
            </w:r>
            <w:r w:rsidR="00372AD2">
              <w:t>.</w:t>
            </w:r>
            <w:r w:rsidR="00035287">
              <w:t xml:space="preserve"> The g</w:t>
            </w:r>
            <w:r w:rsidR="00372AD2">
              <w:t>oal is to determine whether there is unacceptable risk during the study.</w:t>
            </w:r>
          </w:p>
          <w:p w14:paraId="36F8F9E8" w14:textId="5CE397B2" w:rsidR="0086794C" w:rsidRDefault="00FF0EDF" w:rsidP="00602883">
            <w:r>
              <w:t xml:space="preserve">Discussion touched on </w:t>
            </w:r>
            <w:r w:rsidR="007A5C05">
              <w:t>similarities with the withdrawn NOGRR256 to establish a ride-through standard for Large Loads. TIEC noted its</w:t>
            </w:r>
            <w:r w:rsidR="0086794C">
              <w:t xml:space="preserve"> views on</w:t>
            </w:r>
            <w:r w:rsidR="00CA79AA">
              <w:t xml:space="preserve"> NOGRR</w:t>
            </w:r>
            <w:r w:rsidR="0086794C">
              <w:t>256 have not changed.</w:t>
            </w:r>
          </w:p>
          <w:p w14:paraId="208F43ED" w14:textId="157E8268" w:rsidR="00F26190" w:rsidRPr="006762FD" w:rsidRDefault="00F26190" w:rsidP="00602883">
            <w:r>
              <w:t>ERCOT asked PLWG to be prepared to move forward</w:t>
            </w:r>
            <w:r w:rsidR="00084DDC">
              <w:t xml:space="preserve"> on this item at </w:t>
            </w:r>
            <w:proofErr w:type="gramStart"/>
            <w:r w:rsidR="00084DDC">
              <w:t>May</w:t>
            </w:r>
            <w:proofErr w:type="gramEnd"/>
            <w:r w:rsidR="00084DDC">
              <w:t xml:space="preserve"> meeting.</w:t>
            </w:r>
          </w:p>
          <w:p w14:paraId="5F31332F" w14:textId="7F29AFA0" w:rsidR="00240829" w:rsidRPr="00084DDC" w:rsidRDefault="00BD43B0" w:rsidP="00A765CC">
            <w:pPr>
              <w:rPr>
                <w:b/>
                <w:bCs/>
                <w:i/>
                <w:iCs/>
              </w:rPr>
            </w:pPr>
            <w:r w:rsidRPr="00084DDC">
              <w:rPr>
                <w:b/>
                <w:bCs/>
                <w:i/>
                <w:iCs/>
              </w:rPr>
              <w:t>Action Taken:</w:t>
            </w:r>
            <w:r w:rsidR="007C424D" w:rsidRPr="00084DDC">
              <w:rPr>
                <w:b/>
                <w:bCs/>
                <w:i/>
                <w:iCs/>
              </w:rPr>
              <w:t xml:space="preserve"> </w:t>
            </w:r>
            <w:r w:rsidR="00F231D6" w:rsidRPr="00084DDC">
              <w:rPr>
                <w:b/>
                <w:bCs/>
                <w:i/>
                <w:iCs/>
              </w:rPr>
              <w:t xml:space="preserve">Continue to table PGRR122 until May PLWG meeting to allow discussion of </w:t>
            </w:r>
            <w:r w:rsidR="00F26190" w:rsidRPr="00084DDC">
              <w:rPr>
                <w:b/>
                <w:bCs/>
                <w:i/>
                <w:iCs/>
              </w:rPr>
              <w:t>the Frequency Overshoot Study results at May DWG.</w:t>
            </w:r>
          </w:p>
        </w:tc>
        <w:tc>
          <w:tcPr>
            <w:tcW w:w="874" w:type="pct"/>
          </w:tcPr>
          <w:p w14:paraId="7D856BC3" w14:textId="2B8B2B2D" w:rsidR="00240829" w:rsidRDefault="00240829" w:rsidP="00A765CC">
            <w:pPr>
              <w:rPr>
                <w:b/>
                <w:bCs/>
              </w:rPr>
            </w:pPr>
            <w:r>
              <w:rPr>
                <w:b/>
                <w:bCs/>
              </w:rPr>
              <w:t>ERCOT</w:t>
            </w:r>
          </w:p>
        </w:tc>
      </w:tr>
      <w:tr w:rsidR="00695351" w:rsidRPr="00A765CC" w14:paraId="36BDF012" w14:textId="77777777" w:rsidTr="00695351">
        <w:trPr>
          <w:trHeight w:val="990"/>
        </w:trPr>
        <w:tc>
          <w:tcPr>
            <w:tcW w:w="291" w:type="pct"/>
          </w:tcPr>
          <w:p w14:paraId="3DAB29B2" w14:textId="2F71575E" w:rsidR="00695351" w:rsidRPr="00F704FD" w:rsidRDefault="00790B75" w:rsidP="004A695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  <w:r w:rsidR="00695351" w:rsidRPr="00A765CC">
              <w:rPr>
                <w:b/>
                <w:bCs/>
              </w:rPr>
              <w:t>.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</w:tcPr>
          <w:p w14:paraId="6A6B7910" w14:textId="77777777" w:rsidR="00695351" w:rsidRDefault="00695351" w:rsidP="00ED2EBF">
            <w:pPr>
              <w:pStyle w:val="ListParagraph"/>
              <w:ind w:left="525" w:hanging="525"/>
              <w:rPr>
                <w:b/>
                <w:bCs/>
              </w:rPr>
            </w:pPr>
            <w:r w:rsidRPr="00A765CC">
              <w:rPr>
                <w:b/>
                <w:bCs/>
              </w:rPr>
              <w:t>NPRR 1272 – Voltage Support at Private Use Networks</w:t>
            </w:r>
          </w:p>
          <w:p w14:paraId="1B69A1FE" w14:textId="1DA00E5C" w:rsidR="00035287" w:rsidRDefault="00A90618" w:rsidP="00035287">
            <w:pPr>
              <w:spacing w:before="120"/>
            </w:pPr>
            <w:r>
              <w:t>ERCOT spoke to comments posted earlier today</w:t>
            </w:r>
            <w:r w:rsidR="003F498B">
              <w:t xml:space="preserve"> which elaborate on the interpretation of existing Protocol language.</w:t>
            </w:r>
            <w:r w:rsidR="0012134C">
              <w:t xml:space="preserve"> Noted that </w:t>
            </w:r>
            <w:r w:rsidR="00F110F0">
              <w:t xml:space="preserve">15 GW of co-located load </w:t>
            </w:r>
            <w:r w:rsidR="0012134C">
              <w:t xml:space="preserve">is currently </w:t>
            </w:r>
            <w:r w:rsidR="00F110F0">
              <w:t xml:space="preserve">in the </w:t>
            </w:r>
            <w:r w:rsidR="00E772FC">
              <w:t xml:space="preserve">queue. 0.95 power factor requirement results in thousands of </w:t>
            </w:r>
            <w:proofErr w:type="spellStart"/>
            <w:r w:rsidR="00E772FC">
              <w:t>Mvars</w:t>
            </w:r>
            <w:proofErr w:type="spellEnd"/>
            <w:r w:rsidR="00E772FC">
              <w:t xml:space="preserve"> that would be supplied by the generator but not available to ERCOT. </w:t>
            </w:r>
            <w:proofErr w:type="gramStart"/>
            <w:r w:rsidR="00E772FC">
              <w:t>Thus</w:t>
            </w:r>
            <w:proofErr w:type="gramEnd"/>
            <w:r w:rsidR="00E772FC">
              <w:t xml:space="preserve"> would need to call upon the generator to supply that voltage support to the system.</w:t>
            </w:r>
            <w:r w:rsidR="00A84911">
              <w:t xml:space="preserve"> Reactive</w:t>
            </w:r>
            <w:r w:rsidR="00BB1437">
              <w:t xml:space="preserve"> Power</w:t>
            </w:r>
            <w:r w:rsidR="00A84911">
              <w:t xml:space="preserve"> requirement would be zero if the load matches exactly</w:t>
            </w:r>
            <w:r w:rsidR="00BB1437">
              <w:t xml:space="preserve"> with co-located generation</w:t>
            </w:r>
            <w:r w:rsidR="00A84911">
              <w:t xml:space="preserve"> – this is not a good scenario.</w:t>
            </w:r>
            <w:r w:rsidR="00086D21">
              <w:t xml:space="preserve"> There is also a question of fairness. ERCOT has changed position from neutral to opposed. No alternative solutions at this point.</w:t>
            </w:r>
          </w:p>
          <w:p w14:paraId="6E52489B" w14:textId="7B30E6AE" w:rsidR="00035287" w:rsidRDefault="00B3521D" w:rsidP="00035287">
            <w:pPr>
              <w:spacing w:before="120"/>
            </w:pPr>
            <w:r>
              <w:t>Melissa Trevino (O</w:t>
            </w:r>
            <w:r w:rsidR="0002118D">
              <w:t>ccidental</w:t>
            </w:r>
            <w:r>
              <w:t xml:space="preserve">) – </w:t>
            </w:r>
            <w:r w:rsidR="0002118D">
              <w:t>Oxy plans</w:t>
            </w:r>
            <w:r>
              <w:t xml:space="preserve"> to have comments </w:t>
            </w:r>
            <w:r w:rsidR="0002118D">
              <w:t xml:space="preserve">filed </w:t>
            </w:r>
            <w:r>
              <w:t xml:space="preserve">ahead of the next PLWG meeting. </w:t>
            </w:r>
            <w:r w:rsidR="0002118D">
              <w:t>A s</w:t>
            </w:r>
            <w:r w:rsidR="003079B9">
              <w:t xml:space="preserve">elf-limiting option would not work for Oxy. </w:t>
            </w:r>
          </w:p>
          <w:p w14:paraId="56AB8DF7" w14:textId="447D1A62" w:rsidR="00035287" w:rsidRDefault="00407275" w:rsidP="00035287">
            <w:pPr>
              <w:spacing w:before="120"/>
            </w:pPr>
            <w:r>
              <w:t>Bill Blevins</w:t>
            </w:r>
            <w:r w:rsidR="0002118D">
              <w:t xml:space="preserve"> (ERCOT)</w:t>
            </w:r>
            <w:r>
              <w:t xml:space="preserve"> - Appropriate for discussion to stay at PLWG.</w:t>
            </w:r>
            <w:r w:rsidR="002032B5">
              <w:t xml:space="preserve"> However, if</w:t>
            </w:r>
            <w:r>
              <w:t xml:space="preserve"> cost shifting</w:t>
            </w:r>
            <w:r w:rsidR="00262FFC">
              <w:t xml:space="preserve"> </w:t>
            </w:r>
            <w:r w:rsidR="002032B5">
              <w:t xml:space="preserve">will be </w:t>
            </w:r>
            <w:r w:rsidR="00262FFC">
              <w:t>discussed,</w:t>
            </w:r>
            <w:r>
              <w:t xml:space="preserve"> </w:t>
            </w:r>
            <w:proofErr w:type="gramStart"/>
            <w:r>
              <w:t>then</w:t>
            </w:r>
            <w:proofErr w:type="gramEnd"/>
            <w:r>
              <w:t xml:space="preserve"> may</w:t>
            </w:r>
            <w:r w:rsidR="002032B5">
              <w:t xml:space="preserve"> also</w:t>
            </w:r>
            <w:r>
              <w:t xml:space="preserve"> need to go to </w:t>
            </w:r>
            <w:r w:rsidR="002032B5">
              <w:t xml:space="preserve">the WMS </w:t>
            </w:r>
            <w:r>
              <w:t>for review</w:t>
            </w:r>
            <w:r w:rsidR="002032B5">
              <w:t>.</w:t>
            </w:r>
          </w:p>
          <w:p w14:paraId="57D5D3A0" w14:textId="0F7120D7" w:rsidR="00035287" w:rsidRDefault="00E81159" w:rsidP="00035287">
            <w:pPr>
              <w:spacing w:before="120"/>
            </w:pPr>
            <w:r>
              <w:t>Martha Henson (Oncor) – Last month during ERCOT’s presentation,</w:t>
            </w:r>
            <w:r w:rsidR="002032B5">
              <w:t xml:space="preserve"> ERCOT had</w:t>
            </w:r>
            <w:r>
              <w:t xml:space="preserve"> asked where are the TSPs on this issue. </w:t>
            </w:r>
            <w:r w:rsidR="002032B5">
              <w:t xml:space="preserve">Speaking for itself, </w:t>
            </w:r>
            <w:r>
              <w:t xml:space="preserve">Oncor believes this is a challenging issue to think through. Most likely </w:t>
            </w:r>
            <w:r w:rsidR="002032B5">
              <w:t>would</w:t>
            </w:r>
            <w:r>
              <w:t xml:space="preserve"> support the self-limiting concept that ERCOT proposed. </w:t>
            </w:r>
            <w:r w:rsidR="002032B5">
              <w:t xml:space="preserve">However, </w:t>
            </w:r>
            <w:proofErr w:type="gramStart"/>
            <w:r w:rsidR="002032B5">
              <w:t>also</w:t>
            </w:r>
            <w:proofErr w:type="gramEnd"/>
            <w:r w:rsidR="002032B5">
              <w:t xml:space="preserve"> i</w:t>
            </w:r>
            <w:r w:rsidR="00D85555">
              <w:t xml:space="preserve">nterested in hearing </w:t>
            </w:r>
            <w:proofErr w:type="gramStart"/>
            <w:r w:rsidR="00D85555">
              <w:t>why</w:t>
            </w:r>
            <w:proofErr w:type="gramEnd"/>
            <w:r w:rsidR="00D85555">
              <w:t xml:space="preserve"> that would not be a good solution from </w:t>
            </w:r>
            <w:proofErr w:type="spellStart"/>
            <w:r w:rsidR="00D85555">
              <w:t>Oxy’s</w:t>
            </w:r>
            <w:proofErr w:type="spellEnd"/>
            <w:r w:rsidR="00D85555">
              <w:t xml:space="preserve"> </w:t>
            </w:r>
            <w:r w:rsidR="002032B5">
              <w:t>perspective</w:t>
            </w:r>
            <w:r w:rsidR="00D85555">
              <w:t xml:space="preserve"> in their written comments.</w:t>
            </w:r>
          </w:p>
          <w:p w14:paraId="719D9E6B" w14:textId="1BC8FD0A" w:rsidR="00695351" w:rsidRPr="002032B5" w:rsidRDefault="00695351" w:rsidP="00035287">
            <w:pPr>
              <w:spacing w:before="120"/>
              <w:rPr>
                <w:b/>
                <w:bCs/>
                <w:i/>
                <w:iCs/>
              </w:rPr>
            </w:pPr>
            <w:r w:rsidRPr="002032B5">
              <w:rPr>
                <w:b/>
                <w:bCs/>
                <w:i/>
                <w:iCs/>
              </w:rPr>
              <w:t xml:space="preserve">Action Taken: </w:t>
            </w:r>
            <w:r w:rsidR="002032B5">
              <w:rPr>
                <w:b/>
                <w:bCs/>
                <w:i/>
                <w:iCs/>
              </w:rPr>
              <w:t xml:space="preserve">Continue to table </w:t>
            </w:r>
            <w:r w:rsidRPr="002032B5">
              <w:rPr>
                <w:b/>
                <w:bCs/>
                <w:i/>
                <w:iCs/>
              </w:rPr>
              <w:t>NPRR1272.</w:t>
            </w:r>
          </w:p>
        </w:tc>
        <w:tc>
          <w:tcPr>
            <w:tcW w:w="874" w:type="pct"/>
          </w:tcPr>
          <w:p w14:paraId="46D3645C" w14:textId="77777777" w:rsidR="00695351" w:rsidRPr="00F704FD" w:rsidRDefault="00695351" w:rsidP="004A695B">
            <w:pPr>
              <w:rPr>
                <w:b/>
                <w:bCs/>
              </w:rPr>
            </w:pPr>
            <w:r>
              <w:rPr>
                <w:b/>
                <w:bCs/>
              </w:rPr>
              <w:t>PLWG</w:t>
            </w:r>
          </w:p>
        </w:tc>
      </w:tr>
      <w:tr w:rsidR="0056135A" w:rsidRPr="00A765CC" w14:paraId="775359B9" w14:textId="77777777" w:rsidTr="0056135A">
        <w:trPr>
          <w:trHeight w:val="645"/>
        </w:trPr>
        <w:tc>
          <w:tcPr>
            <w:tcW w:w="291" w:type="pct"/>
            <w:hideMark/>
          </w:tcPr>
          <w:p w14:paraId="06707E77" w14:textId="31E275BF" w:rsidR="0056135A" w:rsidRPr="00A765CC" w:rsidRDefault="00790B75" w:rsidP="00A765CC">
            <w:r>
              <w:rPr>
                <w:b/>
                <w:bCs/>
              </w:rPr>
              <w:t>7</w:t>
            </w:r>
            <w:r w:rsidR="0056135A" w:rsidRPr="00A765CC">
              <w:rPr>
                <w:b/>
                <w:bCs/>
              </w:rPr>
              <w:t>.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14:paraId="2D95913B" w14:textId="2321FA7F" w:rsidR="0056135A" w:rsidRDefault="00240829" w:rsidP="00A765CC">
            <w:pPr>
              <w:rPr>
                <w:b/>
                <w:bCs/>
              </w:rPr>
            </w:pPr>
            <w:r>
              <w:rPr>
                <w:b/>
                <w:bCs/>
              </w:rPr>
              <w:t>PGRR 124 – ESR Maintenance Exception to Modification</w:t>
            </w:r>
          </w:p>
          <w:p w14:paraId="3362EAF7" w14:textId="6851D2ED" w:rsidR="0056135A" w:rsidRDefault="0080034B" w:rsidP="00A765CC">
            <w:r>
              <w:t xml:space="preserve">Tesla </w:t>
            </w:r>
            <w:proofErr w:type="gramStart"/>
            <w:r>
              <w:t>not</w:t>
            </w:r>
            <w:proofErr w:type="gramEnd"/>
            <w:r>
              <w:t xml:space="preserve"> available to present on this item.</w:t>
            </w:r>
          </w:p>
          <w:p w14:paraId="4426435F" w14:textId="47766E6A" w:rsidR="007B2189" w:rsidRDefault="007A2208" w:rsidP="00A765CC">
            <w:r>
              <w:t>Sun Wook Kang</w:t>
            </w:r>
            <w:r w:rsidR="0080034B">
              <w:t xml:space="preserve"> (ERCOT)</w:t>
            </w:r>
            <w:r>
              <w:t xml:space="preserve"> –</w:t>
            </w:r>
            <w:r w:rsidR="0080034B">
              <w:t xml:space="preserve"> Noted that Tesla had </w:t>
            </w:r>
            <w:r>
              <w:t xml:space="preserve">made </w:t>
            </w:r>
            <w:r w:rsidR="0080034B">
              <w:t>a</w:t>
            </w:r>
            <w:r>
              <w:t xml:space="preserve"> presentation </w:t>
            </w:r>
            <w:r w:rsidR="007B2189">
              <w:t xml:space="preserve">at </w:t>
            </w:r>
            <w:r w:rsidR="00C00B45">
              <w:t>D</w:t>
            </w:r>
            <w:r w:rsidR="007B2189">
              <w:t>WG meeting</w:t>
            </w:r>
            <w:r>
              <w:t xml:space="preserve"> </w:t>
            </w:r>
            <w:r w:rsidR="007B2189">
              <w:t>in April.</w:t>
            </w:r>
            <w:r w:rsidR="008658C2">
              <w:t xml:space="preserve"> The concern is about ESR megapack replacement and understanding what is involved in that changeout. </w:t>
            </w:r>
            <w:r>
              <w:t>ERCOT believes this is already covered in the PGRR109 process.</w:t>
            </w:r>
            <w:r w:rsidR="00C7044E">
              <w:t xml:space="preserve"> Kang’s understanding</w:t>
            </w:r>
            <w:r w:rsidR="00C00B45">
              <w:t xml:space="preserve"> from th</w:t>
            </w:r>
            <w:r w:rsidR="00C7044E">
              <w:t>e DWG meeting was that</w:t>
            </w:r>
            <w:r w:rsidR="00C00B45">
              <w:t xml:space="preserve"> Tesla</w:t>
            </w:r>
            <w:r w:rsidR="00C7044E">
              <w:t xml:space="preserve"> would</w:t>
            </w:r>
            <w:r w:rsidR="00C00B45">
              <w:t xml:space="preserve"> have internal discussion</w:t>
            </w:r>
            <w:r w:rsidR="00C7044E">
              <w:t>s</w:t>
            </w:r>
            <w:r w:rsidR="00C00B45">
              <w:t xml:space="preserve"> and then </w:t>
            </w:r>
            <w:r w:rsidR="008658C2">
              <w:t>would</w:t>
            </w:r>
            <w:r w:rsidR="00C00B45">
              <w:t xml:space="preserve"> reach out to ERCOT SMEs.</w:t>
            </w:r>
          </w:p>
          <w:p w14:paraId="24B05946" w14:textId="69F60F71" w:rsidR="0056135A" w:rsidRPr="00A765CC" w:rsidRDefault="009D2313" w:rsidP="00A765C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Action: Tabled </w:t>
            </w:r>
            <w:r w:rsidR="002423CC">
              <w:rPr>
                <w:b/>
                <w:bCs/>
                <w:i/>
                <w:iCs/>
              </w:rPr>
              <w:t xml:space="preserve">PGRR124 </w:t>
            </w:r>
            <w:r>
              <w:rPr>
                <w:b/>
                <w:bCs/>
                <w:i/>
                <w:iCs/>
              </w:rPr>
              <w:t>until</w:t>
            </w:r>
            <w:r w:rsidR="00C00B45">
              <w:rPr>
                <w:b/>
                <w:bCs/>
                <w:i/>
                <w:iCs/>
              </w:rPr>
              <w:t xml:space="preserve"> May</w:t>
            </w:r>
            <w:r>
              <w:rPr>
                <w:b/>
                <w:bCs/>
                <w:i/>
                <w:iCs/>
              </w:rPr>
              <w:t xml:space="preserve"> PLWG meeting</w:t>
            </w:r>
            <w:r w:rsidR="00954ABB" w:rsidRPr="00954ABB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874" w:type="pct"/>
            <w:hideMark/>
          </w:tcPr>
          <w:p w14:paraId="1C5D9531" w14:textId="3DF89BAE" w:rsidR="0056135A" w:rsidRPr="00A765CC" w:rsidRDefault="00240829" w:rsidP="00A765CC">
            <w:r>
              <w:rPr>
                <w:b/>
                <w:bCs/>
              </w:rPr>
              <w:t>Tesla</w:t>
            </w:r>
          </w:p>
        </w:tc>
      </w:tr>
      <w:tr w:rsidR="0056135A" w:rsidRPr="00A765CC" w14:paraId="766C8DD2" w14:textId="77777777" w:rsidTr="0056135A">
        <w:trPr>
          <w:trHeight w:val="630"/>
        </w:trPr>
        <w:tc>
          <w:tcPr>
            <w:tcW w:w="291" w:type="pct"/>
            <w:hideMark/>
          </w:tcPr>
          <w:p w14:paraId="53A6027F" w14:textId="3AFFA027" w:rsidR="0056135A" w:rsidRPr="00A765CC" w:rsidRDefault="00BF7CD4" w:rsidP="00A765CC">
            <w:r>
              <w:rPr>
                <w:b/>
                <w:bCs/>
              </w:rPr>
              <w:t>8</w:t>
            </w:r>
            <w:r w:rsidR="0056135A" w:rsidRPr="00A765CC">
              <w:rPr>
                <w:b/>
                <w:bCs/>
              </w:rPr>
              <w:t>.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14:paraId="22BA9862" w14:textId="548EF194" w:rsidR="0056135A" w:rsidRPr="00A765CC" w:rsidRDefault="00CD6C60" w:rsidP="00A765CC">
            <w:r w:rsidRPr="00CD6C60">
              <w:rPr>
                <w:b/>
                <w:bCs/>
              </w:rPr>
              <w:t>NPRR 1274- RPG Estimated Capital Cost Thresholds of Proposed Transmission Projects</w:t>
            </w:r>
          </w:p>
        </w:tc>
        <w:tc>
          <w:tcPr>
            <w:tcW w:w="874" w:type="pct"/>
            <w:hideMark/>
          </w:tcPr>
          <w:p w14:paraId="6B749DB3" w14:textId="2DBC1DC0" w:rsidR="0056135A" w:rsidRPr="00A765CC" w:rsidRDefault="00CD6C60" w:rsidP="00CD6C60">
            <w:r>
              <w:rPr>
                <w:b/>
                <w:bCs/>
              </w:rPr>
              <w:t>Robert Golen</w:t>
            </w:r>
          </w:p>
        </w:tc>
      </w:tr>
      <w:tr w:rsidR="0056135A" w:rsidRPr="00A765CC" w14:paraId="79D420D4" w14:textId="77777777" w:rsidTr="0056135A">
        <w:trPr>
          <w:trHeight w:val="630"/>
        </w:trPr>
        <w:tc>
          <w:tcPr>
            <w:tcW w:w="291" w:type="pct"/>
            <w:hideMark/>
          </w:tcPr>
          <w:p w14:paraId="3D89BA09" w14:textId="77777777" w:rsidR="0056135A" w:rsidRPr="00A765CC" w:rsidRDefault="0056135A" w:rsidP="00A765CC"/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14:paraId="543B9B8F" w14:textId="2F6D8BE4" w:rsidR="0056135A" w:rsidRDefault="00383734" w:rsidP="00C3637D">
            <w:r>
              <w:t>Robert Golen (ERCOT) presented NPRR1274.</w:t>
            </w:r>
            <w:r w:rsidR="00B255EF">
              <w:t xml:space="preserve"> Cost estimates were last updated in 2018. Since then, a simple inflation calculator </w:t>
            </w:r>
            <w:r w:rsidR="00484111">
              <w:t xml:space="preserve">shows </w:t>
            </w:r>
            <w:proofErr w:type="gramStart"/>
            <w:r w:rsidR="00B255EF">
              <w:t>overall</w:t>
            </w:r>
            <w:proofErr w:type="gramEnd"/>
            <w:r w:rsidR="00B255EF">
              <w:t xml:space="preserve"> 26% inflation increase since June 2018.</w:t>
            </w:r>
            <w:r w:rsidR="00B76E7B">
              <w:t xml:space="preserve"> ERCOT feels it’s an a</w:t>
            </w:r>
            <w:r w:rsidR="00484111">
              <w:t>ppropriate</w:t>
            </w:r>
            <w:r w:rsidR="00B76E7B">
              <w:t xml:space="preserve"> time to look at cost estimates in the categorization and </w:t>
            </w:r>
            <w:proofErr w:type="gramStart"/>
            <w:r w:rsidR="00B76E7B">
              <w:t>make adjustments</w:t>
            </w:r>
            <w:proofErr w:type="gramEnd"/>
            <w:r w:rsidR="00B76E7B">
              <w:t>.</w:t>
            </w:r>
            <w:r w:rsidR="00484111">
              <w:t xml:space="preserve"> </w:t>
            </w:r>
            <w:r w:rsidR="00484111">
              <w:lastRenderedPageBreak/>
              <w:t>ERCOT has made a</w:t>
            </w:r>
            <w:r w:rsidR="00B76E7B">
              <w:t xml:space="preserve"> 35% adjustment to reflect historic inflation change and </w:t>
            </w:r>
            <w:r w:rsidR="00A36AF4">
              <w:t>future inflation</w:t>
            </w:r>
            <w:r w:rsidR="00B76E7B">
              <w:t xml:space="preserve">. </w:t>
            </w:r>
            <w:r w:rsidR="00484111">
              <w:t>This revision request only changes</w:t>
            </w:r>
            <w:r w:rsidR="00B76E7B">
              <w:t xml:space="preserve"> the prices for the project Tiers, no language changes.</w:t>
            </w:r>
          </w:p>
          <w:p w14:paraId="09E9B926" w14:textId="7F3C13BF" w:rsidR="00B9650A" w:rsidRDefault="00B9650A" w:rsidP="00C3637D">
            <w:r>
              <w:t xml:space="preserve">Martha Henson (Oncor) </w:t>
            </w:r>
            <w:r w:rsidR="00484111">
              <w:t>–</w:t>
            </w:r>
            <w:r>
              <w:t xml:space="preserve"> </w:t>
            </w:r>
            <w:r w:rsidR="0040036D">
              <w:t xml:space="preserve">Oncor believes the increase is a step in the right direction but will likely propose a different amount than in the current. </w:t>
            </w:r>
            <w:r w:rsidR="00484111">
              <w:t xml:space="preserve">Noted for comparison that </w:t>
            </w:r>
            <w:r w:rsidR="0040036D">
              <w:t xml:space="preserve">the thresholds were doubled in the last NPRR that adjusted tier prices, </w:t>
            </w:r>
            <w:proofErr w:type="gramStart"/>
            <w:r w:rsidR="0040036D">
              <w:t>and it took</w:t>
            </w:r>
            <w:proofErr w:type="gramEnd"/>
            <w:r w:rsidR="0040036D">
              <w:t xml:space="preserve"> </w:t>
            </w:r>
            <w:r w:rsidR="00484111">
              <w:t>it t</w:t>
            </w:r>
            <w:r w:rsidR="00A36AF4">
              <w:t xml:space="preserve">ook </w:t>
            </w:r>
            <w:r w:rsidR="00484111">
              <w:t>one</w:t>
            </w:r>
            <w:r w:rsidR="00A36AF4">
              <w:t xml:space="preserve"> year</w:t>
            </w:r>
            <w:r w:rsidR="00484111">
              <w:t xml:space="preserve"> </w:t>
            </w:r>
            <w:r w:rsidR="00A36AF4">
              <w:t>to get approved</w:t>
            </w:r>
            <w:r w:rsidR="00484111">
              <w:t xml:space="preserve"> in 2018</w:t>
            </w:r>
            <w:r w:rsidR="00A36AF4">
              <w:t>. Oncor believes a similar adjustment might be appropriate in this case as well. Th</w:t>
            </w:r>
            <w:r w:rsidR="007104C5">
              <w:t>e general inflation index may not capture specific items unique to transmission costs (land costs, right of way, energized methodologies, cost of temporary bypass facilities</w:t>
            </w:r>
            <w:r w:rsidR="009B1D2F">
              <w:t>,</w:t>
            </w:r>
            <w:r w:rsidR="00484111">
              <w:t xml:space="preserve"> </w:t>
            </w:r>
            <w:r w:rsidR="001945DF">
              <w:t>specialty</w:t>
            </w:r>
            <w:r w:rsidR="009B1D2F">
              <w:t xml:space="preserve"> equipment such as STATCOMs</w:t>
            </w:r>
            <w:r w:rsidR="00484111">
              <w:t>, etc.</w:t>
            </w:r>
            <w:r w:rsidR="009B1D2F">
              <w:t>)</w:t>
            </w:r>
            <w:r w:rsidR="00484111">
              <w:t xml:space="preserve"> that have far exceeded the overall inflation number.</w:t>
            </w:r>
            <w:r w:rsidR="009B1D2F">
              <w:t xml:space="preserve"> </w:t>
            </w:r>
            <w:r w:rsidR="002357C9">
              <w:t>Also noted that many more projects are getting EIRs today compared to even a couple of years ago. For example, s</w:t>
            </w:r>
            <w:r w:rsidR="009B1D2F">
              <w:t>everal Oncor projects submitted recently</w:t>
            </w:r>
            <w:r w:rsidR="002357C9">
              <w:t xml:space="preserve"> were</w:t>
            </w:r>
            <w:r w:rsidR="009B1D2F">
              <w:t xml:space="preserve"> only filed because they exceeded the Tier 1 threshold amount.</w:t>
            </w:r>
            <w:r>
              <w:t xml:space="preserve"> </w:t>
            </w:r>
            <w:r w:rsidR="0040036D">
              <w:t>These projects had n</w:t>
            </w:r>
            <w:r>
              <w:t>o material increase in</w:t>
            </w:r>
            <w:r w:rsidR="0040036D">
              <w:t xml:space="preserve"> the</w:t>
            </w:r>
            <w:r>
              <w:t xml:space="preserve"> scope or system impact, simply the costs are higher. </w:t>
            </w:r>
            <w:r w:rsidR="0040036D">
              <w:t>Oncor plans</w:t>
            </w:r>
            <w:r>
              <w:t xml:space="preserve"> to file comments for the May PLWG meeting. </w:t>
            </w:r>
          </w:p>
          <w:p w14:paraId="67B2B1C6" w14:textId="12BD63B3" w:rsidR="00B9650A" w:rsidRPr="0040036D" w:rsidRDefault="00B9650A" w:rsidP="00C3637D">
            <w:pPr>
              <w:rPr>
                <w:b/>
                <w:bCs/>
                <w:i/>
                <w:iCs/>
              </w:rPr>
            </w:pPr>
            <w:r w:rsidRPr="0040036D">
              <w:rPr>
                <w:b/>
                <w:bCs/>
                <w:i/>
                <w:iCs/>
              </w:rPr>
              <w:t xml:space="preserve">Action Taken: Tabled </w:t>
            </w:r>
            <w:r w:rsidR="0040036D" w:rsidRPr="0040036D">
              <w:rPr>
                <w:b/>
                <w:bCs/>
                <w:i/>
                <w:iCs/>
              </w:rPr>
              <w:t>NPRR1274 until</w:t>
            </w:r>
            <w:r w:rsidRPr="0040036D">
              <w:rPr>
                <w:b/>
                <w:bCs/>
                <w:i/>
                <w:iCs/>
              </w:rPr>
              <w:t xml:space="preserve"> May PLWG.</w:t>
            </w:r>
          </w:p>
        </w:tc>
        <w:tc>
          <w:tcPr>
            <w:tcW w:w="874" w:type="pct"/>
            <w:hideMark/>
          </w:tcPr>
          <w:p w14:paraId="4D5AF636" w14:textId="77777777" w:rsidR="0056135A" w:rsidRPr="00A765CC" w:rsidRDefault="0056135A" w:rsidP="00A765CC"/>
        </w:tc>
      </w:tr>
      <w:tr w:rsidR="0056135A" w:rsidRPr="00A765CC" w14:paraId="5C311365" w14:textId="77777777" w:rsidTr="0056135A">
        <w:trPr>
          <w:trHeight w:val="630"/>
        </w:trPr>
        <w:tc>
          <w:tcPr>
            <w:tcW w:w="291" w:type="pct"/>
            <w:hideMark/>
          </w:tcPr>
          <w:p w14:paraId="59FC715B" w14:textId="613D4F9D" w:rsidR="0056135A" w:rsidRPr="00A765CC" w:rsidRDefault="00CD6C60" w:rsidP="00A765CC">
            <w:r>
              <w:rPr>
                <w:b/>
                <w:bCs/>
              </w:rPr>
              <w:t>9</w:t>
            </w:r>
            <w:r w:rsidR="0056135A" w:rsidRPr="00A765CC">
              <w:rPr>
                <w:b/>
                <w:bCs/>
              </w:rPr>
              <w:t>.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14:paraId="4DF78FA5" w14:textId="72A99266" w:rsidR="0056135A" w:rsidRDefault="00CD6C60" w:rsidP="00A765CC">
            <w:pPr>
              <w:rPr>
                <w:b/>
                <w:bCs/>
              </w:rPr>
            </w:pPr>
            <w:r>
              <w:rPr>
                <w:b/>
                <w:bCs/>
              </w:rPr>
              <w:t>Future NPRR – Establish Multi-Value Criteria for Resiliency-Related Transmission Project Evaluation</w:t>
            </w:r>
          </w:p>
          <w:p w14:paraId="17954A27" w14:textId="298DBD6C" w:rsidR="00B401C9" w:rsidRDefault="00CD6C60" w:rsidP="00B401C9">
            <w:r>
              <w:t xml:space="preserve">Ping Yan (ERCOT) </w:t>
            </w:r>
            <w:r w:rsidR="001945DF">
              <w:t>previewed</w:t>
            </w:r>
            <w:r w:rsidR="008F465F">
              <w:t xml:space="preserve"> concepts for future language potentially to be submitted next month. </w:t>
            </w:r>
            <w:r w:rsidR="0040036D">
              <w:t>This language would e</w:t>
            </w:r>
            <w:r w:rsidR="008F465F">
              <w:t>stablish a path or process to allow the TSPs to take results of the Grid Reliability and Resiliency Assessment (GRRA)</w:t>
            </w:r>
            <w:r w:rsidR="00A141C7">
              <w:t xml:space="preserve"> and proceed to approval.</w:t>
            </w:r>
          </w:p>
          <w:p w14:paraId="230F28CA" w14:textId="3714EF03" w:rsidR="00AC1416" w:rsidRDefault="00AC1416" w:rsidP="00B401C9">
            <w:r>
              <w:t xml:space="preserve">Harsh Naik (Oncor) – </w:t>
            </w:r>
            <w:r w:rsidR="0040036D">
              <w:t>Would there be a link between the GRRA and RTP processes?</w:t>
            </w:r>
            <w:r w:rsidR="005F09BE">
              <w:t xml:space="preserve"> If there’s a project in one, will </w:t>
            </w:r>
            <w:r w:rsidR="0040036D">
              <w:t>ERCOT recommend that it</w:t>
            </w:r>
            <w:r w:rsidR="005F09BE">
              <w:t xml:space="preserve"> be m</w:t>
            </w:r>
            <w:r w:rsidR="00D24235">
              <w:t>o</w:t>
            </w:r>
            <w:r w:rsidR="005F09BE">
              <w:t>ved forward</w:t>
            </w:r>
            <w:r w:rsidR="0040036D">
              <w:t xml:space="preserve"> in the other?</w:t>
            </w:r>
          </w:p>
          <w:p w14:paraId="24A26DB5" w14:textId="309E1470" w:rsidR="005F09BE" w:rsidRDefault="00A405F7" w:rsidP="00B401C9">
            <w:r>
              <w:t xml:space="preserve">Ping - </w:t>
            </w:r>
            <w:r w:rsidR="005F09BE">
              <w:t xml:space="preserve">No, current </w:t>
            </w:r>
            <w:r w:rsidR="00D24235">
              <w:t>thought</w:t>
            </w:r>
            <w:r w:rsidR="005F09BE">
              <w:t xml:space="preserve"> is not to link th</w:t>
            </w:r>
            <w:r w:rsidR="0040036D">
              <w:t>e two processes</w:t>
            </w:r>
            <w:r w:rsidR="005F09BE">
              <w:t xml:space="preserve">. </w:t>
            </w:r>
            <w:r>
              <w:t xml:space="preserve">Would have the TSP recommend in the RTP process. </w:t>
            </w:r>
            <w:proofErr w:type="gramStart"/>
            <w:r>
              <w:t>GRRA</w:t>
            </w:r>
            <w:proofErr w:type="gramEnd"/>
            <w:r>
              <w:t xml:space="preserve"> identified project would go to TSP and then the TSP could evaluate and potentially propose via RTP. </w:t>
            </w:r>
            <w:proofErr w:type="gramStart"/>
            <w:r>
              <w:t>Want</w:t>
            </w:r>
            <w:proofErr w:type="gramEnd"/>
            <w:r>
              <w:t xml:space="preserve"> to give the TSP an opportunity to find better alternatives or otherwise adjust the scope</w:t>
            </w:r>
            <w:r w:rsidR="00D24235">
              <w:t xml:space="preserve"> as needed.</w:t>
            </w:r>
          </w:p>
          <w:p w14:paraId="1369D9AE" w14:textId="69B49385" w:rsidR="00D24235" w:rsidRDefault="00D24235" w:rsidP="00B401C9">
            <w:r>
              <w:t xml:space="preserve">Harsh – Comment on the criteria – like seeing 90% threshold for thermal. Oncor has specific voltage criteria that looks at 95%. Most TSPs are between 0.9 to 0.95; </w:t>
            </w:r>
            <w:proofErr w:type="gramStart"/>
            <w:r>
              <w:t>suggests</w:t>
            </w:r>
            <w:proofErr w:type="gramEnd"/>
            <w:r>
              <w:t xml:space="preserve"> </w:t>
            </w:r>
            <w:r w:rsidR="000538F3">
              <w:t>changing criteria in paragraph</w:t>
            </w:r>
            <w:r>
              <w:t xml:space="preserve"> (b) </w:t>
            </w:r>
            <w:r w:rsidR="00607D45">
              <w:t xml:space="preserve">from </w:t>
            </w:r>
            <w:r>
              <w:t xml:space="preserve">0.01 per unit to 0.05 </w:t>
            </w:r>
            <w:proofErr w:type="spellStart"/>
            <w:r>
              <w:t>pu</w:t>
            </w:r>
            <w:proofErr w:type="spellEnd"/>
            <w:r>
              <w:t>.</w:t>
            </w:r>
            <w:r w:rsidR="00142093">
              <w:t xml:space="preserve"> </w:t>
            </w:r>
            <w:proofErr w:type="gramStart"/>
            <w:r w:rsidR="00142093">
              <w:t>In reality</w:t>
            </w:r>
            <w:r w:rsidR="00607D45">
              <w:t xml:space="preserve"> operators</w:t>
            </w:r>
            <w:proofErr w:type="gramEnd"/>
            <w:r w:rsidR="00142093">
              <w:t xml:space="preserve"> don’t want to see voltages less than 0.95 in grid operations. Suggest thinking of increasing the 1% to something higher - perhaps 5%.</w:t>
            </w:r>
          </w:p>
          <w:p w14:paraId="5163A382" w14:textId="13FAC19E" w:rsidR="00142093" w:rsidRDefault="00142093" w:rsidP="00B401C9">
            <w:r>
              <w:lastRenderedPageBreak/>
              <w:t xml:space="preserve">Ping – </w:t>
            </w:r>
            <w:r w:rsidR="00607D45">
              <w:t>Noted that in the cases ERCOT doesn’t apply the default but instead uses</w:t>
            </w:r>
            <w:r>
              <w:t xml:space="preserve"> the TSP</w:t>
            </w:r>
            <w:r w:rsidR="00607D45">
              <w:t xml:space="preserve"> </w:t>
            </w:r>
            <w:r>
              <w:t>provided specific limits in the analysis. Some buses may have 0.9-0.95; some have 0.95; some have something in between. Feel</w:t>
            </w:r>
            <w:r w:rsidR="00607D45">
              <w:t>s</w:t>
            </w:r>
            <w:r>
              <w:t xml:space="preserve"> that the language address</w:t>
            </w:r>
            <w:r w:rsidR="00607D45">
              <w:t>es</w:t>
            </w:r>
            <w:r>
              <w:t xml:space="preserve"> the TSP variances. </w:t>
            </w:r>
          </w:p>
          <w:p w14:paraId="4C2EADBA" w14:textId="19F50D2D" w:rsidR="00371379" w:rsidRDefault="00371379" w:rsidP="00B401C9">
            <w:r>
              <w:t xml:space="preserve">Harsh – </w:t>
            </w:r>
            <w:r w:rsidR="00607D45">
              <w:t>T</w:t>
            </w:r>
            <w:r>
              <w:t xml:space="preserve">hese variances are equipment specific but don’t reflect how you </w:t>
            </w:r>
            <w:proofErr w:type="gramStart"/>
            <w:r>
              <w:t>actually operate</w:t>
            </w:r>
            <w:proofErr w:type="gramEnd"/>
            <w:r>
              <w:t xml:space="preserve"> the grid (the whole system). Even though the equipment can </w:t>
            </w:r>
            <w:proofErr w:type="gramStart"/>
            <w:r>
              <w:t>handle</w:t>
            </w:r>
            <w:proofErr w:type="gramEnd"/>
            <w:r w:rsidR="00720E78">
              <w:t xml:space="preserve">, </w:t>
            </w:r>
            <w:proofErr w:type="gramStart"/>
            <w:r w:rsidR="00720E78">
              <w:t>must</w:t>
            </w:r>
            <w:proofErr w:type="gramEnd"/>
            <w:r w:rsidR="00720E78">
              <w:t xml:space="preserve"> consider the actual </w:t>
            </w:r>
            <w:r>
              <w:t xml:space="preserve">system </w:t>
            </w:r>
            <w:r w:rsidR="000B21C6">
              <w:t>limitations</w:t>
            </w:r>
            <w:r>
              <w:t>.</w:t>
            </w:r>
          </w:p>
          <w:p w14:paraId="33236623" w14:textId="628AF0D5" w:rsidR="004224DC" w:rsidRPr="00A765CC" w:rsidRDefault="00607D45" w:rsidP="00B401C9">
            <w:r>
              <w:t>ERCOT concluded by encouraging the group to th</w:t>
            </w:r>
            <w:r w:rsidR="004224DC">
              <w:t xml:space="preserve">ink of this language as a starting point. </w:t>
            </w:r>
            <w:r>
              <w:t>ERCOT is open to adjustments and seeks more</w:t>
            </w:r>
            <w:r w:rsidR="004224DC">
              <w:t xml:space="preserve"> stakeholder feedback</w:t>
            </w:r>
            <w:r>
              <w:t>.</w:t>
            </w:r>
          </w:p>
          <w:p w14:paraId="44959224" w14:textId="3B7A4BA6" w:rsidR="000A38F4" w:rsidRPr="00A765CC" w:rsidRDefault="000A38F4" w:rsidP="00A765CC"/>
        </w:tc>
        <w:tc>
          <w:tcPr>
            <w:tcW w:w="874" w:type="pct"/>
            <w:hideMark/>
          </w:tcPr>
          <w:p w14:paraId="39144000" w14:textId="40307233" w:rsidR="0056135A" w:rsidRPr="00A765CC" w:rsidRDefault="00B401C9" w:rsidP="00A765CC">
            <w:r>
              <w:rPr>
                <w:b/>
                <w:bCs/>
              </w:rPr>
              <w:lastRenderedPageBreak/>
              <w:t>Ping Yan</w:t>
            </w:r>
          </w:p>
        </w:tc>
      </w:tr>
      <w:tr w:rsidR="0056135A" w:rsidRPr="00A765CC" w14:paraId="7F514BD5" w14:textId="77777777" w:rsidTr="0056135A">
        <w:trPr>
          <w:trHeight w:val="630"/>
        </w:trPr>
        <w:tc>
          <w:tcPr>
            <w:tcW w:w="291" w:type="pct"/>
            <w:hideMark/>
          </w:tcPr>
          <w:p w14:paraId="61C1F80F" w14:textId="3266277D" w:rsidR="0056135A" w:rsidRPr="00A765CC" w:rsidRDefault="0056135A" w:rsidP="00A765CC">
            <w:r w:rsidRPr="00A765CC">
              <w:rPr>
                <w:b/>
                <w:bCs/>
              </w:rPr>
              <w:t>1</w:t>
            </w:r>
            <w:r w:rsidR="00B401C9">
              <w:rPr>
                <w:b/>
                <w:bCs/>
              </w:rPr>
              <w:t>0</w:t>
            </w:r>
            <w:r w:rsidRPr="00A765CC">
              <w:rPr>
                <w:b/>
                <w:bCs/>
              </w:rPr>
              <w:t>.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14:paraId="53858653" w14:textId="4324064F" w:rsidR="0056135A" w:rsidRDefault="00B401C9" w:rsidP="00A765CC">
            <w:pPr>
              <w:rPr>
                <w:b/>
                <w:bCs/>
              </w:rPr>
            </w:pPr>
            <w:r>
              <w:rPr>
                <w:b/>
                <w:bCs/>
              </w:rPr>
              <w:t>Review Open Action Items</w:t>
            </w:r>
          </w:p>
          <w:p w14:paraId="695646A4" w14:textId="125721B2" w:rsidR="000A38F4" w:rsidRPr="00A765CC" w:rsidRDefault="00DB663A" w:rsidP="00A765CC">
            <w:r>
              <w:t>Not discussed.</w:t>
            </w:r>
          </w:p>
        </w:tc>
        <w:tc>
          <w:tcPr>
            <w:tcW w:w="874" w:type="pct"/>
            <w:hideMark/>
          </w:tcPr>
          <w:p w14:paraId="2DE0F0B3" w14:textId="77777777" w:rsidR="0056135A" w:rsidRPr="00A765CC" w:rsidRDefault="0056135A" w:rsidP="00A765CC">
            <w:r w:rsidRPr="00A765CC">
              <w:rPr>
                <w:b/>
                <w:bCs/>
              </w:rPr>
              <w:t>Chair</w:t>
            </w:r>
          </w:p>
        </w:tc>
      </w:tr>
      <w:tr w:rsidR="0056135A" w:rsidRPr="00A765CC" w14:paraId="5AFFCF84" w14:textId="77777777" w:rsidTr="0056135A">
        <w:trPr>
          <w:trHeight w:val="630"/>
        </w:trPr>
        <w:tc>
          <w:tcPr>
            <w:tcW w:w="291" w:type="pct"/>
            <w:hideMark/>
          </w:tcPr>
          <w:p w14:paraId="49254981" w14:textId="5BCD14E0" w:rsidR="0056135A" w:rsidRPr="00A765CC" w:rsidRDefault="0056135A" w:rsidP="00A765CC">
            <w:r w:rsidRPr="00A765CC">
              <w:rPr>
                <w:b/>
                <w:bCs/>
              </w:rPr>
              <w:t>1</w:t>
            </w:r>
            <w:r w:rsidR="00B401C9">
              <w:rPr>
                <w:b/>
                <w:bCs/>
              </w:rPr>
              <w:t>1</w:t>
            </w:r>
            <w:r w:rsidRPr="00A765CC">
              <w:rPr>
                <w:b/>
                <w:bCs/>
              </w:rPr>
              <w:t>.</w:t>
            </w:r>
            <w:r w:rsidRPr="00A765CC">
              <w:t> </w:t>
            </w:r>
          </w:p>
        </w:tc>
        <w:tc>
          <w:tcPr>
            <w:tcW w:w="3835" w:type="pct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0" w:type="dxa"/>
            </w:tcMar>
            <w:hideMark/>
          </w:tcPr>
          <w:p w14:paraId="7350C123" w14:textId="77777777" w:rsidR="0056135A" w:rsidRDefault="0056135A" w:rsidP="00A765CC">
            <w:pPr>
              <w:rPr>
                <w:b/>
                <w:bCs/>
              </w:rPr>
            </w:pPr>
            <w:r w:rsidRPr="00A765CC">
              <w:rPr>
                <w:b/>
                <w:bCs/>
              </w:rPr>
              <w:t>Adjourn</w:t>
            </w:r>
          </w:p>
          <w:p w14:paraId="3681AE4F" w14:textId="3DB44DC2" w:rsidR="0056135A" w:rsidRPr="00A765CC" w:rsidRDefault="0056135A" w:rsidP="00A765CC">
            <w:r>
              <w:t>Adjourned until</w:t>
            </w:r>
            <w:r w:rsidR="006F4BF8">
              <w:t xml:space="preserve"> </w:t>
            </w:r>
            <w:proofErr w:type="gramStart"/>
            <w:r w:rsidR="006F4BF8">
              <w:t>next</w:t>
            </w:r>
            <w:proofErr w:type="gramEnd"/>
            <w:r w:rsidR="006F4BF8">
              <w:t xml:space="preserve"> PLWG meeting scheduled </w:t>
            </w:r>
            <w:r w:rsidR="006F4BF8" w:rsidRPr="00C3637D">
              <w:t>for</w:t>
            </w:r>
            <w:r w:rsidRPr="00C3637D">
              <w:t xml:space="preserve"> </w:t>
            </w:r>
            <w:r w:rsidR="00C3637D" w:rsidRPr="00C3637D">
              <w:t>May 20</w:t>
            </w:r>
            <w:r w:rsidR="00C3637D" w:rsidRPr="00C3637D">
              <w:rPr>
                <w:vertAlign w:val="superscript"/>
              </w:rPr>
              <w:t>th</w:t>
            </w:r>
            <w:r w:rsidR="00C3637D" w:rsidRPr="00C3637D">
              <w:t>.</w:t>
            </w:r>
          </w:p>
        </w:tc>
        <w:tc>
          <w:tcPr>
            <w:tcW w:w="874" w:type="pct"/>
            <w:hideMark/>
          </w:tcPr>
          <w:p w14:paraId="2808DB60" w14:textId="77777777" w:rsidR="0056135A" w:rsidRPr="00A765CC" w:rsidRDefault="0056135A" w:rsidP="00A765CC">
            <w:r w:rsidRPr="00A765CC">
              <w:rPr>
                <w:b/>
                <w:bCs/>
              </w:rPr>
              <w:t>Chair </w:t>
            </w:r>
          </w:p>
        </w:tc>
      </w:tr>
    </w:tbl>
    <w:p w14:paraId="1B3E5208" w14:textId="77777777" w:rsidR="008D4CFB" w:rsidRDefault="008D4CFB"/>
    <w:sectPr w:rsidR="008D4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854C6"/>
    <w:multiLevelType w:val="multilevel"/>
    <w:tmpl w:val="0E4A6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631DC"/>
    <w:multiLevelType w:val="multilevel"/>
    <w:tmpl w:val="F7E8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17857"/>
    <w:multiLevelType w:val="multilevel"/>
    <w:tmpl w:val="C1B4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A54B9"/>
    <w:multiLevelType w:val="multilevel"/>
    <w:tmpl w:val="FAC6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66392B"/>
    <w:multiLevelType w:val="hybridMultilevel"/>
    <w:tmpl w:val="C8781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E7543"/>
    <w:multiLevelType w:val="multilevel"/>
    <w:tmpl w:val="C27E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405CDE"/>
    <w:multiLevelType w:val="multilevel"/>
    <w:tmpl w:val="D8D2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9744098">
    <w:abstractNumId w:val="3"/>
  </w:num>
  <w:num w:numId="2" w16cid:durableId="542834862">
    <w:abstractNumId w:val="1"/>
  </w:num>
  <w:num w:numId="3" w16cid:durableId="1979676816">
    <w:abstractNumId w:val="6"/>
  </w:num>
  <w:num w:numId="4" w16cid:durableId="911700180">
    <w:abstractNumId w:val="0"/>
  </w:num>
  <w:num w:numId="5" w16cid:durableId="54398409">
    <w:abstractNumId w:val="5"/>
  </w:num>
  <w:num w:numId="6" w16cid:durableId="173692088">
    <w:abstractNumId w:val="2"/>
  </w:num>
  <w:num w:numId="7" w16cid:durableId="133527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CC"/>
    <w:rsid w:val="000126BB"/>
    <w:rsid w:val="00014FFE"/>
    <w:rsid w:val="0002118D"/>
    <w:rsid w:val="00033842"/>
    <w:rsid w:val="00034273"/>
    <w:rsid w:val="00035287"/>
    <w:rsid w:val="00037898"/>
    <w:rsid w:val="00046FC1"/>
    <w:rsid w:val="000538F3"/>
    <w:rsid w:val="00056A74"/>
    <w:rsid w:val="00057904"/>
    <w:rsid w:val="0007069A"/>
    <w:rsid w:val="000720AB"/>
    <w:rsid w:val="00074BF9"/>
    <w:rsid w:val="00077827"/>
    <w:rsid w:val="000818CE"/>
    <w:rsid w:val="00084DDC"/>
    <w:rsid w:val="00086D21"/>
    <w:rsid w:val="000950F1"/>
    <w:rsid w:val="00097266"/>
    <w:rsid w:val="000A38F4"/>
    <w:rsid w:val="000A5FD2"/>
    <w:rsid w:val="000B21C6"/>
    <w:rsid w:val="000C2A7C"/>
    <w:rsid w:val="000C3E15"/>
    <w:rsid w:val="000D1D6E"/>
    <w:rsid w:val="000D2AA6"/>
    <w:rsid w:val="000E005A"/>
    <w:rsid w:val="000F64AA"/>
    <w:rsid w:val="00120156"/>
    <w:rsid w:val="0012134C"/>
    <w:rsid w:val="00132B60"/>
    <w:rsid w:val="001336D5"/>
    <w:rsid w:val="0014037D"/>
    <w:rsid w:val="00142093"/>
    <w:rsid w:val="001461EE"/>
    <w:rsid w:val="00147697"/>
    <w:rsid w:val="00154703"/>
    <w:rsid w:val="00167D02"/>
    <w:rsid w:val="00172DFC"/>
    <w:rsid w:val="00185A3F"/>
    <w:rsid w:val="001916D6"/>
    <w:rsid w:val="001945DF"/>
    <w:rsid w:val="001961AB"/>
    <w:rsid w:val="001A0DA0"/>
    <w:rsid w:val="001A47FB"/>
    <w:rsid w:val="001B6919"/>
    <w:rsid w:val="001C0CC7"/>
    <w:rsid w:val="001E484D"/>
    <w:rsid w:val="001E6E50"/>
    <w:rsid w:val="00202ABA"/>
    <w:rsid w:val="002032B5"/>
    <w:rsid w:val="0021054E"/>
    <w:rsid w:val="00210DB5"/>
    <w:rsid w:val="002144AE"/>
    <w:rsid w:val="002148E2"/>
    <w:rsid w:val="002236BE"/>
    <w:rsid w:val="00226B64"/>
    <w:rsid w:val="0022768B"/>
    <w:rsid w:val="0023302B"/>
    <w:rsid w:val="002357C9"/>
    <w:rsid w:val="00240054"/>
    <w:rsid w:val="00240829"/>
    <w:rsid w:val="002423CC"/>
    <w:rsid w:val="0024273C"/>
    <w:rsid w:val="00261595"/>
    <w:rsid w:val="00262FFC"/>
    <w:rsid w:val="002636A3"/>
    <w:rsid w:val="00270EA4"/>
    <w:rsid w:val="00287C66"/>
    <w:rsid w:val="002B1C34"/>
    <w:rsid w:val="002B22B1"/>
    <w:rsid w:val="002D27E4"/>
    <w:rsid w:val="002E0E68"/>
    <w:rsid w:val="002F4621"/>
    <w:rsid w:val="002F4CC1"/>
    <w:rsid w:val="002F73A8"/>
    <w:rsid w:val="00302CC0"/>
    <w:rsid w:val="00307040"/>
    <w:rsid w:val="003079B9"/>
    <w:rsid w:val="0032404E"/>
    <w:rsid w:val="003309F6"/>
    <w:rsid w:val="00340E3B"/>
    <w:rsid w:val="00360A01"/>
    <w:rsid w:val="00371379"/>
    <w:rsid w:val="00372584"/>
    <w:rsid w:val="00372AD2"/>
    <w:rsid w:val="00372D8C"/>
    <w:rsid w:val="003767ED"/>
    <w:rsid w:val="00383734"/>
    <w:rsid w:val="003921B3"/>
    <w:rsid w:val="003A110E"/>
    <w:rsid w:val="003B0210"/>
    <w:rsid w:val="003B0DDC"/>
    <w:rsid w:val="003B3843"/>
    <w:rsid w:val="003B5A7A"/>
    <w:rsid w:val="003B5F4F"/>
    <w:rsid w:val="003B6F79"/>
    <w:rsid w:val="003E3C80"/>
    <w:rsid w:val="003E7955"/>
    <w:rsid w:val="003F266F"/>
    <w:rsid w:val="003F498B"/>
    <w:rsid w:val="0040036D"/>
    <w:rsid w:val="00404657"/>
    <w:rsid w:val="00407275"/>
    <w:rsid w:val="00407AF6"/>
    <w:rsid w:val="00411E9F"/>
    <w:rsid w:val="00417D21"/>
    <w:rsid w:val="004224DC"/>
    <w:rsid w:val="00424B33"/>
    <w:rsid w:val="0044245C"/>
    <w:rsid w:val="0047745F"/>
    <w:rsid w:val="00484111"/>
    <w:rsid w:val="004875F9"/>
    <w:rsid w:val="00495337"/>
    <w:rsid w:val="004A339E"/>
    <w:rsid w:val="004A51CE"/>
    <w:rsid w:val="004B65F1"/>
    <w:rsid w:val="004C1898"/>
    <w:rsid w:val="004C1FD5"/>
    <w:rsid w:val="004D202C"/>
    <w:rsid w:val="004F094E"/>
    <w:rsid w:val="004F097A"/>
    <w:rsid w:val="004F0ADE"/>
    <w:rsid w:val="004F3C75"/>
    <w:rsid w:val="004F50B0"/>
    <w:rsid w:val="004F5AFB"/>
    <w:rsid w:val="004F6DD4"/>
    <w:rsid w:val="005036B8"/>
    <w:rsid w:val="0051172D"/>
    <w:rsid w:val="00515007"/>
    <w:rsid w:val="005151A7"/>
    <w:rsid w:val="005221D4"/>
    <w:rsid w:val="00525E4A"/>
    <w:rsid w:val="00536386"/>
    <w:rsid w:val="005432F3"/>
    <w:rsid w:val="005436E5"/>
    <w:rsid w:val="00546810"/>
    <w:rsid w:val="005559E3"/>
    <w:rsid w:val="00557FC1"/>
    <w:rsid w:val="0056135A"/>
    <w:rsid w:val="005945B9"/>
    <w:rsid w:val="005B3CD0"/>
    <w:rsid w:val="005B414D"/>
    <w:rsid w:val="005B75FC"/>
    <w:rsid w:val="005B7D3B"/>
    <w:rsid w:val="005C7DCF"/>
    <w:rsid w:val="005E59BE"/>
    <w:rsid w:val="005F09BE"/>
    <w:rsid w:val="005F6CE0"/>
    <w:rsid w:val="00602883"/>
    <w:rsid w:val="00607D45"/>
    <w:rsid w:val="00617FE4"/>
    <w:rsid w:val="006254EB"/>
    <w:rsid w:val="00643010"/>
    <w:rsid w:val="0065074A"/>
    <w:rsid w:val="006550CE"/>
    <w:rsid w:val="006628D9"/>
    <w:rsid w:val="00667A16"/>
    <w:rsid w:val="006701DF"/>
    <w:rsid w:val="00675C1E"/>
    <w:rsid w:val="006762FD"/>
    <w:rsid w:val="00695351"/>
    <w:rsid w:val="00696FC8"/>
    <w:rsid w:val="006C1690"/>
    <w:rsid w:val="006C3684"/>
    <w:rsid w:val="006C7475"/>
    <w:rsid w:val="006D0CD0"/>
    <w:rsid w:val="006E5CCB"/>
    <w:rsid w:val="006E7458"/>
    <w:rsid w:val="006F0E55"/>
    <w:rsid w:val="006F1409"/>
    <w:rsid w:val="006F4BF8"/>
    <w:rsid w:val="00700D26"/>
    <w:rsid w:val="00704F48"/>
    <w:rsid w:val="007104C5"/>
    <w:rsid w:val="00711954"/>
    <w:rsid w:val="00720E78"/>
    <w:rsid w:val="00725854"/>
    <w:rsid w:val="00726DB7"/>
    <w:rsid w:val="00727CC5"/>
    <w:rsid w:val="00731C58"/>
    <w:rsid w:val="00750FEE"/>
    <w:rsid w:val="0076236C"/>
    <w:rsid w:val="00770A8F"/>
    <w:rsid w:val="0078333D"/>
    <w:rsid w:val="00783682"/>
    <w:rsid w:val="00790B75"/>
    <w:rsid w:val="00790B92"/>
    <w:rsid w:val="00796137"/>
    <w:rsid w:val="007A2208"/>
    <w:rsid w:val="007A5C05"/>
    <w:rsid w:val="007B2189"/>
    <w:rsid w:val="007C236E"/>
    <w:rsid w:val="007C3171"/>
    <w:rsid w:val="007C424D"/>
    <w:rsid w:val="007E1D4E"/>
    <w:rsid w:val="007E4362"/>
    <w:rsid w:val="007F18D2"/>
    <w:rsid w:val="007F25D5"/>
    <w:rsid w:val="007F6580"/>
    <w:rsid w:val="0080034B"/>
    <w:rsid w:val="0080136D"/>
    <w:rsid w:val="00804808"/>
    <w:rsid w:val="00821F80"/>
    <w:rsid w:val="00824A7E"/>
    <w:rsid w:val="00834AEF"/>
    <w:rsid w:val="00837C18"/>
    <w:rsid w:val="00841C62"/>
    <w:rsid w:val="008564F2"/>
    <w:rsid w:val="00861ECF"/>
    <w:rsid w:val="008658C2"/>
    <w:rsid w:val="0086794C"/>
    <w:rsid w:val="00886B0A"/>
    <w:rsid w:val="008B271E"/>
    <w:rsid w:val="008C16E3"/>
    <w:rsid w:val="008C25A6"/>
    <w:rsid w:val="008C5CC4"/>
    <w:rsid w:val="008D3628"/>
    <w:rsid w:val="008D38DD"/>
    <w:rsid w:val="008D4CFB"/>
    <w:rsid w:val="008D7691"/>
    <w:rsid w:val="008E150D"/>
    <w:rsid w:val="008E4F6B"/>
    <w:rsid w:val="008F35FE"/>
    <w:rsid w:val="008F3AFB"/>
    <w:rsid w:val="008F465F"/>
    <w:rsid w:val="009077C0"/>
    <w:rsid w:val="00923C08"/>
    <w:rsid w:val="00945144"/>
    <w:rsid w:val="00946B43"/>
    <w:rsid w:val="009512BE"/>
    <w:rsid w:val="00954399"/>
    <w:rsid w:val="00954ABB"/>
    <w:rsid w:val="00965CF6"/>
    <w:rsid w:val="00974764"/>
    <w:rsid w:val="00982DED"/>
    <w:rsid w:val="0098365C"/>
    <w:rsid w:val="0099163C"/>
    <w:rsid w:val="00997698"/>
    <w:rsid w:val="009B1D2F"/>
    <w:rsid w:val="009B7F04"/>
    <w:rsid w:val="009C0A7B"/>
    <w:rsid w:val="009D2313"/>
    <w:rsid w:val="009E161E"/>
    <w:rsid w:val="009F0303"/>
    <w:rsid w:val="009F5856"/>
    <w:rsid w:val="009F7154"/>
    <w:rsid w:val="00A0305B"/>
    <w:rsid w:val="00A141C7"/>
    <w:rsid w:val="00A2072B"/>
    <w:rsid w:val="00A260CC"/>
    <w:rsid w:val="00A36AF4"/>
    <w:rsid w:val="00A4030C"/>
    <w:rsid w:val="00A405F7"/>
    <w:rsid w:val="00A4489E"/>
    <w:rsid w:val="00A5232D"/>
    <w:rsid w:val="00A72642"/>
    <w:rsid w:val="00A765CC"/>
    <w:rsid w:val="00A77571"/>
    <w:rsid w:val="00A84911"/>
    <w:rsid w:val="00A90618"/>
    <w:rsid w:val="00A926C4"/>
    <w:rsid w:val="00A95F61"/>
    <w:rsid w:val="00A962AD"/>
    <w:rsid w:val="00AA3E1A"/>
    <w:rsid w:val="00AA7DCB"/>
    <w:rsid w:val="00AB2937"/>
    <w:rsid w:val="00AB66C5"/>
    <w:rsid w:val="00AC0FBC"/>
    <w:rsid w:val="00AC1416"/>
    <w:rsid w:val="00AC2A7F"/>
    <w:rsid w:val="00AC7223"/>
    <w:rsid w:val="00AD3477"/>
    <w:rsid w:val="00AD3B6A"/>
    <w:rsid w:val="00AE2B8B"/>
    <w:rsid w:val="00AF37D3"/>
    <w:rsid w:val="00B07705"/>
    <w:rsid w:val="00B11F9F"/>
    <w:rsid w:val="00B24967"/>
    <w:rsid w:val="00B255EF"/>
    <w:rsid w:val="00B3521D"/>
    <w:rsid w:val="00B357A9"/>
    <w:rsid w:val="00B36C83"/>
    <w:rsid w:val="00B401C9"/>
    <w:rsid w:val="00B4536A"/>
    <w:rsid w:val="00B46FAF"/>
    <w:rsid w:val="00B54238"/>
    <w:rsid w:val="00B63F6B"/>
    <w:rsid w:val="00B76E7B"/>
    <w:rsid w:val="00B95FE5"/>
    <w:rsid w:val="00B9650A"/>
    <w:rsid w:val="00BB139A"/>
    <w:rsid w:val="00BB1437"/>
    <w:rsid w:val="00BB213A"/>
    <w:rsid w:val="00BD0663"/>
    <w:rsid w:val="00BD43B0"/>
    <w:rsid w:val="00BD454A"/>
    <w:rsid w:val="00BE0710"/>
    <w:rsid w:val="00BE467F"/>
    <w:rsid w:val="00BE6745"/>
    <w:rsid w:val="00BF2A84"/>
    <w:rsid w:val="00BF3DEB"/>
    <w:rsid w:val="00BF7CD4"/>
    <w:rsid w:val="00C00B45"/>
    <w:rsid w:val="00C14DDC"/>
    <w:rsid w:val="00C2575D"/>
    <w:rsid w:val="00C30BD1"/>
    <w:rsid w:val="00C3637D"/>
    <w:rsid w:val="00C454FA"/>
    <w:rsid w:val="00C6026A"/>
    <w:rsid w:val="00C65074"/>
    <w:rsid w:val="00C67940"/>
    <w:rsid w:val="00C700C1"/>
    <w:rsid w:val="00C7044E"/>
    <w:rsid w:val="00C7304D"/>
    <w:rsid w:val="00C76712"/>
    <w:rsid w:val="00CA79AA"/>
    <w:rsid w:val="00CC5409"/>
    <w:rsid w:val="00CC57FE"/>
    <w:rsid w:val="00CC59B0"/>
    <w:rsid w:val="00CD1AD6"/>
    <w:rsid w:val="00CD6C60"/>
    <w:rsid w:val="00CF1FE2"/>
    <w:rsid w:val="00CF3375"/>
    <w:rsid w:val="00CF6CBA"/>
    <w:rsid w:val="00D058AD"/>
    <w:rsid w:val="00D24235"/>
    <w:rsid w:val="00D3147E"/>
    <w:rsid w:val="00D373D9"/>
    <w:rsid w:val="00D41EC5"/>
    <w:rsid w:val="00D45808"/>
    <w:rsid w:val="00D85555"/>
    <w:rsid w:val="00D965BA"/>
    <w:rsid w:val="00D9725C"/>
    <w:rsid w:val="00DA03DA"/>
    <w:rsid w:val="00DA624C"/>
    <w:rsid w:val="00DA7B35"/>
    <w:rsid w:val="00DB5442"/>
    <w:rsid w:val="00DB663A"/>
    <w:rsid w:val="00DD136D"/>
    <w:rsid w:val="00DD2B2B"/>
    <w:rsid w:val="00DF1F36"/>
    <w:rsid w:val="00E119C4"/>
    <w:rsid w:val="00E21157"/>
    <w:rsid w:val="00E225FA"/>
    <w:rsid w:val="00E26CCC"/>
    <w:rsid w:val="00E3158A"/>
    <w:rsid w:val="00E4273B"/>
    <w:rsid w:val="00E46C13"/>
    <w:rsid w:val="00E51A57"/>
    <w:rsid w:val="00E55441"/>
    <w:rsid w:val="00E572E3"/>
    <w:rsid w:val="00E65E91"/>
    <w:rsid w:val="00E772FC"/>
    <w:rsid w:val="00E77F8B"/>
    <w:rsid w:val="00E81159"/>
    <w:rsid w:val="00E854AD"/>
    <w:rsid w:val="00E90319"/>
    <w:rsid w:val="00EB265C"/>
    <w:rsid w:val="00EC12E8"/>
    <w:rsid w:val="00ED1987"/>
    <w:rsid w:val="00ED2EBF"/>
    <w:rsid w:val="00EF5F01"/>
    <w:rsid w:val="00F110F0"/>
    <w:rsid w:val="00F12154"/>
    <w:rsid w:val="00F231D6"/>
    <w:rsid w:val="00F23B37"/>
    <w:rsid w:val="00F26190"/>
    <w:rsid w:val="00F34545"/>
    <w:rsid w:val="00F42E7B"/>
    <w:rsid w:val="00F508CD"/>
    <w:rsid w:val="00F64815"/>
    <w:rsid w:val="00F704FD"/>
    <w:rsid w:val="00F71252"/>
    <w:rsid w:val="00F83F3C"/>
    <w:rsid w:val="00F844FB"/>
    <w:rsid w:val="00F85181"/>
    <w:rsid w:val="00F91924"/>
    <w:rsid w:val="00FE07F6"/>
    <w:rsid w:val="00FE7513"/>
    <w:rsid w:val="00FF01C4"/>
    <w:rsid w:val="00FF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A1E01"/>
  <w15:chartTrackingRefBased/>
  <w15:docId w15:val="{1E95B631-4425-4DC2-895C-F6766BEA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6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5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6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65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65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65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65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65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5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5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65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65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65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65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5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5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5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65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6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5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6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6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65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65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65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65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65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65C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F3C7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15187-4D48-4980-AF9F-7805B845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Company</Company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Kristin (SPC)</dc:creator>
  <cp:keywords/>
  <dc:description/>
  <cp:lastModifiedBy>Cook, Kristin (SPC)</cp:lastModifiedBy>
  <cp:revision>157</cp:revision>
  <dcterms:created xsi:type="dcterms:W3CDTF">2025-03-20T13:44:00Z</dcterms:created>
  <dcterms:modified xsi:type="dcterms:W3CDTF">2025-05-01T18:46:00Z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3826ce-7c18-471d-9596-93de5bae332e_Enabled">
    <vt:lpwstr>true</vt:lpwstr>
  </property>
  <property fmtid="{D5CDD505-2E9C-101B-9397-08002B2CF9AE}" pid="3" name="MSIP_Label_ed3826ce-7c18-471d-9596-93de5bae332e_SetDate">
    <vt:lpwstr>2025-02-24T17:29:16Z</vt:lpwstr>
  </property>
  <property fmtid="{D5CDD505-2E9C-101B-9397-08002B2CF9AE}" pid="4" name="MSIP_Label_ed3826ce-7c18-471d-9596-93de5bae332e_Method">
    <vt:lpwstr>Standard</vt:lpwstr>
  </property>
  <property fmtid="{D5CDD505-2E9C-101B-9397-08002B2CF9AE}" pid="5" name="MSIP_Label_ed3826ce-7c18-471d-9596-93de5bae332e_Name">
    <vt:lpwstr>Internal</vt:lpwstr>
  </property>
  <property fmtid="{D5CDD505-2E9C-101B-9397-08002B2CF9AE}" pid="6" name="MSIP_Label_ed3826ce-7c18-471d-9596-93de5bae332e_SiteId">
    <vt:lpwstr>c0a02e2d-1186-410a-8895-0a4a252ebf17</vt:lpwstr>
  </property>
  <property fmtid="{D5CDD505-2E9C-101B-9397-08002B2CF9AE}" pid="7" name="MSIP_Label_ed3826ce-7c18-471d-9596-93de5bae332e_ActionId">
    <vt:lpwstr>1b50d964-291c-4e9f-a23b-8baf8ad65ef5</vt:lpwstr>
  </property>
  <property fmtid="{D5CDD505-2E9C-101B-9397-08002B2CF9AE}" pid="8" name="MSIP_Label_ed3826ce-7c18-471d-9596-93de5bae332e_ContentBits">
    <vt:lpwstr>0</vt:lpwstr>
  </property>
</Properties>
</file>