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26C9C4A6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B3D004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402F33" w14:textId="77777777" w:rsidR="00152993" w:rsidRDefault="000B3461" w:rsidP="00817E53">
            <w:pPr>
              <w:pStyle w:val="Header"/>
              <w:jc w:val="center"/>
            </w:pPr>
            <w:hyperlink r:id="rId9" w:history="1">
              <w:r w:rsidRPr="000B3461">
                <w:rPr>
                  <w:rStyle w:val="Hyperlink"/>
                </w:rPr>
                <w:t>1274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5F9A36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6ABC5A3" w14:textId="77777777" w:rsidR="00152993" w:rsidRDefault="000B3461">
            <w:pPr>
              <w:pStyle w:val="Header"/>
            </w:pPr>
            <w:r w:rsidRPr="000B3461">
              <w:t>RPG Estimated Capital Cost Thresholds of Proposed Transmission Projects</w:t>
            </w:r>
          </w:p>
        </w:tc>
      </w:tr>
      <w:tr w:rsidR="00152993" w14:paraId="2E3E3F5C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9E441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6642F" w14:textId="77777777" w:rsidR="00152993" w:rsidRDefault="00152993">
            <w:pPr>
              <w:pStyle w:val="NormalArial"/>
            </w:pPr>
          </w:p>
        </w:tc>
      </w:tr>
      <w:tr w:rsidR="00152993" w14:paraId="565C199B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F8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133" w14:textId="28CCDEFF" w:rsidR="00152993" w:rsidRDefault="005D3545">
            <w:pPr>
              <w:pStyle w:val="NormalArial"/>
            </w:pPr>
            <w:r>
              <w:t>May 16</w:t>
            </w:r>
            <w:r w:rsidR="000B3461">
              <w:t>, 2025</w:t>
            </w:r>
          </w:p>
        </w:tc>
      </w:tr>
      <w:tr w:rsidR="00152993" w14:paraId="20AF4462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F4579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F797" w14:textId="77777777" w:rsidR="00152993" w:rsidRDefault="00152993">
            <w:pPr>
              <w:pStyle w:val="NormalArial"/>
            </w:pPr>
          </w:p>
        </w:tc>
      </w:tr>
      <w:tr w:rsidR="00152993" w14:paraId="51C13233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DF25FC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588D065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BAFBFE4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0618737" w14:textId="6ECFE9A7" w:rsidR="00152993" w:rsidRDefault="00F4026F">
            <w:pPr>
              <w:pStyle w:val="NormalArial"/>
            </w:pPr>
            <w:r>
              <w:t xml:space="preserve">Erin Rasmussen (AEP) / </w:t>
            </w:r>
            <w:r w:rsidR="001C1C4E">
              <w:t>Jim Lee</w:t>
            </w:r>
            <w:r>
              <w:t xml:space="preserve"> (CNP) / Rob Bevill (TNMP)</w:t>
            </w:r>
          </w:p>
        </w:tc>
      </w:tr>
      <w:tr w:rsidR="00152993" w14:paraId="79F1ECA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539551B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7382BF4D" w14:textId="1BC0DFF9" w:rsidR="00152993" w:rsidRDefault="00F4026F">
            <w:pPr>
              <w:pStyle w:val="NormalArial"/>
            </w:pPr>
            <w:hyperlink r:id="rId10" w:history="1">
              <w:r w:rsidRPr="008901CC">
                <w:rPr>
                  <w:rStyle w:val="Hyperlink"/>
                </w:rPr>
                <w:t>ejrasmussen@aep.com</w:t>
              </w:r>
            </w:hyperlink>
            <w:r>
              <w:t xml:space="preserve"> / </w:t>
            </w:r>
            <w:hyperlink r:id="rId11" w:history="1">
              <w:r w:rsidR="001C1C4E" w:rsidRPr="00673E7C">
                <w:rPr>
                  <w:rStyle w:val="Hyperlink"/>
                </w:rPr>
                <w:t>Jim.Lee@centerpointenergy.com</w:t>
              </w:r>
            </w:hyperlink>
            <w:r>
              <w:t xml:space="preserve"> / </w:t>
            </w:r>
            <w:hyperlink r:id="rId12" w:history="1">
              <w:r w:rsidR="00096738" w:rsidRPr="008901CC">
                <w:rPr>
                  <w:rStyle w:val="Hyperlink"/>
                </w:rPr>
                <w:t>Robert.Bevill@tnmp.com</w:t>
              </w:r>
            </w:hyperlink>
            <w:r w:rsidR="00096738">
              <w:t xml:space="preserve"> </w:t>
            </w:r>
            <w:r>
              <w:t xml:space="preserve"> </w:t>
            </w:r>
          </w:p>
        </w:tc>
      </w:tr>
      <w:tr w:rsidR="00152993" w14:paraId="3A35B3EE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11089ED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288190D" w14:textId="3ADAAB1B" w:rsidR="00152993" w:rsidRDefault="005D3545">
            <w:pPr>
              <w:pStyle w:val="NormalArial"/>
            </w:pPr>
            <w:r>
              <w:t xml:space="preserve">AEP / CenterPoint </w:t>
            </w:r>
            <w:r w:rsidR="00F4026F">
              <w:t xml:space="preserve">Energy </w:t>
            </w:r>
            <w:r>
              <w:t>/ TNMP</w:t>
            </w:r>
          </w:p>
        </w:tc>
      </w:tr>
      <w:tr w:rsidR="00152993" w14:paraId="660AD039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4491BF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16982687" w14:textId="4B21C07A" w:rsidR="00152993" w:rsidRDefault="00F4026F">
            <w:pPr>
              <w:pStyle w:val="NormalArial"/>
            </w:pPr>
            <w:r>
              <w:t xml:space="preserve">918-606-7106 (Erin) / </w:t>
            </w:r>
            <w:r w:rsidR="001C1C4E">
              <w:t>512-397-3031</w:t>
            </w:r>
            <w:r>
              <w:t xml:space="preserve"> (Jim) / 512-</w:t>
            </w:r>
            <w:r w:rsidR="00096738">
              <w:t>457-9109 (Rob)</w:t>
            </w:r>
          </w:p>
        </w:tc>
      </w:tr>
      <w:tr w:rsidR="00152993" w14:paraId="38B03787" w14:textId="77777777" w:rsidTr="00845635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309FA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C028B8B" w14:textId="22503880" w:rsidR="00152993" w:rsidRDefault="001C1C4E">
            <w:pPr>
              <w:pStyle w:val="NormalArial"/>
            </w:pPr>
            <w:r>
              <w:t>N/A</w:t>
            </w:r>
          </w:p>
        </w:tc>
      </w:tr>
      <w:tr w:rsidR="00075A94" w14:paraId="29BC53C0" w14:textId="77777777" w:rsidTr="00845635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4EFC66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035C467" w14:textId="2D50459E" w:rsidR="00075A94" w:rsidRDefault="000B3461">
            <w:pPr>
              <w:pStyle w:val="NormalArial"/>
            </w:pPr>
            <w:r>
              <w:t>Investor-Owned Utility</w:t>
            </w:r>
            <w:r w:rsidR="001C1C4E">
              <w:t xml:space="preserve"> (IOU)</w:t>
            </w:r>
          </w:p>
        </w:tc>
      </w:tr>
      <w:tr w:rsidR="00845635" w14:paraId="750AA551" w14:textId="77777777" w:rsidTr="00845635">
        <w:trPr>
          <w:trHeight w:val="350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9FEE04" w14:textId="77777777" w:rsidR="00845635" w:rsidRDefault="00845635" w:rsidP="00EC55B3">
            <w:pPr>
              <w:pStyle w:val="Header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ACCAC" w14:textId="77777777" w:rsidR="00845635" w:rsidRDefault="00845635">
            <w:pPr>
              <w:pStyle w:val="NormalArial"/>
            </w:pPr>
          </w:p>
        </w:tc>
      </w:tr>
      <w:tr w:rsidR="00845635" w14:paraId="5EAD55C5" w14:textId="77777777" w:rsidTr="00845635">
        <w:trPr>
          <w:trHeight w:val="350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19711" w14:textId="4F780840" w:rsidR="00845635" w:rsidRPr="00845635" w:rsidRDefault="00845635" w:rsidP="00845635">
            <w:pPr>
              <w:pStyle w:val="NormalArial"/>
              <w:jc w:val="center"/>
              <w:rPr>
                <w:b/>
                <w:bCs/>
              </w:rPr>
            </w:pPr>
            <w:r w:rsidRPr="00845635">
              <w:rPr>
                <w:b/>
                <w:bCs/>
              </w:rPr>
              <w:t>Comments</w:t>
            </w:r>
          </w:p>
        </w:tc>
      </w:tr>
    </w:tbl>
    <w:p w14:paraId="68DCB563" w14:textId="4E48683B" w:rsidR="00BF23E0" w:rsidRDefault="00BF7443" w:rsidP="00845635">
      <w:pPr>
        <w:pStyle w:val="NormalArial"/>
        <w:spacing w:before="120" w:after="120"/>
      </w:pPr>
      <w:r>
        <w:t xml:space="preserve">Joint TSP </w:t>
      </w:r>
      <w:r w:rsidR="002129C9">
        <w:t>c</w:t>
      </w:r>
      <w:r>
        <w:t>ommentors</w:t>
      </w:r>
      <w:r w:rsidR="002129C9">
        <w:t xml:space="preserve"> appreciate the opportunity to provide the</w:t>
      </w:r>
      <w:r w:rsidR="00331FE7">
        <w:t>se</w:t>
      </w:r>
      <w:r w:rsidR="002129C9">
        <w:t xml:space="preserve"> comments to Nodal Protocol Revision Request (NPRR) 1274. </w:t>
      </w:r>
      <w:r w:rsidR="00331FE7">
        <w:t xml:space="preserve"> </w:t>
      </w:r>
      <w:r w:rsidR="002129C9">
        <w:t>The</w:t>
      </w:r>
      <w:r w:rsidR="00BF23E0">
        <w:t>se</w:t>
      </w:r>
      <w:r w:rsidR="002129C9">
        <w:t xml:space="preserve"> comments </w:t>
      </w:r>
      <w:r w:rsidR="00BF23E0">
        <w:t xml:space="preserve">are intended to build upon </w:t>
      </w:r>
      <w:r w:rsidR="00331FE7">
        <w:t xml:space="preserve">5/14/25 </w:t>
      </w:r>
      <w:r w:rsidR="00BF23E0">
        <w:t xml:space="preserve">Oncor comments by providing additional cost analysis performed by the Joint TSP commentors to demonstrate the need for higher </w:t>
      </w:r>
      <w:r w:rsidR="00331FE7">
        <w:t>Regional Planning Group (</w:t>
      </w:r>
      <w:r w:rsidR="00BF23E0">
        <w:t>RPG</w:t>
      </w:r>
      <w:r w:rsidR="00331FE7">
        <w:t>)</w:t>
      </w:r>
      <w:r w:rsidR="00BF23E0">
        <w:t xml:space="preserve"> cost threshold values over the proposed ERCOT amounts</w:t>
      </w:r>
      <w:r w:rsidR="00A12A94">
        <w:t xml:space="preserve"> to help right-size the RPG cost </w:t>
      </w:r>
      <w:r w:rsidR="00331FE7">
        <w:t>T</w:t>
      </w:r>
      <w:r w:rsidR="00A12A94">
        <w:t>iers with today’s costs</w:t>
      </w:r>
      <w:r w:rsidR="00BF23E0">
        <w:t xml:space="preserve">. </w:t>
      </w:r>
    </w:p>
    <w:p w14:paraId="54031451" w14:textId="3C991F26" w:rsidR="009F7FA6" w:rsidRDefault="00BF23E0" w:rsidP="00845635">
      <w:pPr>
        <w:pStyle w:val="NormalArial"/>
        <w:spacing w:before="120" w:after="120"/>
      </w:pPr>
      <w:r>
        <w:t>Regarding ERCOT’s utilization of the U.S. Bureau of Labor Statistics Consumer Price Index (CPI), the</w:t>
      </w:r>
      <w:r w:rsidR="002129C9">
        <w:t xml:space="preserve"> Joint TSP commentors </w:t>
      </w:r>
      <w:r w:rsidR="00BF7443">
        <w:t xml:space="preserve">agree with Oncor that </w:t>
      </w:r>
      <w:r w:rsidR="002129C9">
        <w:t>ERCOT’s</w:t>
      </w:r>
      <w:r w:rsidR="00431779">
        <w:t xml:space="preserve"> proposal to </w:t>
      </w:r>
      <w:r w:rsidR="00A7312E">
        <w:t xml:space="preserve">solely </w:t>
      </w:r>
      <w:r w:rsidR="00431779">
        <w:t xml:space="preserve">utilize the U.S. Bureau of Labor Statistics </w:t>
      </w:r>
      <w:r w:rsidR="00CC781E">
        <w:t>CPI calculator to estimate the increase in transmission development costs in Texas is inappropriate</w:t>
      </w:r>
      <w:r w:rsidR="00A7312E">
        <w:t xml:space="preserve"> on </w:t>
      </w:r>
      <w:r w:rsidR="002829F9">
        <w:t>its</w:t>
      </w:r>
      <w:r w:rsidR="00A7312E">
        <w:t xml:space="preserve"> own, and does not fully capture the increased transmission development costs that the Joint TSPs have observed which include other factors such as </w:t>
      </w:r>
      <w:r w:rsidR="00A12A94">
        <w:t xml:space="preserve">increased </w:t>
      </w:r>
      <w:r w:rsidR="00A7312E">
        <w:t xml:space="preserve">real estate </w:t>
      </w:r>
      <w:r w:rsidR="00A12A94">
        <w:t>costs</w:t>
      </w:r>
      <w:r w:rsidR="00A7312E">
        <w:t xml:space="preserve">, specialty equipment, </w:t>
      </w:r>
      <w:r w:rsidR="00A12A94">
        <w:t xml:space="preserve">and </w:t>
      </w:r>
      <w:r w:rsidR="00A7312E">
        <w:t xml:space="preserve">increased material and labor costs. </w:t>
      </w:r>
      <w:r w:rsidR="00331FE7">
        <w:t xml:space="preserve"> </w:t>
      </w:r>
      <w:r w:rsidR="00A12A94">
        <w:t xml:space="preserve">Additionally, since the last RPG </w:t>
      </w:r>
      <w:r w:rsidR="00331FE7">
        <w:t>T</w:t>
      </w:r>
      <w:r w:rsidR="00A12A94">
        <w:t>ier threshold adjustments implemented in June 2017 via NPRR837,</w:t>
      </w:r>
      <w:r w:rsidR="005C4FE5">
        <w:t xml:space="preserve"> Regional Planning Group (PRG) Process Report,</w:t>
      </w:r>
      <w:r w:rsidR="00A12A94">
        <w:t xml:space="preserve"> the Joint TSPs have each adopted modified construction methodologies</w:t>
      </w:r>
      <w:r w:rsidR="009F7FA6">
        <w:t xml:space="preserve"> </w:t>
      </w:r>
      <w:r w:rsidR="00A12A94">
        <w:t xml:space="preserve">utilizing temporary bypass facilities </w:t>
      </w:r>
      <w:r w:rsidR="002829F9">
        <w:t>to</w:t>
      </w:r>
      <w:r w:rsidR="00A12A94">
        <w:t xml:space="preserve"> support ERCOT’s </w:t>
      </w:r>
      <w:r w:rsidR="009F7FA6">
        <w:t xml:space="preserve">reduced transmission </w:t>
      </w:r>
      <w:r w:rsidR="005C4FE5">
        <w:t>O</w:t>
      </w:r>
      <w:r w:rsidR="009F7FA6">
        <w:t xml:space="preserve">utage </w:t>
      </w:r>
      <w:r w:rsidR="00CA66E0">
        <w:t>window</w:t>
      </w:r>
      <w:r w:rsidR="00D02861">
        <w:t>s</w:t>
      </w:r>
      <w:r w:rsidR="009F7FA6">
        <w:t>.</w:t>
      </w:r>
    </w:p>
    <w:p w14:paraId="77B233C2" w14:textId="319EAA55" w:rsidR="00AA3561" w:rsidRDefault="009F7FA6" w:rsidP="00845635">
      <w:pPr>
        <w:pStyle w:val="NormalArial"/>
        <w:spacing w:before="120" w:after="120"/>
      </w:pPr>
      <w:r>
        <w:t xml:space="preserve">In the data </w:t>
      </w:r>
      <w:r w:rsidR="00285FE8">
        <w:t>set</w:t>
      </w:r>
      <w:r w:rsidR="00C12F01">
        <w:t>s</w:t>
      </w:r>
      <w:r w:rsidR="00285FE8">
        <w:t xml:space="preserve"> </w:t>
      </w:r>
      <w:r>
        <w:t xml:space="preserve">below, </w:t>
      </w:r>
      <w:r w:rsidR="00892393">
        <w:t>CenterPoint Energy and AEP</w:t>
      </w:r>
      <w:r>
        <w:t xml:space="preserve"> </w:t>
      </w:r>
      <w:r w:rsidR="00285FE8">
        <w:t xml:space="preserve">provide their analysis of certain </w:t>
      </w:r>
      <w:r>
        <w:t xml:space="preserve">transmission </w:t>
      </w:r>
      <w:r w:rsidR="002829F9">
        <w:t>projects and</w:t>
      </w:r>
      <w:r w:rsidR="00285FE8">
        <w:t xml:space="preserve"> </w:t>
      </w:r>
      <w:r w:rsidR="00BB3FD8">
        <w:t xml:space="preserve">re-estimated </w:t>
      </w:r>
      <w:r w:rsidR="00285FE8">
        <w:t xml:space="preserve">the project costs using 2025 dollars. </w:t>
      </w:r>
      <w:r w:rsidR="005C4FE5">
        <w:t xml:space="preserve"> </w:t>
      </w:r>
      <w:r w:rsidR="00FB7DF1">
        <w:t>TNMP ha</w:t>
      </w:r>
      <w:r w:rsidR="00C12F01">
        <w:t>s</w:t>
      </w:r>
      <w:r w:rsidR="00DA7346">
        <w:t xml:space="preserve"> </w:t>
      </w:r>
      <w:r w:rsidR="00C12F01">
        <w:t>also</w:t>
      </w:r>
      <w:r w:rsidR="00FB7DF1">
        <w:t xml:space="preserve"> observed similar trends </w:t>
      </w:r>
      <w:r w:rsidR="00C12F01">
        <w:t>in alignment with these increased costs</w:t>
      </w:r>
      <w:r w:rsidR="00FB7DF1">
        <w:t>.</w:t>
      </w:r>
      <w:r w:rsidR="00DA7346">
        <w:t xml:space="preserve"> </w:t>
      </w:r>
      <w:r w:rsidR="005C4FE5">
        <w:t xml:space="preserve"> </w:t>
      </w:r>
      <w:r w:rsidR="00BB3FD8">
        <w:t xml:space="preserve">As a supporting data point, </w:t>
      </w:r>
      <w:r w:rsidR="00285FE8">
        <w:t xml:space="preserve">CenterPoint Energy’s analysis </w:t>
      </w:r>
      <w:r w:rsidR="00BB3FD8">
        <w:t xml:space="preserve">also </w:t>
      </w:r>
      <w:r w:rsidR="00285FE8">
        <w:t xml:space="preserve">includes </w:t>
      </w:r>
      <w:r w:rsidR="00BB3FD8">
        <w:t>the additional costs related to the temporary bypass methodology</w:t>
      </w:r>
      <w:r w:rsidR="00285FE8">
        <w:t xml:space="preserve"> </w:t>
      </w:r>
      <w:r w:rsidR="00BB3FD8">
        <w:t xml:space="preserve">mentioned above to help ERCOT meet </w:t>
      </w:r>
      <w:r w:rsidR="002829F9">
        <w:t>its</w:t>
      </w:r>
      <w:r w:rsidR="00BB3FD8">
        <w:t xml:space="preserve"> reduce</w:t>
      </w:r>
      <w:r w:rsidR="00A65D05">
        <w:t>d</w:t>
      </w:r>
      <w:r w:rsidR="00BB3FD8">
        <w:t xml:space="preserve"> transmission </w:t>
      </w:r>
      <w:r w:rsidR="005C4FE5">
        <w:t>O</w:t>
      </w:r>
      <w:r w:rsidR="00BB3FD8">
        <w:t xml:space="preserve">utage </w:t>
      </w:r>
      <w:r w:rsidR="002829F9">
        <w:t>window</w:t>
      </w:r>
      <w:r w:rsidR="00D02861">
        <w:t>s</w:t>
      </w:r>
      <w:r w:rsidR="002829F9">
        <w:t xml:space="preserve"> and</w:t>
      </w:r>
      <w:r w:rsidR="00BB3FD8">
        <w:t xml:space="preserve"> is intended to demonstrate increased costs related to transmission project development that was not considered in 2017 when developing the current tier thresholds implemented via NPRR837.</w:t>
      </w:r>
      <w:r w:rsidR="00A65D05">
        <w:t xml:space="preserve"> </w:t>
      </w:r>
    </w:p>
    <w:p w14:paraId="70629B7F" w14:textId="6543E428" w:rsidR="00331FE7" w:rsidRDefault="00A65D05" w:rsidP="00845635">
      <w:pPr>
        <w:pStyle w:val="NormalArial"/>
      </w:pPr>
      <w:r>
        <w:lastRenderedPageBreak/>
        <w:t>It is the Joint TSP’s conclusion that</w:t>
      </w:r>
      <w:r w:rsidR="0073583D">
        <w:t xml:space="preserve"> </w:t>
      </w:r>
      <w:r w:rsidR="00CC781E">
        <w:t xml:space="preserve">costs have </w:t>
      </w:r>
      <w:r w:rsidR="00274C55">
        <w:t xml:space="preserve">more than </w:t>
      </w:r>
      <w:r w:rsidR="00951D5D">
        <w:t xml:space="preserve">doubled since 2018, largely because of increased competition nationwide for </w:t>
      </w:r>
      <w:r w:rsidR="001C328A">
        <w:t xml:space="preserve">high-voltage </w:t>
      </w:r>
      <w:r w:rsidR="00951D5D">
        <w:t>substation components</w:t>
      </w:r>
      <w:r>
        <w:t xml:space="preserve">, </w:t>
      </w:r>
      <w:r w:rsidR="001C328A">
        <w:t xml:space="preserve">changes to National Electrical Safety Code standards, increased transmission construction labor and materials, and </w:t>
      </w:r>
      <w:r>
        <w:t xml:space="preserve">the </w:t>
      </w:r>
      <w:r w:rsidR="00951D5D">
        <w:t>increased costs to acquire Rights-of-Way</w:t>
      </w:r>
      <w:r w:rsidR="005D1D94">
        <w:t xml:space="preserve">. </w:t>
      </w:r>
    </w:p>
    <w:p w14:paraId="0F4AEAFF" w14:textId="77777777" w:rsidR="00331FE7" w:rsidRDefault="00331FE7" w:rsidP="00845635">
      <w:pPr>
        <w:pStyle w:val="NormalArial"/>
      </w:pPr>
    </w:p>
    <w:p w14:paraId="7D4E92BE" w14:textId="66AF5BD3" w:rsidR="00CA66E0" w:rsidRDefault="00CA66E0" w:rsidP="00845635">
      <w:pPr>
        <w:pStyle w:val="NormalArial"/>
      </w:pPr>
      <w:r>
        <w:t>CenterPoint Energy:</w:t>
      </w:r>
    </w:p>
    <w:tbl>
      <w:tblPr>
        <w:tblW w:w="9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620"/>
        <w:gridCol w:w="1890"/>
        <w:gridCol w:w="990"/>
        <w:gridCol w:w="1620"/>
        <w:gridCol w:w="1153"/>
      </w:tblGrid>
      <w:tr w:rsidR="00CA66E0" w:rsidRPr="00CA66E0" w14:paraId="4AA63BE5" w14:textId="77777777" w:rsidTr="00CA66E0">
        <w:trPr>
          <w:trHeight w:val="226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35191" w14:textId="77777777" w:rsidR="00CA66E0" w:rsidRPr="00EC51D2" w:rsidRDefault="00CA66E0" w:rsidP="00845635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Past Projects re-estimated using 2025 Dollars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CE365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RPG Submitted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6A9D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2025 Dollars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E977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% increase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71AA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2025 Temp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7521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% increase</w:t>
            </w:r>
          </w:p>
        </w:tc>
      </w:tr>
      <w:tr w:rsidR="00CA66E0" w:rsidRPr="00CA66E0" w14:paraId="65733E2C" w14:textId="77777777" w:rsidTr="00EC51D2">
        <w:trPr>
          <w:trHeight w:val="22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8FEA" w14:textId="77777777" w:rsidR="00CA66E0" w:rsidRPr="00EC51D2" w:rsidRDefault="00CA66E0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2021-A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1E809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36,610,000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F8DEB" w14:textId="77777777" w:rsidR="00CA66E0" w:rsidRPr="00EC51D2" w:rsidRDefault="00CA66E0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    113,869,705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43263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211%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DB46A" w14:textId="77777777" w:rsidR="00CA66E0" w:rsidRPr="00EC51D2" w:rsidRDefault="00CA66E0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145,734,488.00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F260B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298%</w:t>
            </w:r>
          </w:p>
        </w:tc>
      </w:tr>
      <w:tr w:rsidR="00CA66E0" w:rsidRPr="00CA66E0" w14:paraId="2A9E6D09" w14:textId="77777777" w:rsidTr="00EC51D2">
        <w:trPr>
          <w:trHeight w:val="22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51772" w14:textId="77777777" w:rsidR="00CA66E0" w:rsidRPr="00EC51D2" w:rsidRDefault="00CA66E0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2018-A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134BF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23,700,000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17666" w14:textId="77777777" w:rsidR="00CA66E0" w:rsidRPr="00EC51D2" w:rsidRDefault="00CA66E0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       50,929,166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204A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114%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8CAE" w14:textId="77777777" w:rsidR="00CA66E0" w:rsidRPr="00EC51D2" w:rsidRDefault="00CA66E0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75,229,229.00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0A1DD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217%</w:t>
            </w:r>
          </w:p>
        </w:tc>
      </w:tr>
      <w:tr w:rsidR="00CA66E0" w:rsidRPr="00CA66E0" w14:paraId="4477B556" w14:textId="77777777" w:rsidTr="00EC51D2">
        <w:trPr>
          <w:trHeight w:val="226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AC44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276CF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AF54" w14:textId="77777777" w:rsidR="00CA66E0" w:rsidRPr="00EC51D2" w:rsidRDefault="00CA66E0" w:rsidP="00845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F1F9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A9BB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67B1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</w:tr>
      <w:tr w:rsidR="00CA66E0" w:rsidRPr="00CA66E0" w14:paraId="3E5EBF92" w14:textId="77777777" w:rsidTr="00EC51D2">
        <w:trPr>
          <w:trHeight w:val="226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47B63" w14:textId="77777777" w:rsidR="00CA66E0" w:rsidRPr="00EC51D2" w:rsidRDefault="00CA66E0" w:rsidP="00845635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Recent Projects re-estimated using 2018 Dollars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E4D6B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RPG Submitted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CF483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2018 Dollars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1C21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% increase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1653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3D33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</w:tr>
      <w:tr w:rsidR="00CA66E0" w:rsidRPr="00CA66E0" w14:paraId="1F211848" w14:textId="77777777" w:rsidTr="00EC51D2">
        <w:trPr>
          <w:trHeight w:val="22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090C" w14:textId="77777777" w:rsidR="00CA66E0" w:rsidRPr="00EC51D2" w:rsidRDefault="00CA66E0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2025-A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FF65E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94,700,000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B21EF" w14:textId="4D191DCA" w:rsidR="00CA66E0" w:rsidRPr="00EC51D2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 w:rsidR="00CA66E0"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$                         53,534,401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180A0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77%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59D0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3250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</w:tr>
      <w:tr w:rsidR="00CA66E0" w:rsidRPr="00CA66E0" w14:paraId="04874971" w14:textId="77777777" w:rsidTr="00EC51D2">
        <w:trPr>
          <w:trHeight w:val="22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473D" w14:textId="77777777" w:rsidR="00CA66E0" w:rsidRPr="00EC51D2" w:rsidRDefault="00CA66E0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2024-A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DB22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68,230,000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7760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       33,994,119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776B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C51D2">
              <w:rPr>
                <w:rFonts w:ascii="Aptos Narrow" w:hAnsi="Aptos Narrow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F9AB" w14:textId="77777777" w:rsidR="00CA66E0" w:rsidRPr="00EC51D2" w:rsidRDefault="00CA66E0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FEFF" w14:textId="77777777" w:rsidR="00CA66E0" w:rsidRPr="00EC51D2" w:rsidRDefault="00CA66E0" w:rsidP="00845635">
            <w:pPr>
              <w:rPr>
                <w:sz w:val="18"/>
                <w:szCs w:val="18"/>
              </w:rPr>
            </w:pPr>
          </w:p>
        </w:tc>
      </w:tr>
    </w:tbl>
    <w:p w14:paraId="00865197" w14:textId="3BF4C5FA" w:rsidR="00331FE7" w:rsidRDefault="00CA66E0" w:rsidP="00845635">
      <w:pPr>
        <w:pStyle w:val="NormalArial"/>
      </w:pPr>
      <w:r w:rsidDel="0073583D">
        <w:t xml:space="preserve"> </w:t>
      </w:r>
    </w:p>
    <w:p w14:paraId="3A2AEB70" w14:textId="7F587B7C" w:rsidR="00CA66E0" w:rsidRDefault="005D3545" w:rsidP="00845635">
      <w:pPr>
        <w:pStyle w:val="NormalArial"/>
      </w:pPr>
      <w:r>
        <w:t>AEP:</w:t>
      </w:r>
    </w:p>
    <w:tbl>
      <w:tblPr>
        <w:tblW w:w="7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1710"/>
        <w:gridCol w:w="1890"/>
        <w:gridCol w:w="900"/>
      </w:tblGrid>
      <w:tr w:rsidR="005D3545" w:rsidRPr="006B07E9" w14:paraId="25ACA38B" w14:textId="77777777" w:rsidTr="005D3545">
        <w:trPr>
          <w:trHeight w:val="226"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8BAF" w14:textId="77777777" w:rsidR="005D3545" w:rsidRPr="006B07E9" w:rsidRDefault="005D3545" w:rsidP="00845635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Past Projects re-estimated using 2025 Dollars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793C" w14:textId="77777777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RPG Submitted 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4E9A2" w14:textId="77777777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2025 Dollars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3C8D6" w14:textId="77777777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% increase</w:t>
            </w:r>
          </w:p>
        </w:tc>
      </w:tr>
      <w:tr w:rsidR="005D3545" w:rsidRPr="006B07E9" w14:paraId="386A80CD" w14:textId="77777777" w:rsidTr="00EC51D2">
        <w:trPr>
          <w:trHeight w:val="22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AD141" w14:textId="3F59702D" w:rsidR="005D3545" w:rsidRPr="006B07E9" w:rsidRDefault="005D3545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20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17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A8893" w14:textId="14515FDB" w:rsidR="005D3545" w:rsidRPr="006B07E9" w:rsidRDefault="005D3545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$                 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44,250,000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40D9" w14:textId="08A0765D" w:rsidR="005D3545" w:rsidRPr="006B07E9" w:rsidRDefault="005D3545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$                       101,750,000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2AFAF" w14:textId="67F62D24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130%</w:t>
            </w:r>
          </w:p>
        </w:tc>
      </w:tr>
      <w:tr w:rsidR="005D3545" w:rsidRPr="006B07E9" w14:paraId="50415E25" w14:textId="77777777" w:rsidTr="00EC51D2">
        <w:trPr>
          <w:trHeight w:val="22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0319" w14:textId="77777777" w:rsidR="005D3545" w:rsidRPr="006B07E9" w:rsidRDefault="005D3545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2018-A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FD2FC" w14:textId="16058F6A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$                 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187,974,994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E05E1" w14:textId="2241A2DD" w:rsidR="005D3545" w:rsidRPr="006B07E9" w:rsidRDefault="005D3545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$</w:t>
            </w:r>
            <w:r w:rsidR="003E4C41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474,000,000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7E01" w14:textId="07C61500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152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%</w:t>
            </w:r>
          </w:p>
        </w:tc>
      </w:tr>
      <w:tr w:rsidR="005D3545" w:rsidRPr="006B07E9" w14:paraId="498A9267" w14:textId="77777777" w:rsidTr="00EC51D2">
        <w:trPr>
          <w:trHeight w:val="226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12494" w14:textId="01A61FF0" w:rsidR="005D3545" w:rsidRPr="006B07E9" w:rsidRDefault="005D3545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201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9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5117D" w14:textId="578F5C8B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$                    42,369,335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CCC70" w14:textId="0EE98A2E" w:rsidR="005D3545" w:rsidRPr="006B07E9" w:rsidRDefault="005D3545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$      </w:t>
            </w:r>
            <w:r w:rsidR="003E4C41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        66,750,000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BD156" w14:textId="08BAED38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58%</w:t>
            </w:r>
          </w:p>
        </w:tc>
      </w:tr>
      <w:tr w:rsidR="005D3545" w:rsidRPr="006B07E9" w14:paraId="464179A3" w14:textId="77777777" w:rsidTr="00EC51D2">
        <w:trPr>
          <w:trHeight w:val="226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EECC4" w14:textId="5B3CB193" w:rsidR="005D3545" w:rsidRPr="006B07E9" w:rsidRDefault="005D3545" w:rsidP="0084563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20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21</w:t>
            </w:r>
            <w:r w:rsidRPr="006B07E9">
              <w:rPr>
                <w:rFonts w:ascii="Aptos Narrow" w:hAnsi="Aptos Narrow"/>
                <w:color w:val="000000"/>
                <w:sz w:val="18"/>
                <w:szCs w:val="18"/>
              </w:rPr>
              <w:t>-A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DEF46" w14:textId="799F97E7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$                     35,000,000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139A1" w14:textId="44DD2785" w:rsidR="005D3545" w:rsidRPr="006B07E9" w:rsidRDefault="005D3545" w:rsidP="00845635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$                          65,500,000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CB03A" w14:textId="7458DE1A" w:rsidR="005D3545" w:rsidRPr="006B07E9" w:rsidRDefault="005D3545" w:rsidP="00845635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87%</w:t>
            </w:r>
          </w:p>
        </w:tc>
      </w:tr>
    </w:tbl>
    <w:p w14:paraId="3834CA4C" w14:textId="77777777" w:rsidR="00331FE7" w:rsidRDefault="00331FE7" w:rsidP="00331FE7">
      <w:pPr>
        <w:pStyle w:val="NormalArial"/>
      </w:pPr>
    </w:p>
    <w:p w14:paraId="7252B9B5" w14:textId="3F85BD6B" w:rsidR="00316364" w:rsidRPr="00845635" w:rsidRDefault="00A65D05" w:rsidP="00845635">
      <w:pPr>
        <w:pStyle w:val="NormalArial"/>
        <w:spacing w:before="120" w:after="120"/>
        <w:rPr>
          <w:b/>
          <w:bCs/>
        </w:rPr>
      </w:pPr>
      <w:r>
        <w:t>To conclude, c</w:t>
      </w:r>
      <w:r w:rsidR="001B2371">
        <w:t xml:space="preserve">onsistent with </w:t>
      </w:r>
      <w:r>
        <w:t xml:space="preserve">the </w:t>
      </w:r>
      <w:r w:rsidR="0096599D">
        <w:t>5</w:t>
      </w:r>
      <w:r w:rsidR="005C4FE5">
        <w:t>/14/25</w:t>
      </w:r>
      <w:r>
        <w:t xml:space="preserve"> </w:t>
      </w:r>
      <w:r w:rsidR="001B2371">
        <w:t>Oncor comments,</w:t>
      </w:r>
      <w:r w:rsidR="00951D5D">
        <w:t xml:space="preserve"> </w:t>
      </w:r>
      <w:r>
        <w:t xml:space="preserve">the </w:t>
      </w:r>
      <w:r w:rsidR="00951D5D">
        <w:t xml:space="preserve">Joint </w:t>
      </w:r>
      <w:r w:rsidR="001B2371">
        <w:t xml:space="preserve">TSP </w:t>
      </w:r>
      <w:r>
        <w:t>c</w:t>
      </w:r>
      <w:r w:rsidR="00951D5D">
        <w:t>ommenters</w:t>
      </w:r>
      <w:r w:rsidR="00BF7443">
        <w:t xml:space="preserve"> </w:t>
      </w:r>
      <w:r w:rsidR="00560D08">
        <w:t xml:space="preserve">support </w:t>
      </w:r>
      <w:r>
        <w:t xml:space="preserve">doubling the proposed RPG </w:t>
      </w:r>
      <w:r w:rsidR="005C4FE5">
        <w:t>T</w:t>
      </w:r>
      <w:r>
        <w:t xml:space="preserve">ier </w:t>
      </w:r>
      <w:r w:rsidR="00951D5D">
        <w:t xml:space="preserve">thresholds </w:t>
      </w:r>
      <w:r>
        <w:t>in NPRR1274</w:t>
      </w:r>
      <w:r w:rsidR="00951D5D">
        <w:t xml:space="preserve"> to accurately reflect </w:t>
      </w:r>
      <w:r>
        <w:t xml:space="preserve">the </w:t>
      </w:r>
      <w:r w:rsidR="00EC51D2">
        <w:t>real-world</w:t>
      </w:r>
      <w:r>
        <w:t xml:space="preserve"> cost </w:t>
      </w:r>
      <w:r w:rsidR="00951D5D">
        <w:t xml:space="preserve">increases </w:t>
      </w:r>
      <w:r>
        <w:t>to complete a transmission project</w:t>
      </w:r>
      <w:r w:rsidR="00951D5D">
        <w:t xml:space="preserve">.  </w:t>
      </w:r>
      <w:r w:rsidR="00A95B97">
        <w:t>Th</w:t>
      </w:r>
      <w:r w:rsidR="00C13B6C">
        <w:t xml:space="preserve">ese </w:t>
      </w:r>
      <w:r w:rsidR="00A95B97">
        <w:t>adjustment</w:t>
      </w:r>
      <w:r w:rsidR="00C13B6C">
        <w:t>s</w:t>
      </w:r>
      <w:r w:rsidR="00A95B97">
        <w:t xml:space="preserve"> would more accurately reflect the increase in transmission costs that TSPs have experienced since </w:t>
      </w:r>
      <w:r w:rsidR="00EC51D2">
        <w:t>2018 and</w:t>
      </w:r>
      <w:r w:rsidR="00A95B97">
        <w:t xml:space="preserve"> </w:t>
      </w:r>
      <w:r w:rsidR="0073583D">
        <w:t>may</w:t>
      </w:r>
      <w:r w:rsidR="00C13B6C">
        <w:t xml:space="preserve"> </w:t>
      </w:r>
      <w:r>
        <w:t xml:space="preserve">mitigate the need for ERCOT to increase </w:t>
      </w:r>
      <w:r w:rsidR="00C13B6C" w:rsidRPr="00C13B6C">
        <w:t xml:space="preserve">staffing or </w:t>
      </w:r>
      <w:r w:rsidR="00274C55">
        <w:t xml:space="preserve">experiencing </w:t>
      </w:r>
      <w:r w:rsidR="0073583D">
        <w:t>add</w:t>
      </w:r>
      <w:r w:rsidR="00274C55">
        <w:t>ed</w:t>
      </w:r>
      <w:r w:rsidR="0073583D">
        <w:t xml:space="preserve"> </w:t>
      </w:r>
      <w:r w:rsidR="00C13B6C" w:rsidRPr="00C13B6C">
        <w:t xml:space="preserve">delays </w:t>
      </w:r>
      <w:r w:rsidR="0073583D">
        <w:t xml:space="preserve">with </w:t>
      </w:r>
      <w:r w:rsidR="00C13B6C" w:rsidRPr="00C13B6C">
        <w:t>project</w:t>
      </w:r>
      <w:r w:rsidR="0073583D">
        <w:t xml:space="preserve"> approval</w:t>
      </w:r>
      <w:r w:rsidR="00C13B6C" w:rsidRPr="00C13B6C">
        <w:t xml:space="preserve"> due to extended review times. 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16364" w14:paraId="481561B4" w14:textId="77777777" w:rsidTr="009A287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B48D1" w14:textId="77777777" w:rsidR="00316364" w:rsidRDefault="00316364" w:rsidP="009A2878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606CB775" w14:textId="5B835F08" w:rsidR="00165B54" w:rsidRPr="00845635" w:rsidRDefault="00316364" w:rsidP="00845635">
      <w:pPr>
        <w:pStyle w:val="NormalArial"/>
        <w:spacing w:before="120" w:after="120"/>
        <w:rPr>
          <w:rFonts w:cs="Arial"/>
          <w:b/>
        </w:rPr>
      </w:pPr>
      <w:r w:rsidRPr="00316364">
        <w:rPr>
          <w:rFonts w:cs="Arial"/>
          <w:b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16364" w14:paraId="2E8E038D" w14:textId="77777777" w:rsidTr="009A287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2B6352" w14:textId="77777777" w:rsidR="00316364" w:rsidRDefault="00316364" w:rsidP="009A2878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F05DED0" w14:textId="77777777" w:rsidR="00845635" w:rsidRPr="00845635" w:rsidRDefault="00845635" w:rsidP="00845635">
      <w:pPr>
        <w:pStyle w:val="NormalArial"/>
        <w:spacing w:before="120" w:after="120"/>
        <w:rPr>
          <w:rFonts w:cs="Arial"/>
          <w:b/>
        </w:rPr>
      </w:pPr>
      <w:r w:rsidRPr="00316364">
        <w:rPr>
          <w:rFonts w:cs="Arial"/>
          <w:b/>
        </w:rPr>
        <w:t>None</w:t>
      </w:r>
    </w:p>
    <w:p w14:paraId="192B0BFF" w14:textId="77777777" w:rsidR="00316364" w:rsidRDefault="00316364" w:rsidP="00316364">
      <w:pPr>
        <w:pStyle w:val="BodyText"/>
      </w:pPr>
    </w:p>
    <w:p w14:paraId="5AEC701E" w14:textId="77777777" w:rsidR="00152993" w:rsidRDefault="00152993">
      <w:pPr>
        <w:pStyle w:val="BodyText"/>
      </w:pPr>
    </w:p>
    <w:sectPr w:rsidR="00152993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0A52" w14:textId="77777777" w:rsidR="00293B0B" w:rsidRDefault="00293B0B">
      <w:r>
        <w:separator/>
      </w:r>
    </w:p>
  </w:endnote>
  <w:endnote w:type="continuationSeparator" w:id="0">
    <w:p w14:paraId="4270CEDB" w14:textId="77777777" w:rsidR="00293B0B" w:rsidRDefault="002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063A" w14:textId="039E9D92" w:rsidR="00EE6681" w:rsidRDefault="002829F9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1274NPRR-</w:t>
    </w:r>
    <w:r w:rsidR="00067269">
      <w:rPr>
        <w:rFonts w:ascii="Arial" w:hAnsi="Arial"/>
        <w:sz w:val="18"/>
      </w:rPr>
      <w:t>07</w:t>
    </w:r>
    <w:r>
      <w:rPr>
        <w:rFonts w:ascii="Arial" w:hAnsi="Arial"/>
        <w:sz w:val="18"/>
      </w:rPr>
      <w:t xml:space="preserve"> Joint TSP Comments 051</w:t>
    </w:r>
    <w:r w:rsidR="00067269">
      <w:rPr>
        <w:rFonts w:ascii="Arial" w:hAnsi="Arial"/>
        <w:sz w:val="18"/>
      </w:rPr>
      <w:t>6</w:t>
    </w:r>
    <w:r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4BD8AC65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6FAB" w14:textId="77777777" w:rsidR="00293B0B" w:rsidRDefault="00293B0B">
      <w:r>
        <w:separator/>
      </w:r>
    </w:p>
  </w:footnote>
  <w:footnote w:type="continuationSeparator" w:id="0">
    <w:p w14:paraId="50F6CAFB" w14:textId="77777777" w:rsidR="00293B0B" w:rsidRDefault="0029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1308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443EF5B2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532775">
    <w:abstractNumId w:val="0"/>
  </w:num>
  <w:num w:numId="2" w16cid:durableId="17010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45E99"/>
    <w:rsid w:val="00067269"/>
    <w:rsid w:val="00075A94"/>
    <w:rsid w:val="00096738"/>
    <w:rsid w:val="000B3461"/>
    <w:rsid w:val="001251CA"/>
    <w:rsid w:val="00132855"/>
    <w:rsid w:val="00143072"/>
    <w:rsid w:val="00152993"/>
    <w:rsid w:val="00165B54"/>
    <w:rsid w:val="00166885"/>
    <w:rsid w:val="00170297"/>
    <w:rsid w:val="0019794C"/>
    <w:rsid w:val="001A227D"/>
    <w:rsid w:val="001B2371"/>
    <w:rsid w:val="001C1C4E"/>
    <w:rsid w:val="001C328A"/>
    <w:rsid w:val="001D2CA3"/>
    <w:rsid w:val="001E2032"/>
    <w:rsid w:val="001F0EDD"/>
    <w:rsid w:val="002129C9"/>
    <w:rsid w:val="002572F1"/>
    <w:rsid w:val="0027428B"/>
    <w:rsid w:val="00274C55"/>
    <w:rsid w:val="00281330"/>
    <w:rsid w:val="002829F9"/>
    <w:rsid w:val="00285FE8"/>
    <w:rsid w:val="00293B0B"/>
    <w:rsid w:val="00300BDA"/>
    <w:rsid w:val="003010C0"/>
    <w:rsid w:val="00302613"/>
    <w:rsid w:val="00316364"/>
    <w:rsid w:val="00331FE7"/>
    <w:rsid w:val="00332A97"/>
    <w:rsid w:val="00350C00"/>
    <w:rsid w:val="00366113"/>
    <w:rsid w:val="00370492"/>
    <w:rsid w:val="003C270C"/>
    <w:rsid w:val="003D0994"/>
    <w:rsid w:val="003E4C41"/>
    <w:rsid w:val="003E6DF8"/>
    <w:rsid w:val="00423824"/>
    <w:rsid w:val="00431779"/>
    <w:rsid w:val="0043567D"/>
    <w:rsid w:val="004B7B90"/>
    <w:rsid w:val="004E2C19"/>
    <w:rsid w:val="00560D08"/>
    <w:rsid w:val="005C4FE5"/>
    <w:rsid w:val="005D1D94"/>
    <w:rsid w:val="005D284C"/>
    <w:rsid w:val="005D3545"/>
    <w:rsid w:val="005E77C1"/>
    <w:rsid w:val="00604512"/>
    <w:rsid w:val="00625AD2"/>
    <w:rsid w:val="00633E23"/>
    <w:rsid w:val="00673B94"/>
    <w:rsid w:val="00680AC6"/>
    <w:rsid w:val="006835D8"/>
    <w:rsid w:val="006C316E"/>
    <w:rsid w:val="006D0F7C"/>
    <w:rsid w:val="006D1749"/>
    <w:rsid w:val="0072060C"/>
    <w:rsid w:val="007269C4"/>
    <w:rsid w:val="0073583D"/>
    <w:rsid w:val="0074209E"/>
    <w:rsid w:val="007F2CA8"/>
    <w:rsid w:val="007F7161"/>
    <w:rsid w:val="00810604"/>
    <w:rsid w:val="00817E53"/>
    <w:rsid w:val="00845635"/>
    <w:rsid w:val="008526B5"/>
    <w:rsid w:val="0085559E"/>
    <w:rsid w:val="00863542"/>
    <w:rsid w:val="00863A93"/>
    <w:rsid w:val="00892393"/>
    <w:rsid w:val="00896B1B"/>
    <w:rsid w:val="008E559E"/>
    <w:rsid w:val="00916080"/>
    <w:rsid w:val="00921A68"/>
    <w:rsid w:val="009472C2"/>
    <w:rsid w:val="00951D5D"/>
    <w:rsid w:val="0096599D"/>
    <w:rsid w:val="00985065"/>
    <w:rsid w:val="009A2878"/>
    <w:rsid w:val="009F7FA6"/>
    <w:rsid w:val="00A015C4"/>
    <w:rsid w:val="00A12A94"/>
    <w:rsid w:val="00A15172"/>
    <w:rsid w:val="00A65D05"/>
    <w:rsid w:val="00A7312E"/>
    <w:rsid w:val="00A95B97"/>
    <w:rsid w:val="00AA3561"/>
    <w:rsid w:val="00AC480E"/>
    <w:rsid w:val="00B5080A"/>
    <w:rsid w:val="00B943AE"/>
    <w:rsid w:val="00BB3FD8"/>
    <w:rsid w:val="00BD7258"/>
    <w:rsid w:val="00BF23E0"/>
    <w:rsid w:val="00BF7443"/>
    <w:rsid w:val="00C0598D"/>
    <w:rsid w:val="00C11956"/>
    <w:rsid w:val="00C12F01"/>
    <w:rsid w:val="00C13B6C"/>
    <w:rsid w:val="00C602E5"/>
    <w:rsid w:val="00C6570C"/>
    <w:rsid w:val="00C748FD"/>
    <w:rsid w:val="00CA66E0"/>
    <w:rsid w:val="00CC781E"/>
    <w:rsid w:val="00D02861"/>
    <w:rsid w:val="00D4046E"/>
    <w:rsid w:val="00D4362F"/>
    <w:rsid w:val="00DA7346"/>
    <w:rsid w:val="00DB37DA"/>
    <w:rsid w:val="00DD4739"/>
    <w:rsid w:val="00DE5F33"/>
    <w:rsid w:val="00E05FAF"/>
    <w:rsid w:val="00E07B54"/>
    <w:rsid w:val="00E11F78"/>
    <w:rsid w:val="00E55AB6"/>
    <w:rsid w:val="00E621E1"/>
    <w:rsid w:val="00E80110"/>
    <w:rsid w:val="00EB376B"/>
    <w:rsid w:val="00EC51D2"/>
    <w:rsid w:val="00EC55B3"/>
    <w:rsid w:val="00EE6681"/>
    <w:rsid w:val="00F4026F"/>
    <w:rsid w:val="00F537B0"/>
    <w:rsid w:val="00F602D2"/>
    <w:rsid w:val="00F96FB2"/>
    <w:rsid w:val="00FB51D8"/>
    <w:rsid w:val="00FB7DF1"/>
    <w:rsid w:val="00FD08E8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39618"/>
  <w15:chartTrackingRefBased/>
  <w15:docId w15:val="{91028290-57AA-411B-8E6D-2E550C67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0B3461"/>
    <w:rPr>
      <w:color w:val="605E5C"/>
      <w:shd w:val="clear" w:color="auto" w:fill="E1DFDD"/>
    </w:rPr>
  </w:style>
  <w:style w:type="paragraph" w:customStyle="1" w:styleId="H4">
    <w:name w:val="H4"/>
    <w:basedOn w:val="Heading4"/>
    <w:next w:val="BodyText"/>
    <w:link w:val="H4Char"/>
    <w:rsid w:val="00985065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character" w:customStyle="1" w:styleId="BodyTextNumberedChar1">
    <w:name w:val="Body Text Numbered Char1"/>
    <w:link w:val="BodyTextNumbered"/>
    <w:rsid w:val="00985065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985065"/>
    <w:pPr>
      <w:spacing w:before="0" w:after="240"/>
      <w:ind w:left="720" w:hanging="720"/>
    </w:pPr>
    <w:rPr>
      <w:iCs/>
      <w:szCs w:val="20"/>
    </w:rPr>
  </w:style>
  <w:style w:type="character" w:customStyle="1" w:styleId="H4Char">
    <w:name w:val="H4 Char"/>
    <w:link w:val="H4"/>
    <w:rsid w:val="00985065"/>
    <w:rPr>
      <w:b/>
      <w:bCs/>
      <w:snapToGrid w:val="0"/>
      <w:sz w:val="24"/>
    </w:rPr>
  </w:style>
  <w:style w:type="paragraph" w:styleId="Revision">
    <w:name w:val="Revision"/>
    <w:hidden/>
    <w:uiPriority w:val="99"/>
    <w:semiHidden/>
    <w:rsid w:val="009850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obert.Bevill@tnmp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m.Lee@centerpointenergy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jrasmussen@aep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rcot.com/mktrules/issues/NPRR12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9c0b8d7-bdb4-4fd3-b62a-f50327aaefce" origin="userSelected">
  <element uid="50c31824-0780-4910-87d1-eaaffd182d42" value=""/>
  <element uid="d14f5c36-f44a-4315-b438-005cfe8f069f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+PC9zaXNsPjxVc2VyTmFtZT5DT1JQXHMzNzYzMjU8L1VzZXJOYW1lPjxEYXRlVGltZT40LzI1LzIwMjUgMTo0MjoxNCBQTTwvRGF0ZVRpbWU+PExhYmVsU3RyaW5nPkFFUCBJbnRlcm5hbDwvTGFiZWxTdHJpbmc+PC9pdGVtPjwvbGFiZWxIaXN0b3J5Pg==</Value>
</WrappedLabelHistory>
</file>

<file path=customXml/itemProps1.xml><?xml version="1.0" encoding="utf-8"?>
<ds:datastoreItem xmlns:ds="http://schemas.openxmlformats.org/officeDocument/2006/customXml" ds:itemID="{3B422E8D-746D-4B5F-AE22-25F8C677B1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B81513-2FEA-4B4A-B61F-2C1DEBB36F4D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4606</CharactersWithSpaces>
  <SharedDoc>false</SharedDoc>
  <HLinks>
    <vt:vector size="6" baseType="variant">
      <vt:variant>
        <vt:i4>6881397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https://www.ercot.com/mktrules/issues/NPRR1274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Brittney Albracht</cp:lastModifiedBy>
  <cp:revision>6</cp:revision>
  <cp:lastPrinted>2001-06-20T16:28:00Z</cp:lastPrinted>
  <dcterms:created xsi:type="dcterms:W3CDTF">2025-05-16T20:48:00Z</dcterms:created>
  <dcterms:modified xsi:type="dcterms:W3CDTF">2025-05-16T22:10:00Z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6870d9e9-e484-421a-aaff-775361eb5c51</vt:lpwstr>
  </property>
  <property fmtid="{D5CDD505-2E9C-101B-9397-08002B2CF9AE}" pid="3" name="bjSaver">
    <vt:lpwstr>LUmikyBOvRYyseZfJ1AZ9Kw27DCzLP8g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policy="e9c0b8d7-bdb4-4fd3-b62a-f50327aaefce" origin="userSelected" xmlns="http://www.boldonj</vt:lpwstr>
  </property>
  <property fmtid="{D5CDD505-2E9C-101B-9397-08002B2CF9AE}" pid="5" name="bjDocumentLabelXML-0">
    <vt:lpwstr>ames.com/2008/01/sie/internal/label"&gt;&lt;element uid="50c31824-0780-4910-87d1-eaaffd182d42" value="" /&gt;&lt;element uid="d14f5c36-f44a-4315-b438-005cfe8f069f" value="" /&gt;&lt;/sisl&gt;</vt:lpwstr>
  </property>
  <property fmtid="{D5CDD505-2E9C-101B-9397-08002B2CF9AE}" pid="6" name="bjDocumentSecurityLabel">
    <vt:lpwstr>AEP Internal</vt:lpwstr>
  </property>
  <property fmtid="{D5CDD505-2E9C-101B-9397-08002B2CF9AE}" pid="7" name="MSIP_Label_69f43042-6bda-44b2-91eb-eca3d3d484f4_SiteId">
    <vt:lpwstr>15f3c881-6b03-4ff6-8559-77bf5177818f</vt:lpwstr>
  </property>
  <property fmtid="{D5CDD505-2E9C-101B-9397-08002B2CF9AE}" pid="8" name="MSIP_Label_69f43042-6bda-44b2-91eb-eca3d3d484f4_Name">
    <vt:lpwstr>AEP Internal</vt:lpwstr>
  </property>
  <property fmtid="{D5CDD505-2E9C-101B-9397-08002B2CF9AE}" pid="9" name="MSIP_Label_69f43042-6bda-44b2-91eb-eca3d3d484f4_Enabled">
    <vt:lpwstr>true</vt:lpwstr>
  </property>
  <property fmtid="{D5CDD505-2E9C-101B-9397-08002B2CF9AE}" pid="10" name="bjClsUserRVM">
    <vt:lpwstr>[]</vt:lpwstr>
  </property>
  <property fmtid="{D5CDD505-2E9C-101B-9397-08002B2CF9AE}" pid="11" name="bjLabelHistoryID">
    <vt:lpwstr>{8DB81513-2FEA-4B4A-B61F-2C1DEBB36F4D}</vt:lpwstr>
  </property>
  <property fmtid="{D5CDD505-2E9C-101B-9397-08002B2CF9AE}" pid="12" name="MSIP_Label_e3ac3a1a-de19-428b-b395-6d250d7743fb_Enabled">
    <vt:lpwstr>true</vt:lpwstr>
  </property>
  <property fmtid="{D5CDD505-2E9C-101B-9397-08002B2CF9AE}" pid="13" name="MSIP_Label_e3ac3a1a-de19-428b-b395-6d250d7743fb_SetDate">
    <vt:lpwstr>2025-05-15T19:11:53Z</vt:lpwstr>
  </property>
  <property fmtid="{D5CDD505-2E9C-101B-9397-08002B2CF9AE}" pid="14" name="MSIP_Label_e3ac3a1a-de19-428b-b395-6d250d7743fb_Method">
    <vt:lpwstr>Standard</vt:lpwstr>
  </property>
  <property fmtid="{D5CDD505-2E9C-101B-9397-08002B2CF9AE}" pid="15" name="MSIP_Label_e3ac3a1a-de19-428b-b395-6d250d7743fb_Name">
    <vt:lpwstr>Internal Use Only</vt:lpwstr>
  </property>
  <property fmtid="{D5CDD505-2E9C-101B-9397-08002B2CF9AE}" pid="16" name="MSIP_Label_e3ac3a1a-de19-428b-b395-6d250d7743fb_SiteId">
    <vt:lpwstr>88cc5fd7-fd78-44b6-ad75-b6915088974f</vt:lpwstr>
  </property>
  <property fmtid="{D5CDD505-2E9C-101B-9397-08002B2CF9AE}" pid="17" name="MSIP_Label_e3ac3a1a-de19-428b-b395-6d250d7743fb_ActionId">
    <vt:lpwstr>5ccaeca6-46ef-4734-8ca4-ab9047293087</vt:lpwstr>
  </property>
  <property fmtid="{D5CDD505-2E9C-101B-9397-08002B2CF9AE}" pid="18" name="MSIP_Label_e3ac3a1a-de19-428b-b395-6d250d7743fb_ContentBits">
    <vt:lpwstr>0</vt:lpwstr>
  </property>
  <property fmtid="{D5CDD505-2E9C-101B-9397-08002B2CF9AE}" pid="19" name="MSIP_Label_7084cbda-52b8-46fb-a7b7-cb5bd465ed85_Enabled">
    <vt:lpwstr>true</vt:lpwstr>
  </property>
  <property fmtid="{D5CDD505-2E9C-101B-9397-08002B2CF9AE}" pid="20" name="MSIP_Label_7084cbda-52b8-46fb-a7b7-cb5bd465ed85_SetDate">
    <vt:lpwstr>2025-05-16T20:34:03Z</vt:lpwstr>
  </property>
  <property fmtid="{D5CDD505-2E9C-101B-9397-08002B2CF9AE}" pid="21" name="MSIP_Label_7084cbda-52b8-46fb-a7b7-cb5bd465ed85_Method">
    <vt:lpwstr>Standard</vt:lpwstr>
  </property>
  <property fmtid="{D5CDD505-2E9C-101B-9397-08002B2CF9AE}" pid="22" name="MSIP_Label_7084cbda-52b8-46fb-a7b7-cb5bd465ed85_Name">
    <vt:lpwstr>Internal</vt:lpwstr>
  </property>
  <property fmtid="{D5CDD505-2E9C-101B-9397-08002B2CF9AE}" pid="23" name="MSIP_Label_7084cbda-52b8-46fb-a7b7-cb5bd465ed85_SiteId">
    <vt:lpwstr>0afb747d-bff7-4596-a9fc-950ef9e0ec45</vt:lpwstr>
  </property>
  <property fmtid="{D5CDD505-2E9C-101B-9397-08002B2CF9AE}" pid="24" name="MSIP_Label_7084cbda-52b8-46fb-a7b7-cb5bd465ed85_ActionId">
    <vt:lpwstr>62b0334b-9418-4df1-8bfc-8163217508e8</vt:lpwstr>
  </property>
  <property fmtid="{D5CDD505-2E9C-101B-9397-08002B2CF9AE}" pid="25" name="MSIP_Label_7084cbda-52b8-46fb-a7b7-cb5bd465ed85_ContentBits">
    <vt:lpwstr>0</vt:lpwstr>
  </property>
  <property fmtid="{D5CDD505-2E9C-101B-9397-08002B2CF9AE}" pid="26" name="MSIP_Label_7084cbda-52b8-46fb-a7b7-cb5bd465ed85_Tag">
    <vt:lpwstr>10, 3, 0, 1</vt:lpwstr>
  </property>
</Properties>
</file>