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6561EB4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30384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4AB74B" w14:textId="2927FA4F" w:rsidR="00152993" w:rsidRDefault="009C53D1" w:rsidP="009C53D1">
            <w:pPr>
              <w:pStyle w:val="Header"/>
              <w:jc w:val="center"/>
            </w:pPr>
            <w:hyperlink r:id="rId8" w:history="1">
              <w:r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69802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FE23D99" w14:textId="7ECF527E" w:rsidR="00152993" w:rsidRDefault="009C53D1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788AD9D4" w14:textId="77777777" w:rsidR="002771E6" w:rsidRDefault="002771E6"/>
    <w:p w14:paraId="01D3833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76EE772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FB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E69" w14:textId="2E85F4E2" w:rsidR="00152993" w:rsidRDefault="00B32E26">
            <w:pPr>
              <w:pStyle w:val="NormalArial"/>
            </w:pPr>
            <w:r>
              <w:t xml:space="preserve">May </w:t>
            </w:r>
            <w:r w:rsidR="00CA2113">
              <w:t>13</w:t>
            </w:r>
            <w:r w:rsidR="009A5AE9">
              <w:t>, 2025</w:t>
            </w:r>
          </w:p>
        </w:tc>
      </w:tr>
    </w:tbl>
    <w:p w14:paraId="74B1F06E" w14:textId="77777777" w:rsidR="002771E6" w:rsidRDefault="002771E6"/>
    <w:p w14:paraId="69619B14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E424CA6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87367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150709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0836415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A34310" w14:textId="363160A4" w:rsidR="00152993" w:rsidRDefault="003455BA">
            <w:pPr>
              <w:pStyle w:val="NormalArial"/>
            </w:pPr>
            <w:r>
              <w:t>Mandy Meadors</w:t>
            </w:r>
          </w:p>
        </w:tc>
      </w:tr>
      <w:tr w:rsidR="00152993" w14:paraId="26A87DD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5FC1809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333008B" w14:textId="6D5E639E" w:rsidR="00152993" w:rsidRDefault="003455BA">
            <w:pPr>
              <w:pStyle w:val="NormalArial"/>
            </w:pPr>
            <w:r>
              <w:t>mmeadors@pluspower.com</w:t>
            </w:r>
          </w:p>
        </w:tc>
      </w:tr>
      <w:tr w:rsidR="00152993" w14:paraId="42AF201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8F11E97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52F4D23" w14:textId="11B171ED" w:rsidR="00152993" w:rsidRDefault="003455BA">
            <w:pPr>
              <w:pStyle w:val="NormalArial"/>
            </w:pPr>
            <w:proofErr w:type="gramStart"/>
            <w:r>
              <w:t>Plus</w:t>
            </w:r>
            <w:proofErr w:type="gramEnd"/>
            <w:r>
              <w:t xml:space="preserve"> Power</w:t>
            </w:r>
          </w:p>
        </w:tc>
      </w:tr>
      <w:tr w:rsidR="00152993" w14:paraId="092E4AB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EED2B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8D6A27" w14:textId="032788A3" w:rsidR="00152993" w:rsidRDefault="003455BA">
            <w:pPr>
              <w:pStyle w:val="NormalArial"/>
            </w:pPr>
            <w:r>
              <w:t>910</w:t>
            </w:r>
            <w:r w:rsidR="00CA2113">
              <w:t>-</w:t>
            </w:r>
            <w:r>
              <w:t>465</w:t>
            </w:r>
            <w:r w:rsidR="00CA2113">
              <w:t>-</w:t>
            </w:r>
            <w:r>
              <w:t>1370</w:t>
            </w:r>
          </w:p>
        </w:tc>
      </w:tr>
      <w:tr w:rsidR="00152993" w14:paraId="79AEBD13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FF4FB3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04563152" w14:textId="0096B52A" w:rsidR="00152993" w:rsidRDefault="00CA2113">
            <w:pPr>
              <w:pStyle w:val="NormalArial"/>
            </w:pPr>
            <w:r>
              <w:t>None</w:t>
            </w:r>
          </w:p>
        </w:tc>
      </w:tr>
      <w:tr w:rsidR="00075A94" w14:paraId="6636EAF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987B23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7B8C3A8" w14:textId="0095FC6A" w:rsidR="00075A94" w:rsidRDefault="00D42F69">
            <w:pPr>
              <w:pStyle w:val="NormalArial"/>
            </w:pPr>
            <w:r>
              <w:t>Independent Generator</w:t>
            </w:r>
            <w:r w:rsidR="006E722E">
              <w:t>s</w:t>
            </w:r>
          </w:p>
        </w:tc>
      </w:tr>
    </w:tbl>
    <w:p w14:paraId="63E18F0D" w14:textId="24E905D4" w:rsidR="00152993" w:rsidRDefault="00152993">
      <w:pPr>
        <w:pStyle w:val="NormalArial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3BBCBCB2" w14:paraId="60971034" w14:textId="77777777" w:rsidTr="3BBCBCB2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104A" w14:textId="4D014704" w:rsidR="61787303" w:rsidRDefault="61787303" w:rsidP="3BBCBCB2">
            <w:pPr>
              <w:pStyle w:val="Header"/>
              <w:jc w:val="center"/>
            </w:pPr>
            <w:r>
              <w:t>Comments</w:t>
            </w:r>
          </w:p>
        </w:tc>
      </w:tr>
    </w:tbl>
    <w:p w14:paraId="18DCBBF9" w14:textId="60B287D8" w:rsidR="3BBCBCB2" w:rsidRDefault="3BBCBCB2" w:rsidP="3BBCBCB2">
      <w:pPr>
        <w:pStyle w:val="NormalArial"/>
      </w:pPr>
    </w:p>
    <w:p w14:paraId="2FEEAEE4" w14:textId="6C10A976" w:rsidR="001962B5" w:rsidRDefault="00BB4A12" w:rsidP="001962B5">
      <w:pPr>
        <w:pStyle w:val="NormalArial"/>
      </w:pPr>
      <w:proofErr w:type="gramStart"/>
      <w:r>
        <w:t>Plus</w:t>
      </w:r>
      <w:proofErr w:type="gramEnd"/>
      <w:r>
        <w:t xml:space="preserve"> Power appreciates </w:t>
      </w:r>
      <w:r w:rsidR="001962B5">
        <w:t xml:space="preserve">the opportunity to </w:t>
      </w:r>
      <w:r>
        <w:t xml:space="preserve">file these additional </w:t>
      </w:r>
      <w:r w:rsidR="001962B5">
        <w:t xml:space="preserve">comments on </w:t>
      </w:r>
      <w:r>
        <w:t>Nodal Operating Guide Revision Request (</w:t>
      </w:r>
      <w:r w:rsidR="001962B5">
        <w:t>NOGRR</w:t>
      </w:r>
      <w:r>
        <w:t>)</w:t>
      </w:r>
      <w:r w:rsidR="001962B5">
        <w:t xml:space="preserve"> 272. As an </w:t>
      </w:r>
      <w:r w:rsidR="00FA4213">
        <w:t>I</w:t>
      </w:r>
      <w:r w:rsidR="001962B5">
        <w:t xml:space="preserve">ndependent </w:t>
      </w:r>
      <w:r w:rsidR="41790D71">
        <w:t>P</w:t>
      </w:r>
      <w:r w:rsidR="001962B5">
        <w:t xml:space="preserve">ower </w:t>
      </w:r>
      <w:r w:rsidR="1D46BC94">
        <w:t>P</w:t>
      </w:r>
      <w:r w:rsidR="001962B5">
        <w:t xml:space="preserve">roducer and energy storage provider in Texas, with more projects in development, we appreciate ERCOT’s efforts to enhance grid reliability through voltage support, synchronous condensers, and emerging technologies like </w:t>
      </w:r>
      <w:r w:rsidR="00CA2113">
        <w:t>g</w:t>
      </w:r>
      <w:r w:rsidR="001962B5">
        <w:t>rid-</w:t>
      </w:r>
      <w:r w:rsidR="00CA2113">
        <w:t>f</w:t>
      </w:r>
      <w:r w:rsidR="001962B5">
        <w:t xml:space="preserve">orming capabilities in Energy Storage Resources (ESRs). </w:t>
      </w:r>
      <w:r w:rsidR="00CA2113">
        <w:t xml:space="preserve"> </w:t>
      </w:r>
      <w:r w:rsidR="001962B5">
        <w:t>However, we continue to have significant concerns about the proposal.</w:t>
      </w:r>
    </w:p>
    <w:p w14:paraId="1D6ADFDA" w14:textId="77777777" w:rsidR="001962B5" w:rsidRPr="001962B5" w:rsidRDefault="001962B5" w:rsidP="001962B5">
      <w:pPr>
        <w:pStyle w:val="NormalArial"/>
      </w:pPr>
    </w:p>
    <w:p w14:paraId="3CDB972C" w14:textId="429CF683" w:rsidR="000671CF" w:rsidRDefault="00BB4A12" w:rsidP="001962B5">
      <w:pPr>
        <w:pStyle w:val="NormalArial"/>
      </w:pPr>
      <w:r>
        <w:t xml:space="preserve">In our </w:t>
      </w:r>
      <w:r w:rsidR="00322259">
        <w:t xml:space="preserve">initial comments filed on January 15, 2025, </w:t>
      </w:r>
      <w:r w:rsidR="12649A35">
        <w:t xml:space="preserve">we relayed that </w:t>
      </w:r>
      <w:r w:rsidR="00322259">
        <w:t>Plus Power</w:t>
      </w:r>
      <w:r w:rsidR="005C312A">
        <w:t xml:space="preserve">’s Kapolei Energy Storage (KES) facility in Oahu, Hawaii performs </w:t>
      </w:r>
      <w:r w:rsidR="003747E8">
        <w:t xml:space="preserve">grid-forming services as a condition of its contract with Hawaiian Electric and is </w:t>
      </w:r>
      <w:r w:rsidR="00E62C74">
        <w:t xml:space="preserve">renumerated for these additional services.  We also provided examples of the costs that a resource </w:t>
      </w:r>
      <w:r w:rsidR="001142AC">
        <w:t xml:space="preserve">owner incurs </w:t>
      </w:r>
      <w:r w:rsidR="008B04DB">
        <w:t xml:space="preserve">in its initial capital investment as well as </w:t>
      </w:r>
      <w:r w:rsidR="00041D04">
        <w:t>ongoing Operations and Maintenance (O&amp;M) expenses to provide th</w:t>
      </w:r>
      <w:r w:rsidR="001947D6">
        <w:t xml:space="preserve">ese services. </w:t>
      </w:r>
      <w:r w:rsidR="00CA2113">
        <w:t xml:space="preserve"> </w:t>
      </w:r>
      <w:r w:rsidR="001947D6">
        <w:t xml:space="preserve">In these comments, Plus Power </w:t>
      </w:r>
      <w:r w:rsidR="001962B5">
        <w:t>reiterate</w:t>
      </w:r>
      <w:r w:rsidR="001947D6">
        <w:t xml:space="preserve">s </w:t>
      </w:r>
      <w:r w:rsidR="000E0EE7">
        <w:t>that</w:t>
      </w:r>
      <w:r w:rsidR="001962B5">
        <w:t xml:space="preserve"> </w:t>
      </w:r>
      <w:r w:rsidR="03ADD0C3">
        <w:t xml:space="preserve">having the capability to </w:t>
      </w:r>
      <w:r w:rsidR="001962B5">
        <w:t>provid</w:t>
      </w:r>
      <w:r w:rsidR="6381602D">
        <w:t>e</w:t>
      </w:r>
      <w:r w:rsidR="001962B5">
        <w:t xml:space="preserve"> grid-forming services does not come </w:t>
      </w:r>
      <w:r w:rsidR="004B45D5" w:rsidRPr="3BBCBCB2">
        <w:rPr>
          <w:i/>
          <w:iCs/>
        </w:rPr>
        <w:t>gratis.</w:t>
      </w:r>
      <w:r w:rsidR="001962B5">
        <w:t xml:space="preserve"> </w:t>
      </w:r>
      <w:r w:rsidR="00CA2113">
        <w:t xml:space="preserve"> </w:t>
      </w:r>
      <w:r w:rsidR="001962B5">
        <w:t>The expectation that existing resources will supply these services without remuneration fails to account for the additional costs associated with hardware, software, modeling, testing, and compliance</w:t>
      </w:r>
      <w:r w:rsidR="1533B60E">
        <w:t xml:space="preserve"> to make the facility capable of providing those services</w:t>
      </w:r>
      <w:r w:rsidR="001962B5">
        <w:t xml:space="preserve">. </w:t>
      </w:r>
      <w:r w:rsidR="00CA2113">
        <w:t xml:space="preserve"> </w:t>
      </w:r>
      <w:r w:rsidR="001962B5">
        <w:t xml:space="preserve">Requiring new </w:t>
      </w:r>
      <w:r w:rsidR="008A0B15">
        <w:t>resources (</w:t>
      </w:r>
      <w:r w:rsidR="00306D6B">
        <w:t xml:space="preserve">and </w:t>
      </w:r>
      <w:r w:rsidR="008A0B15">
        <w:t xml:space="preserve">potentially </w:t>
      </w:r>
      <w:r w:rsidR="00306D6B">
        <w:t xml:space="preserve">existing </w:t>
      </w:r>
      <w:r w:rsidR="001962B5">
        <w:t xml:space="preserve">resources </w:t>
      </w:r>
      <w:r w:rsidR="008A0B15">
        <w:t xml:space="preserve">if ERCOT’s proposed requirements are applied retroactively) </w:t>
      </w:r>
      <w:r w:rsidR="001962B5">
        <w:t xml:space="preserve">to incorporate these capabilities without adequate compensation could send the wrong signal to </w:t>
      </w:r>
      <w:r w:rsidR="00CA2113">
        <w:t>M</w:t>
      </w:r>
      <w:r w:rsidR="001962B5">
        <w:t xml:space="preserve">arket </w:t>
      </w:r>
      <w:r w:rsidR="00CA2113">
        <w:t>P</w:t>
      </w:r>
      <w:r w:rsidR="001962B5">
        <w:t xml:space="preserve">articipants, discouraging investment and ultimately jeopardizing reliability. </w:t>
      </w:r>
    </w:p>
    <w:p w14:paraId="4D6F0FB6" w14:textId="77777777" w:rsidR="000671CF" w:rsidRDefault="000671CF" w:rsidP="001962B5">
      <w:pPr>
        <w:pStyle w:val="NormalArial"/>
      </w:pPr>
    </w:p>
    <w:p w14:paraId="7C68D94D" w14:textId="638EB6BF" w:rsidR="00285BC8" w:rsidRDefault="000671CF" w:rsidP="001962B5">
      <w:pPr>
        <w:pStyle w:val="NormalArial"/>
      </w:pPr>
      <w:r>
        <w:t xml:space="preserve">Since filing NOGRR 272, ERCOT Staff </w:t>
      </w:r>
      <w:proofErr w:type="gramStart"/>
      <w:r>
        <w:t>has</w:t>
      </w:r>
      <w:proofErr w:type="gramEnd"/>
      <w:r>
        <w:t xml:space="preserve"> </w:t>
      </w:r>
      <w:r w:rsidR="008F77DE">
        <w:t xml:space="preserve">indicated </w:t>
      </w:r>
      <w:r w:rsidR="00E150E4">
        <w:t>that this proposal will not impose cos</w:t>
      </w:r>
      <w:r w:rsidR="00DA4B30">
        <w:t>t</w:t>
      </w:r>
      <w:r w:rsidR="00E150E4">
        <w:t xml:space="preserve"> requirements on ESRs because it merely requires </w:t>
      </w:r>
      <w:r w:rsidR="0096132D">
        <w:t xml:space="preserve">these resources to </w:t>
      </w:r>
      <w:r w:rsidR="00581F45">
        <w:t xml:space="preserve">provide support when the resource has available capacity and </w:t>
      </w:r>
      <w:r w:rsidR="00CA2113">
        <w:t>S</w:t>
      </w:r>
      <w:r w:rsidR="00581F45">
        <w:t xml:space="preserve">tate of </w:t>
      </w:r>
      <w:r w:rsidR="00CA2113">
        <w:t>C</w:t>
      </w:r>
      <w:r w:rsidR="00581F45">
        <w:t xml:space="preserve">harge </w:t>
      </w:r>
      <w:r w:rsidR="00CA2113">
        <w:t xml:space="preserve">(SOC) </w:t>
      </w:r>
      <w:r w:rsidR="00581F45">
        <w:t xml:space="preserve">and is </w:t>
      </w:r>
      <w:r w:rsidR="00581F45">
        <w:lastRenderedPageBreak/>
        <w:t xml:space="preserve">within the design capability of the resource. </w:t>
      </w:r>
      <w:r w:rsidR="00CA2113">
        <w:t xml:space="preserve"> </w:t>
      </w:r>
      <w:r w:rsidR="00581F45">
        <w:t xml:space="preserve">See, e.g., </w:t>
      </w:r>
      <w:r w:rsidR="008248CD">
        <w:t xml:space="preserve">ERCOT presentation to Reliability </w:t>
      </w:r>
      <w:r w:rsidR="001F6FB6">
        <w:t xml:space="preserve">and Operations Subcommittee on February 6, 2025, </w:t>
      </w:r>
      <w:r w:rsidR="001F6FB6">
        <w:rPr>
          <w:i/>
          <w:iCs/>
        </w:rPr>
        <w:t>NOGRR</w:t>
      </w:r>
      <w:r w:rsidR="00B479A8">
        <w:rPr>
          <w:i/>
          <w:iCs/>
        </w:rPr>
        <w:t>272/PGRR121 Advanced Grid Support Requirements for In</w:t>
      </w:r>
      <w:r w:rsidR="00DD4CE3">
        <w:rPr>
          <w:i/>
          <w:iCs/>
        </w:rPr>
        <w:t>v</w:t>
      </w:r>
      <w:r w:rsidR="00B479A8">
        <w:rPr>
          <w:i/>
          <w:iCs/>
        </w:rPr>
        <w:t>erter</w:t>
      </w:r>
      <w:r w:rsidR="00DD4CE3">
        <w:rPr>
          <w:i/>
          <w:iCs/>
        </w:rPr>
        <w:t>-Based ESRs</w:t>
      </w:r>
      <w:r w:rsidR="00DD4CE3">
        <w:t>,</w:t>
      </w:r>
      <w:r w:rsidR="00083ECB">
        <w:t xml:space="preserve"> at 7. </w:t>
      </w:r>
      <w:r w:rsidR="00CA2113">
        <w:t xml:space="preserve"> </w:t>
      </w:r>
      <w:r w:rsidR="00736FC3">
        <w:t xml:space="preserve">But as noted </w:t>
      </w:r>
      <w:r w:rsidR="008C56D9">
        <w:t xml:space="preserve">above, there is a </w:t>
      </w:r>
      <w:r w:rsidR="0061197E">
        <w:t>cos</w:t>
      </w:r>
      <w:r w:rsidR="00A74523">
        <w:t>t</w:t>
      </w:r>
      <w:r w:rsidR="008C56D9">
        <w:t xml:space="preserve"> to enable the capabilities ERCOT is seeking to require through NOGRR 272</w:t>
      </w:r>
      <w:r w:rsidR="00285BC8">
        <w:t xml:space="preserve">.  </w:t>
      </w:r>
    </w:p>
    <w:p w14:paraId="3886317F" w14:textId="77777777" w:rsidR="00285BC8" w:rsidRDefault="00285BC8" w:rsidP="001962B5">
      <w:pPr>
        <w:pStyle w:val="NormalArial"/>
      </w:pPr>
    </w:p>
    <w:p w14:paraId="72B834F8" w14:textId="129318E4" w:rsidR="001962B5" w:rsidRDefault="00285BC8" w:rsidP="001962B5">
      <w:pPr>
        <w:pStyle w:val="NormalArial"/>
      </w:pPr>
      <w:r>
        <w:t>Moreover, in</w:t>
      </w:r>
      <w:r w:rsidR="003E14C6">
        <w:t xml:space="preserve"> order to </w:t>
      </w:r>
      <w:r w:rsidR="00D83E46">
        <w:t xml:space="preserve">provide </w:t>
      </w:r>
      <w:r w:rsidR="008C56D9">
        <w:t xml:space="preserve">the </w:t>
      </w:r>
      <w:r w:rsidR="00D71D3A">
        <w:t xml:space="preserve">actual </w:t>
      </w:r>
      <w:r w:rsidR="00AC13FA">
        <w:t>advanced gri</w:t>
      </w:r>
      <w:r w:rsidR="0078228C">
        <w:t>d</w:t>
      </w:r>
      <w:r w:rsidR="00AC13FA">
        <w:t xml:space="preserve"> support </w:t>
      </w:r>
      <w:r w:rsidR="00D71D3A">
        <w:t xml:space="preserve">services that are necessary to achieve </w:t>
      </w:r>
      <w:r w:rsidR="00040482">
        <w:t>ERCOT’s justification supporting NOGRR272</w:t>
      </w:r>
      <w:r w:rsidR="00AC13FA">
        <w:t xml:space="preserve">, </w:t>
      </w:r>
      <w:r w:rsidR="003E14C6">
        <w:t xml:space="preserve">there are additional costs, including lost opportunity costs, </w:t>
      </w:r>
      <w:r w:rsidR="002C7BFB">
        <w:t xml:space="preserve">incurred to </w:t>
      </w:r>
      <w:r w:rsidR="0096132D">
        <w:t>provid</w:t>
      </w:r>
      <w:r w:rsidR="002C7BFB">
        <w:t>e</w:t>
      </w:r>
      <w:r w:rsidR="00300177">
        <w:t xml:space="preserve"> </w:t>
      </w:r>
      <w:r w:rsidR="0096132D">
        <w:t>advanced grid support services</w:t>
      </w:r>
      <w:r w:rsidR="002C7BFB">
        <w:t xml:space="preserve"> as discussed in Plus Power’s </w:t>
      </w:r>
      <w:r w:rsidR="00B32E26">
        <w:t>January 15 comments</w:t>
      </w:r>
      <w:r w:rsidR="0096132D">
        <w:t xml:space="preserve">. </w:t>
      </w:r>
      <w:r w:rsidR="00CA2113">
        <w:t xml:space="preserve"> </w:t>
      </w:r>
      <w:r w:rsidR="00B14422">
        <w:t xml:space="preserve">As a result, rather than </w:t>
      </w:r>
      <w:r w:rsidR="00244DAC">
        <w:t>imposing an uncompensated mandate on a</w:t>
      </w:r>
      <w:r w:rsidR="00D513EE">
        <w:t xml:space="preserve"> selected group of resources </w:t>
      </w:r>
      <w:r w:rsidR="00B32E26">
        <w:t xml:space="preserve">(new ESRs) </w:t>
      </w:r>
      <w:r w:rsidR="00D513EE">
        <w:t xml:space="preserve">which will benefit the entire market, </w:t>
      </w:r>
      <w:r w:rsidR="00661FE5">
        <w:t xml:space="preserve">Plus Power respectfully recommends that ERCOT withdraw NOGRR272 and instead focus on </w:t>
      </w:r>
      <w:r w:rsidR="007D42D6">
        <w:t xml:space="preserve">adopting </w:t>
      </w:r>
      <w:r w:rsidR="000212BD">
        <w:t>a compensatory</w:t>
      </w:r>
      <w:r w:rsidR="001962B5" w:rsidRPr="001962B5">
        <w:t xml:space="preserve"> framework</w:t>
      </w:r>
      <w:r w:rsidR="000212BD">
        <w:t xml:space="preserve"> </w:t>
      </w:r>
      <w:r w:rsidR="007D42D6">
        <w:t xml:space="preserve">such as proposed in </w:t>
      </w:r>
      <w:r w:rsidR="000212BD">
        <w:t>NPRR1278</w:t>
      </w:r>
      <w:r w:rsidR="00B32E26">
        <w:t>,</w:t>
      </w:r>
      <w:r w:rsidR="000212BD">
        <w:t xml:space="preserve"> </w:t>
      </w:r>
      <w:r w:rsidR="00CA2113">
        <w:t xml:space="preserve">Establishing Advanced Grid Support Service as an Ancillary Service, </w:t>
      </w:r>
      <w:r w:rsidR="001962B5" w:rsidRPr="001962B5">
        <w:t>that properly compensates new and existing ESRs capable of providing grid-forming services, recognizing that incentivizing participation now would enhance reliability far sooner than waiting for new resources to come online in the future.</w:t>
      </w:r>
    </w:p>
    <w:p w14:paraId="544D8D9C" w14:textId="77777777" w:rsidR="000212BD" w:rsidRDefault="000212BD" w:rsidP="001962B5">
      <w:pPr>
        <w:pStyle w:val="NormalArial"/>
      </w:pPr>
    </w:p>
    <w:p w14:paraId="66E86B16" w14:textId="488ED4A7" w:rsidR="00D43CA6" w:rsidRDefault="00D43CA6" w:rsidP="001962B5">
      <w:pPr>
        <w:pStyle w:val="NormalArial"/>
      </w:pPr>
      <w:r>
        <w:t xml:space="preserve">ERCOT’s assumption that </w:t>
      </w:r>
      <w:r w:rsidR="00CA2113">
        <w:t>ESRs</w:t>
      </w:r>
      <w:r>
        <w:t xml:space="preserve"> should provide these services without compensation stands in contrast to how other U.S. markets approach ancillary services. </w:t>
      </w:r>
      <w:r w:rsidR="00CA2113">
        <w:t xml:space="preserve"> Regional Transmission Organizations (</w:t>
      </w:r>
      <w:r>
        <w:t>RTOs</w:t>
      </w:r>
      <w:r w:rsidR="00CA2113">
        <w:t>)</w:t>
      </w:r>
      <w:r>
        <w:t xml:space="preserve"> such as PJM and CAISO compensate ESRs for providing critical services, ensuring alignment between market signals and reliability needs.</w:t>
      </w:r>
      <w:r w:rsidR="00CA2113">
        <w:t xml:space="preserve"> </w:t>
      </w:r>
      <w:r>
        <w:t xml:space="preserve"> ERCOT should follow suit by establishing a clear regulatory framework for remuneration, ensuring that storage providers are properly incentivized to invest in the </w:t>
      </w:r>
      <w:proofErr w:type="gramStart"/>
      <w:r>
        <w:t>technolog</w:t>
      </w:r>
      <w:r w:rsidR="159D08DD">
        <w:t>y</w:t>
      </w:r>
      <w:proofErr w:type="gramEnd"/>
      <w:r w:rsidR="159D08DD">
        <w:t xml:space="preserve"> adaptations </w:t>
      </w:r>
      <w:r>
        <w:t xml:space="preserve">necessary to </w:t>
      </w:r>
      <w:r w:rsidR="659952C5">
        <w:t>perform grid-forming services in particular</w:t>
      </w:r>
      <w:r>
        <w:t>.</w:t>
      </w:r>
    </w:p>
    <w:p w14:paraId="32541245" w14:textId="77777777" w:rsidR="008754AB" w:rsidRPr="001962B5" w:rsidRDefault="008754AB" w:rsidP="001962B5">
      <w:pPr>
        <w:pStyle w:val="NormalArial"/>
      </w:pPr>
    </w:p>
    <w:p w14:paraId="1FD50DA0" w14:textId="5A5FEDCB" w:rsidR="001962B5" w:rsidRDefault="001962B5" w:rsidP="001962B5">
      <w:pPr>
        <w:pStyle w:val="NormalArial"/>
      </w:pPr>
      <w:r>
        <w:t xml:space="preserve">Second, performance requirements </w:t>
      </w:r>
      <w:r w:rsidR="000212BD">
        <w:t xml:space="preserve">for </w:t>
      </w:r>
      <w:r w:rsidR="0BE4EFEB">
        <w:t xml:space="preserve">these grid-forming services from </w:t>
      </w:r>
      <w:r w:rsidR="000212BD">
        <w:t xml:space="preserve">ESRs </w:t>
      </w:r>
      <w:r>
        <w:t xml:space="preserve">must be clearly defined. </w:t>
      </w:r>
      <w:r w:rsidR="00CA2113">
        <w:t xml:space="preserve"> </w:t>
      </w:r>
      <w:r>
        <w:t xml:space="preserve">As </w:t>
      </w:r>
      <w:r w:rsidR="00D82201">
        <w:t>Jupiter Power LLC pointed out in its December 4, 202</w:t>
      </w:r>
      <w:r w:rsidR="00CA2113">
        <w:t>4</w:t>
      </w:r>
      <w:r w:rsidR="00D82201">
        <w:t xml:space="preserve"> comments, </w:t>
      </w:r>
      <w:r>
        <w:t xml:space="preserve">the proposed requirements </w:t>
      </w:r>
      <w:r w:rsidR="00D82201">
        <w:t xml:space="preserve">in NOGRR272 </w:t>
      </w:r>
      <w:r>
        <w:t xml:space="preserve">are vague and create compliance uncertainty. </w:t>
      </w:r>
      <w:r w:rsidR="00CA2113">
        <w:t xml:space="preserve"> </w:t>
      </w:r>
      <w:r>
        <w:t xml:space="preserve">For instance, terms such as </w:t>
      </w:r>
      <w:r w:rsidR="00095312">
        <w:t xml:space="preserve">maintaining voltage phasors at </w:t>
      </w:r>
      <w:r>
        <w:t>"constant or near-constant</w:t>
      </w:r>
      <w:r w:rsidR="650F05E2">
        <w:t>,</w:t>
      </w:r>
      <w:r w:rsidR="000B0DCA">
        <w:t>”</w:t>
      </w:r>
      <w:r>
        <w:t xml:space="preserve"> and response timing</w:t>
      </w:r>
      <w:r w:rsidR="00095312">
        <w:t xml:space="preserve"> to be “immediate</w:t>
      </w:r>
      <w:r w:rsidR="711938EA">
        <w:t>,</w:t>
      </w:r>
      <w:r w:rsidR="00095312">
        <w:t>”</w:t>
      </w:r>
      <w:r>
        <w:t xml:space="preserve"> lack precise technical definitions, which could lead to inconsistent enforcement or operational challenges. </w:t>
      </w:r>
      <w:r w:rsidR="00CA2113">
        <w:t xml:space="preserve"> </w:t>
      </w:r>
      <w:r>
        <w:t xml:space="preserve">Clear, reasonable, and enforceable performance standards must be established so that resource owners know exactly what is required of them. </w:t>
      </w:r>
      <w:r w:rsidR="00CA2113">
        <w:t xml:space="preserve"> </w:t>
      </w:r>
      <w:r>
        <w:t xml:space="preserve">Additionally, ongoing </w:t>
      </w:r>
      <w:proofErr w:type="gramStart"/>
      <w:r>
        <w:t>evaluation</w:t>
      </w:r>
      <w:proofErr w:type="gramEnd"/>
      <w:r>
        <w:t xml:space="preserve"> by technical working groups—such as </w:t>
      </w:r>
      <w:r w:rsidR="008C48C8">
        <w:t xml:space="preserve">the </w:t>
      </w:r>
      <w:r w:rsidR="00CA2113">
        <w:t>Performance, Disturbance, Compliance Working Group (</w:t>
      </w:r>
      <w:r>
        <w:t>PDCWG</w:t>
      </w:r>
      <w:r w:rsidR="00CA2113">
        <w:t>)</w:t>
      </w:r>
      <w:r>
        <w:t xml:space="preserve"> and </w:t>
      </w:r>
      <w:r w:rsidR="008C48C8">
        <w:t>Dynamics Working Group (</w:t>
      </w:r>
      <w:proofErr w:type="gramStart"/>
      <w:r>
        <w:t>DWG</w:t>
      </w:r>
      <w:r w:rsidR="008C48C8">
        <w:t>)</w:t>
      </w:r>
      <w:r>
        <w:t>—</w:t>
      </w:r>
      <w:proofErr w:type="gramEnd"/>
      <w:r>
        <w:t>should be incorporated to monitor and refine performance expectations over time.</w:t>
      </w:r>
    </w:p>
    <w:p w14:paraId="1C3C5BD5" w14:textId="77777777" w:rsidR="00054601" w:rsidRPr="001962B5" w:rsidRDefault="00054601" w:rsidP="001962B5">
      <w:pPr>
        <w:pStyle w:val="NormalArial"/>
      </w:pPr>
    </w:p>
    <w:p w14:paraId="02B30DDE" w14:textId="4EBA9347" w:rsidR="00345026" w:rsidRDefault="001962B5" w:rsidP="001962B5">
      <w:pPr>
        <w:pStyle w:val="NormalArial"/>
      </w:pPr>
      <w:r>
        <w:t xml:space="preserve">Third, grid-forming services must be integrated into the broader ancillary service framework. </w:t>
      </w:r>
      <w:r w:rsidR="008C48C8">
        <w:t xml:space="preserve"> </w:t>
      </w:r>
      <w:r>
        <w:t>While Plus Power supports the inclusion of grid-forming technology in ERCOT’s reliability strategy</w:t>
      </w:r>
      <w:r w:rsidR="78F93E30">
        <w:t xml:space="preserve"> if remunerated</w:t>
      </w:r>
      <w:r>
        <w:t xml:space="preserve">, addressing only one service in isolation is </w:t>
      </w:r>
      <w:r w:rsidR="00EA6B16">
        <w:t xml:space="preserve">inefficient and could lead to </w:t>
      </w:r>
      <w:r w:rsidR="00E977C1">
        <w:t>disruption in reliability and unintended market consequences</w:t>
      </w:r>
      <w:r>
        <w:t xml:space="preserve">. </w:t>
      </w:r>
      <w:r w:rsidR="008C48C8">
        <w:t xml:space="preserve"> </w:t>
      </w:r>
      <w:r>
        <w:t xml:space="preserve">Grid-forming capabilities </w:t>
      </w:r>
      <w:r w:rsidR="7B8041AC">
        <w:t xml:space="preserve">can </w:t>
      </w:r>
      <w:r>
        <w:t xml:space="preserve">also include additional reliability benefits, such as virtual inertia and black start functionality, which must be considered holistically rather than in piecemeal regulatory changes. </w:t>
      </w:r>
      <w:r w:rsidR="008C48C8">
        <w:t xml:space="preserve"> </w:t>
      </w:r>
      <w:r>
        <w:t xml:space="preserve">ERCOT should align this effort with </w:t>
      </w:r>
      <w:r>
        <w:lastRenderedPageBreak/>
        <w:t xml:space="preserve">broader ancillary service </w:t>
      </w:r>
      <w:r w:rsidR="702309A5">
        <w:t xml:space="preserve">planning </w:t>
      </w:r>
      <w:r>
        <w:t>discussions, ensuring that all components work together to create a stable and reliable market structure.</w:t>
      </w:r>
    </w:p>
    <w:p w14:paraId="321AE14D" w14:textId="434BDD1B" w:rsidR="69771B3B" w:rsidRDefault="69771B3B" w:rsidP="69771B3B">
      <w:pPr>
        <w:pStyle w:val="NormalArial"/>
      </w:pPr>
    </w:p>
    <w:p w14:paraId="29DDFC6D" w14:textId="17097E3B" w:rsidR="001962B5" w:rsidRDefault="001962B5" w:rsidP="001962B5">
      <w:pPr>
        <w:pStyle w:val="NormalArial"/>
      </w:pPr>
      <w:r w:rsidRPr="001962B5">
        <w:t>Given these concerns, we urge ERCOT to </w:t>
      </w:r>
      <w:r w:rsidR="00D82201">
        <w:t xml:space="preserve">withdraw </w:t>
      </w:r>
      <w:r w:rsidRPr="001962B5">
        <w:t>NOGRR272</w:t>
      </w:r>
      <w:r w:rsidR="00D82201">
        <w:t xml:space="preserve"> and instead focus on the</w:t>
      </w:r>
      <w:r w:rsidR="009D17F7">
        <w:t xml:space="preserve"> development and adoption of NPRR1278</w:t>
      </w:r>
      <w:r w:rsidR="00BC3E1E" w:rsidRPr="00BC3E1E">
        <w:t>.</w:t>
      </w:r>
      <w:r w:rsidR="00BC3E1E">
        <w:rPr>
          <w:b/>
          <w:bCs/>
        </w:rPr>
        <w:t xml:space="preserve"> </w:t>
      </w:r>
      <w:r w:rsidR="008C48C8">
        <w:rPr>
          <w:b/>
          <w:bCs/>
        </w:rPr>
        <w:t xml:space="preserve"> </w:t>
      </w:r>
      <w:r w:rsidR="009D17F7">
        <w:t>Moreover,</w:t>
      </w:r>
      <w:r w:rsidR="00431014">
        <w:t xml:space="preserve"> i</w:t>
      </w:r>
      <w:r w:rsidRPr="001962B5">
        <w:t xml:space="preserve">nstead of isolated policy changes, </w:t>
      </w:r>
      <w:r w:rsidR="00431014">
        <w:t xml:space="preserve">Plus Power recommends that </w:t>
      </w:r>
      <w:r w:rsidRPr="001962B5">
        <w:t xml:space="preserve">ERCOT pursue a comprehensive ancillary services framework that provides fair compensation, clear compliance requirements, and integrated market incentives. </w:t>
      </w:r>
      <w:r w:rsidR="008C48C8">
        <w:t xml:space="preserve"> </w:t>
      </w:r>
      <w:r w:rsidRPr="001962B5">
        <w:t xml:space="preserve">A well-structured approach would ensure participation from both new and existing ESRs, improving reliability while maintaining </w:t>
      </w:r>
      <w:r w:rsidR="00637511">
        <w:t>the right incentives for</w:t>
      </w:r>
      <w:r w:rsidR="00CD2547">
        <w:t xml:space="preserve"> market participants</w:t>
      </w:r>
      <w:r w:rsidRPr="001962B5">
        <w:t>.</w:t>
      </w:r>
    </w:p>
    <w:p w14:paraId="70D65ECF" w14:textId="77777777" w:rsidR="00054601" w:rsidRPr="001962B5" w:rsidRDefault="00054601" w:rsidP="001962B5">
      <w:pPr>
        <w:pStyle w:val="NormalArial"/>
      </w:pPr>
    </w:p>
    <w:p w14:paraId="4429A735" w14:textId="77777777" w:rsidR="001962B5" w:rsidRDefault="001962B5" w:rsidP="001962B5">
      <w:pPr>
        <w:pStyle w:val="NormalArial"/>
      </w:pPr>
      <w:r w:rsidRPr="001962B5">
        <w:t>We appreciate the opportunity to provide comments and look forward to continued collaboration with ERCOT and stakeholders to support a sustainable and effective market structure.</w:t>
      </w:r>
    </w:p>
    <w:p w14:paraId="4F40D060" w14:textId="77777777" w:rsidR="0055032D" w:rsidRDefault="0055032D" w:rsidP="0055032D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441D467F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86D81B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6B6D918" w14:textId="6BFBC762" w:rsidR="00152993" w:rsidRDefault="009C53D1" w:rsidP="004C2892">
      <w:pPr>
        <w:pStyle w:val="BodyText"/>
        <w:spacing w:before="240" w:after="240"/>
      </w:pPr>
      <w:r w:rsidRPr="004C2892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E8BDAF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359E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12B1BE1A" w14:textId="464F51A3" w:rsidR="00152993" w:rsidRPr="004C2892" w:rsidRDefault="009C53D1" w:rsidP="004C2892">
      <w:pPr>
        <w:pStyle w:val="BodyText"/>
        <w:spacing w:before="240"/>
        <w:rPr>
          <w:rFonts w:ascii="Arial" w:hAnsi="Arial" w:cs="Arial"/>
        </w:rPr>
      </w:pPr>
      <w:r w:rsidRPr="004C2892">
        <w:rPr>
          <w:rFonts w:ascii="Arial" w:hAnsi="Arial" w:cs="Arial"/>
        </w:rPr>
        <w:t>None</w:t>
      </w:r>
    </w:p>
    <w:sectPr w:rsidR="00152993" w:rsidRPr="004C2892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3404" w14:textId="77777777" w:rsidR="00F330E7" w:rsidRDefault="00F330E7">
      <w:r>
        <w:separator/>
      </w:r>
    </w:p>
  </w:endnote>
  <w:endnote w:type="continuationSeparator" w:id="0">
    <w:p w14:paraId="010F5E2B" w14:textId="77777777" w:rsidR="00F330E7" w:rsidRDefault="00F3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480E" w14:textId="7CF2E102" w:rsidR="003D0994" w:rsidRDefault="007F4D61" w:rsidP="3BBCBCB2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  <w:szCs w:val="18"/>
      </w:rPr>
    </w:pPr>
    <w:r w:rsidRPr="3BBCBCB2">
      <w:rPr>
        <w:rFonts w:ascii="Arial" w:hAnsi="Arial"/>
        <w:sz w:val="18"/>
        <w:szCs w:val="18"/>
      </w:rPr>
      <w:fldChar w:fldCharType="begin"/>
    </w:r>
    <w:r w:rsidRPr="3BBCBCB2">
      <w:rPr>
        <w:rFonts w:ascii="Arial" w:hAnsi="Arial"/>
        <w:sz w:val="18"/>
        <w:szCs w:val="18"/>
      </w:rPr>
      <w:instrText xml:space="preserve"> FILENAME   \* MERGEFORMAT </w:instrText>
    </w:r>
    <w:r w:rsidRPr="3BBCBCB2">
      <w:rPr>
        <w:rFonts w:ascii="Arial" w:hAnsi="Arial"/>
        <w:sz w:val="18"/>
        <w:szCs w:val="18"/>
      </w:rPr>
      <w:fldChar w:fldCharType="separate"/>
    </w:r>
    <w:r w:rsidR="3BBCBCB2" w:rsidRPr="3BBCBCB2">
      <w:rPr>
        <w:rFonts w:ascii="Arial" w:hAnsi="Arial"/>
        <w:noProof/>
        <w:sz w:val="18"/>
        <w:szCs w:val="18"/>
      </w:rPr>
      <w:t>272NOGRR-</w:t>
    </w:r>
    <w:r w:rsidR="00CA2113">
      <w:rPr>
        <w:rFonts w:ascii="Arial" w:hAnsi="Arial"/>
        <w:noProof/>
        <w:sz w:val="18"/>
        <w:szCs w:val="18"/>
      </w:rPr>
      <w:t>09</w:t>
    </w:r>
    <w:r w:rsidR="3BBCBCB2" w:rsidRPr="3BBCBCB2">
      <w:rPr>
        <w:rFonts w:ascii="Arial" w:hAnsi="Arial"/>
        <w:noProof/>
        <w:sz w:val="18"/>
        <w:szCs w:val="18"/>
      </w:rPr>
      <w:t xml:space="preserve"> Plus Power Comments 05</w:t>
    </w:r>
    <w:r w:rsidR="00CA2113">
      <w:rPr>
        <w:rFonts w:ascii="Arial" w:hAnsi="Arial"/>
        <w:noProof/>
        <w:sz w:val="18"/>
        <w:szCs w:val="18"/>
      </w:rPr>
      <w:t>13</w:t>
    </w:r>
    <w:r w:rsidR="3BBCBCB2" w:rsidRPr="3BBCBCB2">
      <w:rPr>
        <w:rFonts w:ascii="Arial" w:hAnsi="Arial"/>
        <w:noProof/>
        <w:sz w:val="18"/>
        <w:szCs w:val="18"/>
      </w:rPr>
      <w:t>25</w:t>
    </w:r>
    <w:r w:rsidRPr="3BBCBCB2">
      <w:rPr>
        <w:rFonts w:ascii="Arial" w:hAnsi="Arial"/>
        <w:sz w:val="18"/>
        <w:szCs w:val="18"/>
      </w:rPr>
      <w:fldChar w:fldCharType="end"/>
    </w:r>
    <w:r>
      <w:tab/>
    </w:r>
    <w:r w:rsidR="3BBCBCB2" w:rsidRPr="3BBCBCB2">
      <w:rPr>
        <w:rFonts w:ascii="Arial" w:hAnsi="Arial"/>
        <w:sz w:val="18"/>
        <w:szCs w:val="18"/>
      </w:rPr>
      <w:t xml:space="preserve">Page </w:t>
    </w:r>
    <w:r w:rsidRPr="3BBCBCB2">
      <w:rPr>
        <w:rFonts w:ascii="Arial" w:hAnsi="Arial"/>
        <w:noProof/>
        <w:sz w:val="18"/>
        <w:szCs w:val="18"/>
      </w:rPr>
      <w:fldChar w:fldCharType="begin"/>
    </w:r>
    <w:r w:rsidRPr="3BBCBCB2">
      <w:rPr>
        <w:rFonts w:ascii="Arial" w:hAnsi="Arial"/>
        <w:sz w:val="18"/>
        <w:szCs w:val="18"/>
      </w:rPr>
      <w:instrText xml:space="preserve"> PAGE </w:instrText>
    </w:r>
    <w:r w:rsidRPr="3BBCBCB2">
      <w:rPr>
        <w:rFonts w:ascii="Arial" w:hAnsi="Arial"/>
        <w:sz w:val="18"/>
        <w:szCs w:val="18"/>
      </w:rPr>
      <w:fldChar w:fldCharType="separate"/>
    </w:r>
    <w:r w:rsidR="3BBCBCB2" w:rsidRPr="3BBCBCB2">
      <w:rPr>
        <w:rFonts w:ascii="Arial" w:hAnsi="Arial"/>
        <w:noProof/>
        <w:sz w:val="18"/>
        <w:szCs w:val="18"/>
      </w:rPr>
      <w:t>1</w:t>
    </w:r>
    <w:r w:rsidRPr="3BBCBCB2">
      <w:rPr>
        <w:rFonts w:ascii="Arial" w:hAnsi="Arial"/>
        <w:noProof/>
        <w:sz w:val="18"/>
        <w:szCs w:val="18"/>
      </w:rPr>
      <w:fldChar w:fldCharType="end"/>
    </w:r>
    <w:r w:rsidR="3BBCBCB2" w:rsidRPr="3BBCBCB2">
      <w:rPr>
        <w:rFonts w:ascii="Arial" w:hAnsi="Arial"/>
        <w:sz w:val="18"/>
        <w:szCs w:val="18"/>
      </w:rPr>
      <w:t xml:space="preserve"> of </w:t>
    </w:r>
    <w:r w:rsidRPr="3BBCBCB2">
      <w:rPr>
        <w:rFonts w:ascii="Arial" w:hAnsi="Arial"/>
        <w:noProof/>
        <w:sz w:val="18"/>
        <w:szCs w:val="18"/>
      </w:rPr>
      <w:fldChar w:fldCharType="begin"/>
    </w:r>
    <w:r w:rsidRPr="3BBCBCB2">
      <w:rPr>
        <w:rFonts w:ascii="Arial" w:hAnsi="Arial"/>
        <w:sz w:val="18"/>
        <w:szCs w:val="18"/>
      </w:rPr>
      <w:instrText xml:space="preserve"> NUMPAGES </w:instrText>
    </w:r>
    <w:r w:rsidRPr="3BBCBCB2">
      <w:rPr>
        <w:rFonts w:ascii="Arial" w:hAnsi="Arial"/>
        <w:sz w:val="18"/>
        <w:szCs w:val="18"/>
      </w:rPr>
      <w:fldChar w:fldCharType="separate"/>
    </w:r>
    <w:r w:rsidR="3BBCBCB2" w:rsidRPr="3BBCBCB2">
      <w:rPr>
        <w:rFonts w:ascii="Arial" w:hAnsi="Arial"/>
        <w:noProof/>
        <w:sz w:val="18"/>
        <w:szCs w:val="18"/>
      </w:rPr>
      <w:t>1</w:t>
    </w:r>
    <w:r w:rsidRPr="3BBCBCB2">
      <w:rPr>
        <w:rFonts w:ascii="Arial" w:hAnsi="Arial"/>
        <w:noProof/>
        <w:sz w:val="18"/>
        <w:szCs w:val="18"/>
      </w:rPr>
      <w:fldChar w:fldCharType="end"/>
    </w:r>
  </w:p>
  <w:p w14:paraId="5C3AFFB9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9A46" w14:textId="77777777" w:rsidR="00F330E7" w:rsidRDefault="00F330E7">
      <w:r>
        <w:separator/>
      </w:r>
    </w:p>
  </w:footnote>
  <w:footnote w:type="continuationSeparator" w:id="0">
    <w:p w14:paraId="2D599803" w14:textId="77777777" w:rsidR="00F330E7" w:rsidRDefault="00F3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4E2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477CF0AD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A10101"/>
    <w:multiLevelType w:val="hybridMultilevel"/>
    <w:tmpl w:val="AA3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4A4"/>
    <w:multiLevelType w:val="hybridMultilevel"/>
    <w:tmpl w:val="394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9F3"/>
    <w:multiLevelType w:val="hybridMultilevel"/>
    <w:tmpl w:val="4C24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48E9"/>
    <w:multiLevelType w:val="hybridMultilevel"/>
    <w:tmpl w:val="FFB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7434077">
    <w:abstractNumId w:val="0"/>
  </w:num>
  <w:num w:numId="2" w16cid:durableId="906770319">
    <w:abstractNumId w:val="5"/>
  </w:num>
  <w:num w:numId="3" w16cid:durableId="654838436">
    <w:abstractNumId w:val="3"/>
  </w:num>
  <w:num w:numId="4" w16cid:durableId="1348603189">
    <w:abstractNumId w:val="4"/>
  </w:num>
  <w:num w:numId="5" w16cid:durableId="235896591">
    <w:abstractNumId w:val="2"/>
  </w:num>
  <w:num w:numId="6" w16cid:durableId="141539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F2A"/>
    <w:rsid w:val="00012122"/>
    <w:rsid w:val="00021209"/>
    <w:rsid w:val="000212BD"/>
    <w:rsid w:val="00023883"/>
    <w:rsid w:val="00023CCC"/>
    <w:rsid w:val="00035F7B"/>
    <w:rsid w:val="00037668"/>
    <w:rsid w:val="00040482"/>
    <w:rsid w:val="00041D04"/>
    <w:rsid w:val="00054601"/>
    <w:rsid w:val="00055209"/>
    <w:rsid w:val="0006363E"/>
    <w:rsid w:val="000671CF"/>
    <w:rsid w:val="00075A94"/>
    <w:rsid w:val="00083ECB"/>
    <w:rsid w:val="00090964"/>
    <w:rsid w:val="00094F9A"/>
    <w:rsid w:val="00095312"/>
    <w:rsid w:val="000A1995"/>
    <w:rsid w:val="000A7772"/>
    <w:rsid w:val="000A7E7B"/>
    <w:rsid w:val="000B0DCA"/>
    <w:rsid w:val="000B6F66"/>
    <w:rsid w:val="000D0849"/>
    <w:rsid w:val="000E07E3"/>
    <w:rsid w:val="000E0EE7"/>
    <w:rsid w:val="000E78EC"/>
    <w:rsid w:val="0010524F"/>
    <w:rsid w:val="00110C79"/>
    <w:rsid w:val="001142AC"/>
    <w:rsid w:val="0013022C"/>
    <w:rsid w:val="0013044E"/>
    <w:rsid w:val="00132855"/>
    <w:rsid w:val="00136835"/>
    <w:rsid w:val="00136F72"/>
    <w:rsid w:val="001435A2"/>
    <w:rsid w:val="00152993"/>
    <w:rsid w:val="00152C7C"/>
    <w:rsid w:val="00164EB0"/>
    <w:rsid w:val="00165860"/>
    <w:rsid w:val="00170297"/>
    <w:rsid w:val="00176E7B"/>
    <w:rsid w:val="00181F17"/>
    <w:rsid w:val="001862AE"/>
    <w:rsid w:val="00186875"/>
    <w:rsid w:val="00193056"/>
    <w:rsid w:val="001947D6"/>
    <w:rsid w:val="001962B5"/>
    <w:rsid w:val="001A227D"/>
    <w:rsid w:val="001A5308"/>
    <w:rsid w:val="001B2A2A"/>
    <w:rsid w:val="001C1B45"/>
    <w:rsid w:val="001C7F7F"/>
    <w:rsid w:val="001D11CA"/>
    <w:rsid w:val="001D485F"/>
    <w:rsid w:val="001D6252"/>
    <w:rsid w:val="001E2032"/>
    <w:rsid w:val="001F49FB"/>
    <w:rsid w:val="001F6FB6"/>
    <w:rsid w:val="0020227A"/>
    <w:rsid w:val="00206C54"/>
    <w:rsid w:val="00225002"/>
    <w:rsid w:val="002268C0"/>
    <w:rsid w:val="00237F13"/>
    <w:rsid w:val="00244DAC"/>
    <w:rsid w:val="002462E5"/>
    <w:rsid w:val="002550D2"/>
    <w:rsid w:val="00255F8B"/>
    <w:rsid w:val="00276238"/>
    <w:rsid w:val="002768E1"/>
    <w:rsid w:val="002770F8"/>
    <w:rsid w:val="002771E6"/>
    <w:rsid w:val="00282CF2"/>
    <w:rsid w:val="00283644"/>
    <w:rsid w:val="00284AB9"/>
    <w:rsid w:val="00285BC8"/>
    <w:rsid w:val="002A06BB"/>
    <w:rsid w:val="002A7851"/>
    <w:rsid w:val="002B1746"/>
    <w:rsid w:val="002B3442"/>
    <w:rsid w:val="002B6C84"/>
    <w:rsid w:val="002C7BFB"/>
    <w:rsid w:val="002D5925"/>
    <w:rsid w:val="002E461C"/>
    <w:rsid w:val="002F0FE9"/>
    <w:rsid w:val="00300177"/>
    <w:rsid w:val="003010C0"/>
    <w:rsid w:val="003049F7"/>
    <w:rsid w:val="00306D6B"/>
    <w:rsid w:val="00315B89"/>
    <w:rsid w:val="00322259"/>
    <w:rsid w:val="00332A97"/>
    <w:rsid w:val="00341ED3"/>
    <w:rsid w:val="003429FC"/>
    <w:rsid w:val="00343693"/>
    <w:rsid w:val="00345026"/>
    <w:rsid w:val="003455BA"/>
    <w:rsid w:val="00347F50"/>
    <w:rsid w:val="00350C00"/>
    <w:rsid w:val="00360C0E"/>
    <w:rsid w:val="00366113"/>
    <w:rsid w:val="003747E8"/>
    <w:rsid w:val="00380789"/>
    <w:rsid w:val="00391D14"/>
    <w:rsid w:val="003A3EF8"/>
    <w:rsid w:val="003B3D09"/>
    <w:rsid w:val="003C270C"/>
    <w:rsid w:val="003C3AD6"/>
    <w:rsid w:val="003C405A"/>
    <w:rsid w:val="003C5BA5"/>
    <w:rsid w:val="003D0994"/>
    <w:rsid w:val="003E14C6"/>
    <w:rsid w:val="003E7D74"/>
    <w:rsid w:val="00400DB9"/>
    <w:rsid w:val="00414553"/>
    <w:rsid w:val="004165CC"/>
    <w:rsid w:val="00420592"/>
    <w:rsid w:val="00423824"/>
    <w:rsid w:val="00424DE8"/>
    <w:rsid w:val="00430CFD"/>
    <w:rsid w:val="00431014"/>
    <w:rsid w:val="004319F5"/>
    <w:rsid w:val="0043567D"/>
    <w:rsid w:val="0043597B"/>
    <w:rsid w:val="00443E32"/>
    <w:rsid w:val="00451304"/>
    <w:rsid w:val="00463B08"/>
    <w:rsid w:val="00490C5F"/>
    <w:rsid w:val="00491EE8"/>
    <w:rsid w:val="004B45D5"/>
    <w:rsid w:val="004B50D4"/>
    <w:rsid w:val="004B7B90"/>
    <w:rsid w:val="004C2892"/>
    <w:rsid w:val="004C59BB"/>
    <w:rsid w:val="004D196D"/>
    <w:rsid w:val="004D37D7"/>
    <w:rsid w:val="004D73BF"/>
    <w:rsid w:val="004E13C0"/>
    <w:rsid w:val="004E2C19"/>
    <w:rsid w:val="004E3AD3"/>
    <w:rsid w:val="004F0B7F"/>
    <w:rsid w:val="004F48FC"/>
    <w:rsid w:val="00511035"/>
    <w:rsid w:val="00511920"/>
    <w:rsid w:val="00526643"/>
    <w:rsid w:val="0055032D"/>
    <w:rsid w:val="00571B8D"/>
    <w:rsid w:val="00577DBD"/>
    <w:rsid w:val="00581F45"/>
    <w:rsid w:val="00585839"/>
    <w:rsid w:val="005859B0"/>
    <w:rsid w:val="00586D24"/>
    <w:rsid w:val="005A0A8C"/>
    <w:rsid w:val="005C078F"/>
    <w:rsid w:val="005C312A"/>
    <w:rsid w:val="005D284C"/>
    <w:rsid w:val="0060019F"/>
    <w:rsid w:val="00603D13"/>
    <w:rsid w:val="0061197E"/>
    <w:rsid w:val="006304E8"/>
    <w:rsid w:val="00633E23"/>
    <w:rsid w:val="00637511"/>
    <w:rsid w:val="00642EE1"/>
    <w:rsid w:val="006435E8"/>
    <w:rsid w:val="006436C3"/>
    <w:rsid w:val="006539EF"/>
    <w:rsid w:val="006570FF"/>
    <w:rsid w:val="00657BF4"/>
    <w:rsid w:val="00661FE5"/>
    <w:rsid w:val="00673B94"/>
    <w:rsid w:val="00680AC6"/>
    <w:rsid w:val="006835D8"/>
    <w:rsid w:val="00684C7F"/>
    <w:rsid w:val="00697096"/>
    <w:rsid w:val="006A0C83"/>
    <w:rsid w:val="006A28AC"/>
    <w:rsid w:val="006B4142"/>
    <w:rsid w:val="006B4BA7"/>
    <w:rsid w:val="006C316E"/>
    <w:rsid w:val="006D0F7C"/>
    <w:rsid w:val="006D6E9C"/>
    <w:rsid w:val="006E722E"/>
    <w:rsid w:val="006F0CD4"/>
    <w:rsid w:val="006F5AE7"/>
    <w:rsid w:val="00705A2A"/>
    <w:rsid w:val="007210A4"/>
    <w:rsid w:val="007269C4"/>
    <w:rsid w:val="00734625"/>
    <w:rsid w:val="00734EAF"/>
    <w:rsid w:val="00735899"/>
    <w:rsid w:val="00736FC3"/>
    <w:rsid w:val="0074209E"/>
    <w:rsid w:val="00746F41"/>
    <w:rsid w:val="00750106"/>
    <w:rsid w:val="00751C24"/>
    <w:rsid w:val="00774DBA"/>
    <w:rsid w:val="0078228C"/>
    <w:rsid w:val="00786EAA"/>
    <w:rsid w:val="00793EE9"/>
    <w:rsid w:val="00797D20"/>
    <w:rsid w:val="007B045B"/>
    <w:rsid w:val="007B36D4"/>
    <w:rsid w:val="007B3E91"/>
    <w:rsid w:val="007B64F5"/>
    <w:rsid w:val="007B7C55"/>
    <w:rsid w:val="007D28AA"/>
    <w:rsid w:val="007D28B9"/>
    <w:rsid w:val="007D3349"/>
    <w:rsid w:val="007D42D6"/>
    <w:rsid w:val="007E1308"/>
    <w:rsid w:val="007F163C"/>
    <w:rsid w:val="007F2CA8"/>
    <w:rsid w:val="007F2DC1"/>
    <w:rsid w:val="007F39EA"/>
    <w:rsid w:val="007F4D61"/>
    <w:rsid w:val="007F7161"/>
    <w:rsid w:val="00801283"/>
    <w:rsid w:val="008078C4"/>
    <w:rsid w:val="008248CD"/>
    <w:rsid w:val="008346EB"/>
    <w:rsid w:val="0085559E"/>
    <w:rsid w:val="00856398"/>
    <w:rsid w:val="0085764F"/>
    <w:rsid w:val="00857FD4"/>
    <w:rsid w:val="00863A28"/>
    <w:rsid w:val="00866EFD"/>
    <w:rsid w:val="008745F7"/>
    <w:rsid w:val="008754AB"/>
    <w:rsid w:val="0088410F"/>
    <w:rsid w:val="00891365"/>
    <w:rsid w:val="00896B1B"/>
    <w:rsid w:val="008A0B15"/>
    <w:rsid w:val="008B04DB"/>
    <w:rsid w:val="008B7618"/>
    <w:rsid w:val="008C48C8"/>
    <w:rsid w:val="008C56D9"/>
    <w:rsid w:val="008C6F72"/>
    <w:rsid w:val="008E2E91"/>
    <w:rsid w:val="008E559E"/>
    <w:rsid w:val="008F3497"/>
    <w:rsid w:val="008F3713"/>
    <w:rsid w:val="008F6872"/>
    <w:rsid w:val="008F77DE"/>
    <w:rsid w:val="00916080"/>
    <w:rsid w:val="00921A68"/>
    <w:rsid w:val="00923183"/>
    <w:rsid w:val="0092403A"/>
    <w:rsid w:val="00925BAD"/>
    <w:rsid w:val="00930E82"/>
    <w:rsid w:val="0094558D"/>
    <w:rsid w:val="0094595E"/>
    <w:rsid w:val="00952BBC"/>
    <w:rsid w:val="00953154"/>
    <w:rsid w:val="00953600"/>
    <w:rsid w:val="00960706"/>
    <w:rsid w:val="0096132D"/>
    <w:rsid w:val="009733CC"/>
    <w:rsid w:val="00982745"/>
    <w:rsid w:val="00986296"/>
    <w:rsid w:val="009868FC"/>
    <w:rsid w:val="00992296"/>
    <w:rsid w:val="009A05B4"/>
    <w:rsid w:val="009A1DBC"/>
    <w:rsid w:val="009A2B27"/>
    <w:rsid w:val="009A5AE9"/>
    <w:rsid w:val="009B6C8F"/>
    <w:rsid w:val="009C16C3"/>
    <w:rsid w:val="009C3E6F"/>
    <w:rsid w:val="009C53D1"/>
    <w:rsid w:val="009D17F7"/>
    <w:rsid w:val="009D4797"/>
    <w:rsid w:val="009E1A2F"/>
    <w:rsid w:val="009E5CA0"/>
    <w:rsid w:val="009E688A"/>
    <w:rsid w:val="009E78F3"/>
    <w:rsid w:val="009F0860"/>
    <w:rsid w:val="00A015C4"/>
    <w:rsid w:val="00A132CD"/>
    <w:rsid w:val="00A13D78"/>
    <w:rsid w:val="00A15172"/>
    <w:rsid w:val="00A413AF"/>
    <w:rsid w:val="00A60617"/>
    <w:rsid w:val="00A61E4A"/>
    <w:rsid w:val="00A66790"/>
    <w:rsid w:val="00A74523"/>
    <w:rsid w:val="00A7593A"/>
    <w:rsid w:val="00A77EBB"/>
    <w:rsid w:val="00A9352A"/>
    <w:rsid w:val="00AC13FA"/>
    <w:rsid w:val="00B00FF4"/>
    <w:rsid w:val="00B0356C"/>
    <w:rsid w:val="00B133C5"/>
    <w:rsid w:val="00B14422"/>
    <w:rsid w:val="00B148BD"/>
    <w:rsid w:val="00B160FE"/>
    <w:rsid w:val="00B24947"/>
    <w:rsid w:val="00B27A1D"/>
    <w:rsid w:val="00B32E26"/>
    <w:rsid w:val="00B33DFD"/>
    <w:rsid w:val="00B4504B"/>
    <w:rsid w:val="00B46222"/>
    <w:rsid w:val="00B479A8"/>
    <w:rsid w:val="00B502A9"/>
    <w:rsid w:val="00B6502E"/>
    <w:rsid w:val="00B73A8C"/>
    <w:rsid w:val="00B7760C"/>
    <w:rsid w:val="00BB30CB"/>
    <w:rsid w:val="00BB4A12"/>
    <w:rsid w:val="00BC3E1E"/>
    <w:rsid w:val="00BC42C4"/>
    <w:rsid w:val="00BC620D"/>
    <w:rsid w:val="00BE67E1"/>
    <w:rsid w:val="00C0141E"/>
    <w:rsid w:val="00C0598D"/>
    <w:rsid w:val="00C11956"/>
    <w:rsid w:val="00C12EDE"/>
    <w:rsid w:val="00C158EE"/>
    <w:rsid w:val="00C26680"/>
    <w:rsid w:val="00C30ED1"/>
    <w:rsid w:val="00C50F5F"/>
    <w:rsid w:val="00C602E5"/>
    <w:rsid w:val="00C61F31"/>
    <w:rsid w:val="00C748FD"/>
    <w:rsid w:val="00C76A3C"/>
    <w:rsid w:val="00C81540"/>
    <w:rsid w:val="00C868E2"/>
    <w:rsid w:val="00C92AC5"/>
    <w:rsid w:val="00CA2113"/>
    <w:rsid w:val="00CA305E"/>
    <w:rsid w:val="00CB2929"/>
    <w:rsid w:val="00CB45B7"/>
    <w:rsid w:val="00CB71EF"/>
    <w:rsid w:val="00CB7E4A"/>
    <w:rsid w:val="00CB7FC4"/>
    <w:rsid w:val="00CD11B2"/>
    <w:rsid w:val="00CD21EF"/>
    <w:rsid w:val="00CD2547"/>
    <w:rsid w:val="00CD4D49"/>
    <w:rsid w:val="00CD7E8A"/>
    <w:rsid w:val="00CE141F"/>
    <w:rsid w:val="00CE55E0"/>
    <w:rsid w:val="00CF6D59"/>
    <w:rsid w:val="00D11C92"/>
    <w:rsid w:val="00D14B63"/>
    <w:rsid w:val="00D1684A"/>
    <w:rsid w:val="00D24096"/>
    <w:rsid w:val="00D24DCF"/>
    <w:rsid w:val="00D324C9"/>
    <w:rsid w:val="00D4046E"/>
    <w:rsid w:val="00D42F69"/>
    <w:rsid w:val="00D43CA6"/>
    <w:rsid w:val="00D43FC5"/>
    <w:rsid w:val="00D4659D"/>
    <w:rsid w:val="00D4690F"/>
    <w:rsid w:val="00D513EE"/>
    <w:rsid w:val="00D515FC"/>
    <w:rsid w:val="00D52592"/>
    <w:rsid w:val="00D65119"/>
    <w:rsid w:val="00D70E35"/>
    <w:rsid w:val="00D71D3A"/>
    <w:rsid w:val="00D82201"/>
    <w:rsid w:val="00D825C5"/>
    <w:rsid w:val="00D83E46"/>
    <w:rsid w:val="00D86DEE"/>
    <w:rsid w:val="00D939C5"/>
    <w:rsid w:val="00DA4B30"/>
    <w:rsid w:val="00DB5EFD"/>
    <w:rsid w:val="00DC71D0"/>
    <w:rsid w:val="00DD4739"/>
    <w:rsid w:val="00DD4CE3"/>
    <w:rsid w:val="00DE5F33"/>
    <w:rsid w:val="00DF6171"/>
    <w:rsid w:val="00E05883"/>
    <w:rsid w:val="00E07B54"/>
    <w:rsid w:val="00E11F78"/>
    <w:rsid w:val="00E1262E"/>
    <w:rsid w:val="00E150E4"/>
    <w:rsid w:val="00E20308"/>
    <w:rsid w:val="00E621E1"/>
    <w:rsid w:val="00E62C74"/>
    <w:rsid w:val="00E71CF6"/>
    <w:rsid w:val="00E8195F"/>
    <w:rsid w:val="00E83AAE"/>
    <w:rsid w:val="00E861FB"/>
    <w:rsid w:val="00E92030"/>
    <w:rsid w:val="00E977C1"/>
    <w:rsid w:val="00EA14C0"/>
    <w:rsid w:val="00EA6B16"/>
    <w:rsid w:val="00EB07C2"/>
    <w:rsid w:val="00EC55B3"/>
    <w:rsid w:val="00ED546D"/>
    <w:rsid w:val="00ED5F5D"/>
    <w:rsid w:val="00ED6B93"/>
    <w:rsid w:val="00EE42AF"/>
    <w:rsid w:val="00EE7FAD"/>
    <w:rsid w:val="00F01D8B"/>
    <w:rsid w:val="00F020E0"/>
    <w:rsid w:val="00F22F17"/>
    <w:rsid w:val="00F24F53"/>
    <w:rsid w:val="00F31378"/>
    <w:rsid w:val="00F330E7"/>
    <w:rsid w:val="00F41FEF"/>
    <w:rsid w:val="00F4545F"/>
    <w:rsid w:val="00F53593"/>
    <w:rsid w:val="00F72588"/>
    <w:rsid w:val="00F81E25"/>
    <w:rsid w:val="00F84BAA"/>
    <w:rsid w:val="00F923D1"/>
    <w:rsid w:val="00F96FB2"/>
    <w:rsid w:val="00FA4213"/>
    <w:rsid w:val="00FB51D8"/>
    <w:rsid w:val="00FB539C"/>
    <w:rsid w:val="00FD08E8"/>
    <w:rsid w:val="00FD3962"/>
    <w:rsid w:val="00FE5B3D"/>
    <w:rsid w:val="00FE766F"/>
    <w:rsid w:val="0192A12B"/>
    <w:rsid w:val="03ADD0C3"/>
    <w:rsid w:val="0BE4EFEB"/>
    <w:rsid w:val="12649A35"/>
    <w:rsid w:val="1533B60E"/>
    <w:rsid w:val="159D08DD"/>
    <w:rsid w:val="187A5F00"/>
    <w:rsid w:val="1A7DD194"/>
    <w:rsid w:val="1D46BC94"/>
    <w:rsid w:val="24AF2238"/>
    <w:rsid w:val="25A777CB"/>
    <w:rsid w:val="297FD62A"/>
    <w:rsid w:val="2B6141B9"/>
    <w:rsid w:val="3BBCBCB2"/>
    <w:rsid w:val="3DE188A4"/>
    <w:rsid w:val="41790D71"/>
    <w:rsid w:val="48411BDF"/>
    <w:rsid w:val="4A91109B"/>
    <w:rsid w:val="4F37D7EE"/>
    <w:rsid w:val="4F58BACC"/>
    <w:rsid w:val="52671BB4"/>
    <w:rsid w:val="61787303"/>
    <w:rsid w:val="63047E07"/>
    <w:rsid w:val="6381602D"/>
    <w:rsid w:val="650F05E2"/>
    <w:rsid w:val="659952C5"/>
    <w:rsid w:val="65A9ADF1"/>
    <w:rsid w:val="69771B3B"/>
    <w:rsid w:val="6D909859"/>
    <w:rsid w:val="702309A5"/>
    <w:rsid w:val="711938EA"/>
    <w:rsid w:val="78F93E30"/>
    <w:rsid w:val="7B8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423D"/>
  <w15:chartTrackingRefBased/>
  <w15:docId w15:val="{BC882CB7-B52E-4347-8E9F-A131F4D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435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C55"/>
    <w:pPr>
      <w:spacing w:after="160" w:line="278" w:lineRule="auto"/>
      <w:ind w:left="720"/>
      <w:contextualSpacing/>
    </w:pPr>
    <w:rPr>
      <w:rFonts w:ascii="Calibri" w:eastAsia="Aptos" w:hAnsi="Calibri" w:cs="Times New Roman (Body CS)"/>
      <w:kern w:val="2"/>
      <w:sz w:val="22"/>
    </w:rPr>
  </w:style>
  <w:style w:type="paragraph" w:styleId="Revision">
    <w:name w:val="Revision"/>
    <w:hidden/>
    <w:uiPriority w:val="99"/>
    <w:semiHidden/>
    <w:rsid w:val="00751C24"/>
    <w:rPr>
      <w:sz w:val="24"/>
      <w:szCs w:val="24"/>
    </w:rPr>
  </w:style>
  <w:style w:type="character" w:styleId="FollowedHyperlink">
    <w:name w:val="FollowedHyperlink"/>
    <w:basedOn w:val="DefaultParagraphFont"/>
    <w:rsid w:val="001C1B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B9D7-6200-4A14-9841-2E9B3B40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2001-06-20T14:28:00Z</cp:lastPrinted>
  <dcterms:created xsi:type="dcterms:W3CDTF">2025-05-13T20:33:00Z</dcterms:created>
  <dcterms:modified xsi:type="dcterms:W3CDTF">2025-05-13T20:45:00Z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2025-01-14T22:27:52Z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be41cfc7-9698-421b-b522-0bf832da4484</vt:lpwstr>
  </property>
  <property fmtid="{D5CDD505-2E9C-101B-9397-08002B2CF9AE}" pid="8" name="MSIP_Label_7084cbda-52b8-46fb-a7b7-cb5bd465ed85_ContentBits">
    <vt:lpwstr>0</vt:lpwstr>
  </property>
</Properties>
</file>