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111B" w14:textId="116B9140" w:rsidR="00E41240" w:rsidRDefault="00E41240" w:rsidP="00E41240">
      <w:pPr>
        <w:spacing w:before="240" w:after="240"/>
        <w:ind w:left="720" w:firstLine="720"/>
        <w:rPr>
          <w:rFonts w:ascii="Arial" w:hAnsi="Arial" w:cs="Arial"/>
          <w:b/>
          <w:bCs/>
          <w:color w:val="000000"/>
          <w:sz w:val="32"/>
        </w:rPr>
      </w:pPr>
      <w:r w:rsidRPr="0019013C">
        <w:rPr>
          <w:rFonts w:ascii="Arial" w:hAnsi="Arial" w:cs="Arial"/>
          <w:b/>
          <w:bCs/>
          <w:color w:val="000000"/>
          <w:sz w:val="32"/>
        </w:rPr>
        <w:t xml:space="preserve">Large Load </w:t>
      </w:r>
      <w:r w:rsidR="00A77B3F">
        <w:rPr>
          <w:rFonts w:ascii="Arial" w:hAnsi="Arial" w:cs="Arial"/>
          <w:b/>
          <w:bCs/>
          <w:color w:val="000000"/>
          <w:sz w:val="32"/>
        </w:rPr>
        <w:t>Working Group (LLWG)</w:t>
      </w:r>
      <w:r w:rsidRPr="0019013C">
        <w:rPr>
          <w:rFonts w:ascii="Arial" w:hAnsi="Arial" w:cs="Arial"/>
          <w:b/>
          <w:bCs/>
          <w:color w:val="000000"/>
          <w:sz w:val="32"/>
        </w:rPr>
        <w:t xml:space="preserve"> Charter</w:t>
      </w:r>
    </w:p>
    <w:p w14:paraId="7EF80814" w14:textId="51EC7D34" w:rsidR="00E41240" w:rsidRPr="00352FE8" w:rsidRDefault="00E41240" w:rsidP="00E41240">
      <w:pPr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TAC Approved on </w:t>
      </w:r>
      <w:r w:rsidR="00186DF2">
        <w:rPr>
          <w:rFonts w:ascii="Arial" w:hAnsi="Arial" w:cs="Arial"/>
          <w:b/>
          <w:bCs/>
          <w:color w:val="000000"/>
          <w:sz w:val="28"/>
          <w:szCs w:val="28"/>
        </w:rPr>
        <w:t>4/23/25</w:t>
      </w:r>
    </w:p>
    <w:p w14:paraId="0C5AEE37" w14:textId="77777777" w:rsidR="00E41240" w:rsidRDefault="00E41240" w:rsidP="00E41240">
      <w:pPr>
        <w:spacing w:before="240" w:after="240"/>
        <w:jc w:val="both"/>
        <w:rPr>
          <w:rFonts w:ascii="Arial" w:hAnsi="Arial" w:cs="Arial"/>
          <w:b/>
          <w:bCs/>
          <w:color w:val="000000"/>
          <w:sz w:val="27"/>
        </w:rPr>
      </w:pPr>
      <w:r>
        <w:rPr>
          <w:rFonts w:ascii="Arial" w:hAnsi="Arial" w:cs="Arial"/>
          <w:b/>
          <w:bCs/>
          <w:color w:val="000000"/>
          <w:sz w:val="27"/>
        </w:rPr>
        <w:t>Purpose &amp; Scope:</w:t>
      </w:r>
    </w:p>
    <w:p w14:paraId="7563FC1F" w14:textId="69B885D8" w:rsidR="00E41240" w:rsidRDefault="00543A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 xml:space="preserve">The Large Load </w:t>
      </w:r>
      <w:r w:rsidR="00A77B3F">
        <w:rPr>
          <w:rFonts w:ascii="Arial" w:hAnsi="Arial" w:cs="Arial"/>
          <w:color w:val="000000"/>
          <w:sz w:val="20"/>
          <w:szCs w:val="20"/>
        </w:rPr>
        <w:t>Working Group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(</w:t>
      </w:r>
      <w:r w:rsidR="00A77B3F">
        <w:rPr>
          <w:rFonts w:ascii="Arial" w:hAnsi="Arial" w:cs="Arial"/>
          <w:color w:val="000000"/>
          <w:sz w:val="20"/>
          <w:szCs w:val="20"/>
        </w:rPr>
        <w:t>LLWG</w:t>
      </w:r>
      <w:r w:rsidRPr="0019013C">
        <w:rPr>
          <w:rFonts w:ascii="Arial" w:hAnsi="Arial" w:cs="Arial"/>
          <w:color w:val="000000"/>
          <w:sz w:val="20"/>
          <w:szCs w:val="20"/>
        </w:rPr>
        <w:t>) reports directly to the ERCOT Technical Advisory Committee (TAC) and provides recommendations to TAC under the scope of this Charter.</w:t>
      </w:r>
    </w:p>
    <w:p w14:paraId="35FE746E" w14:textId="2AB04D4D" w:rsidR="00A77B3F" w:rsidRDefault="00A77B3F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LLWG </w:t>
      </w:r>
      <w:r w:rsidRPr="00A77B3F">
        <w:rPr>
          <w:rFonts w:ascii="Arial" w:hAnsi="Arial" w:cs="Arial"/>
          <w:color w:val="000000"/>
          <w:sz w:val="20"/>
          <w:szCs w:val="20"/>
        </w:rPr>
        <w:t xml:space="preserve">is responsible for developing and recommending policies to facilitate the reliable and efficient integration of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A77B3F">
        <w:rPr>
          <w:rFonts w:ascii="Arial" w:hAnsi="Arial" w:cs="Arial"/>
          <w:color w:val="000000"/>
          <w:sz w:val="20"/>
          <w:szCs w:val="20"/>
        </w:rPr>
        <w:t>s into the ERCOT system.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A77B3F">
        <w:rPr>
          <w:rFonts w:ascii="Arial" w:hAnsi="Arial" w:cs="Arial"/>
          <w:color w:val="000000"/>
          <w:sz w:val="20"/>
          <w:szCs w:val="20"/>
        </w:rPr>
        <w:t xml:space="preserve">LLWG’s work covers a range of technical and market issues, including planning, operations, and market-related processes for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A77B3F">
        <w:rPr>
          <w:rFonts w:ascii="Arial" w:hAnsi="Arial" w:cs="Arial"/>
          <w:color w:val="000000"/>
          <w:sz w:val="20"/>
          <w:szCs w:val="20"/>
        </w:rPr>
        <w:t xml:space="preserve"> interconnection and management. </w:t>
      </w:r>
      <w:r w:rsidR="004916DC">
        <w:rPr>
          <w:rFonts w:ascii="Arial" w:hAnsi="Arial" w:cs="Arial"/>
          <w:color w:val="000000"/>
          <w:sz w:val="20"/>
          <w:szCs w:val="20"/>
        </w:rPr>
        <w:t>LLWG</w:t>
      </w:r>
      <w:r w:rsidRPr="00A77B3F">
        <w:rPr>
          <w:rFonts w:ascii="Arial" w:hAnsi="Arial" w:cs="Arial"/>
          <w:color w:val="000000"/>
          <w:sz w:val="20"/>
          <w:szCs w:val="20"/>
        </w:rPr>
        <w:t xml:space="preserve"> will also review and provide feedback on associated ERCOT market rules and Revision Requests.</w:t>
      </w:r>
    </w:p>
    <w:p w14:paraId="05346BCD" w14:textId="56EA6E5A" w:rsidR="00A77B3F" w:rsidRPr="00A77B3F" w:rsidRDefault="00A77B3F" w:rsidP="00A77B3F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A77B3F">
        <w:rPr>
          <w:rFonts w:ascii="Arial" w:hAnsi="Arial" w:cs="Arial"/>
          <w:color w:val="000000"/>
          <w:sz w:val="20"/>
          <w:szCs w:val="20"/>
        </w:rPr>
        <w:t>LLWG will address, but is not limited to, the following key areas:</w:t>
      </w:r>
    </w:p>
    <w:p w14:paraId="47184C4C" w14:textId="489243C9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 xml:space="preserve">Interconnection study processes for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4916DC">
        <w:rPr>
          <w:rFonts w:ascii="Arial" w:hAnsi="Arial" w:cs="Arial"/>
          <w:color w:val="000000"/>
          <w:sz w:val="20"/>
          <w:szCs w:val="20"/>
        </w:rPr>
        <w:t>s</w:t>
      </w:r>
    </w:p>
    <w:p w14:paraId="0A33DBA0" w14:textId="2E3F546E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 xml:space="preserve">Modeling requirements for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4916DC">
        <w:rPr>
          <w:rFonts w:ascii="Arial" w:hAnsi="Arial" w:cs="Arial"/>
          <w:color w:val="000000"/>
          <w:sz w:val="20"/>
          <w:szCs w:val="20"/>
        </w:rPr>
        <w:t>s</w:t>
      </w:r>
    </w:p>
    <w:p w14:paraId="027D3EB4" w14:textId="3B34E673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>Low voltage ride-through criteria for data centers and large variable frequency drive</w:t>
      </w:r>
      <w:r w:rsidR="004916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16DC">
        <w:rPr>
          <w:rFonts w:ascii="Arial" w:hAnsi="Arial" w:cs="Arial"/>
          <w:color w:val="000000"/>
          <w:sz w:val="20"/>
          <w:szCs w:val="20"/>
        </w:rPr>
        <w:t>installations</w:t>
      </w:r>
    </w:p>
    <w:p w14:paraId="19DB2E00" w14:textId="4E96D4B4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 xml:space="preserve">Operational challenges associated with rapid ramping of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4916DC">
        <w:rPr>
          <w:rFonts w:ascii="Arial" w:hAnsi="Arial" w:cs="Arial"/>
          <w:color w:val="000000"/>
          <w:sz w:val="20"/>
          <w:szCs w:val="20"/>
        </w:rPr>
        <w:t>s</w:t>
      </w:r>
    </w:p>
    <w:p w14:paraId="088068BC" w14:textId="4B8BFBF7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>Power quality concerns including harmonics and oscillations</w:t>
      </w:r>
    </w:p>
    <w:p w14:paraId="413E974A" w14:textId="0B6AE7F1" w:rsidR="00A77B3F" w:rsidRPr="004916DC" w:rsidRDefault="00A77B3F" w:rsidP="004916DC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 xml:space="preserve">Commissioning requirements for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4916DC">
        <w:rPr>
          <w:rFonts w:ascii="Arial" w:hAnsi="Arial" w:cs="Arial"/>
          <w:color w:val="000000"/>
          <w:sz w:val="20"/>
          <w:szCs w:val="20"/>
        </w:rPr>
        <w:t>s</w:t>
      </w:r>
    </w:p>
    <w:p w14:paraId="7229540F" w14:textId="77777777" w:rsidR="00186DF2" w:rsidRDefault="00A77B3F" w:rsidP="00E41240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4916DC">
        <w:rPr>
          <w:rFonts w:ascii="Arial" w:hAnsi="Arial" w:cs="Arial"/>
          <w:color w:val="000000"/>
          <w:sz w:val="20"/>
          <w:szCs w:val="20"/>
        </w:rPr>
        <w:t xml:space="preserve">Stand-alone </w:t>
      </w:r>
      <w:r w:rsidR="005F3469">
        <w:rPr>
          <w:rFonts w:ascii="Arial" w:hAnsi="Arial" w:cs="Arial"/>
          <w:color w:val="000000"/>
          <w:sz w:val="20"/>
          <w:szCs w:val="20"/>
        </w:rPr>
        <w:t>Large Load</w:t>
      </w:r>
      <w:r w:rsidRPr="004916DC">
        <w:rPr>
          <w:rFonts w:ascii="Arial" w:hAnsi="Arial" w:cs="Arial"/>
          <w:color w:val="000000"/>
          <w:sz w:val="20"/>
          <w:szCs w:val="20"/>
        </w:rPr>
        <w:t xml:space="preserve"> considerations and issues related to </w:t>
      </w:r>
      <w:r w:rsidR="00B9305A">
        <w:rPr>
          <w:rFonts w:ascii="Arial" w:hAnsi="Arial" w:cs="Arial"/>
          <w:color w:val="000000"/>
          <w:sz w:val="20"/>
          <w:szCs w:val="20"/>
        </w:rPr>
        <w:t xml:space="preserve">co-locating </w:t>
      </w:r>
      <w:r w:rsidRPr="004916DC">
        <w:rPr>
          <w:rFonts w:ascii="Arial" w:hAnsi="Arial" w:cs="Arial"/>
          <w:color w:val="000000"/>
          <w:sz w:val="20"/>
          <w:szCs w:val="20"/>
        </w:rPr>
        <w:t xml:space="preserve">with on-site generation or other </w:t>
      </w:r>
      <w:r w:rsidR="004916DC">
        <w:rPr>
          <w:rFonts w:ascii="Arial" w:hAnsi="Arial" w:cs="Arial"/>
          <w:color w:val="000000"/>
          <w:sz w:val="20"/>
          <w:szCs w:val="20"/>
        </w:rPr>
        <w:t>R</w:t>
      </w:r>
      <w:r w:rsidRPr="004916DC">
        <w:rPr>
          <w:rFonts w:ascii="Arial" w:hAnsi="Arial" w:cs="Arial"/>
          <w:color w:val="000000"/>
          <w:sz w:val="20"/>
          <w:szCs w:val="20"/>
        </w:rPr>
        <w:t>esources</w:t>
      </w:r>
      <w:bookmarkStart w:id="0" w:name="_Hlk97547022"/>
    </w:p>
    <w:p w14:paraId="17CC1D16" w14:textId="565792D6" w:rsidR="00E41240" w:rsidRPr="00186DF2" w:rsidRDefault="005F3469" w:rsidP="00E41240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86DF2">
        <w:rPr>
          <w:rFonts w:ascii="Arial" w:hAnsi="Arial" w:cs="Arial"/>
          <w:color w:val="000000"/>
          <w:sz w:val="20"/>
          <w:szCs w:val="20"/>
        </w:rPr>
        <w:t>Large Load</w:t>
      </w:r>
      <w:bookmarkEnd w:id="0"/>
      <w:r w:rsidR="00186DF2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86DF2">
        <w:rPr>
          <w:rFonts w:ascii="Arial" w:hAnsi="Arial" w:cs="Arial"/>
          <w:color w:val="000000"/>
          <w:sz w:val="20"/>
          <w:szCs w:val="20"/>
        </w:rPr>
        <w:t>Participation</w:t>
      </w:r>
    </w:p>
    <w:p w14:paraId="0C849728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Membership</w:t>
      </w:r>
    </w:p>
    <w:p w14:paraId="55A79BEB" w14:textId="650D2DE0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 xml:space="preserve">Participation in </w:t>
      </w:r>
      <w:r w:rsidR="00A77B3F">
        <w:rPr>
          <w:rFonts w:ascii="Arial" w:hAnsi="Arial" w:cs="Arial"/>
          <w:color w:val="000000"/>
          <w:sz w:val="20"/>
          <w:szCs w:val="20"/>
        </w:rPr>
        <w:t xml:space="preserve">LLWG is </w:t>
      </w:r>
      <w:r w:rsidR="00A77B3F" w:rsidRPr="00A77B3F">
        <w:rPr>
          <w:rFonts w:ascii="Arial" w:hAnsi="Arial" w:cs="Arial"/>
          <w:color w:val="000000"/>
          <w:sz w:val="20"/>
          <w:szCs w:val="20"/>
        </w:rPr>
        <w:t xml:space="preserve">open to ERCOT stakeholders, including representatives from the 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Public Utility Commission of Texas (PUCT), Independent Market Monitor (IMM), Office of Public Utility Counsel (OPUC), ERCOT, and other interested parties. </w:t>
      </w:r>
    </w:p>
    <w:p w14:paraId="1A155DAA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Chair</w:t>
      </w:r>
      <w:r w:rsidRPr="0019013C">
        <w:rPr>
          <w:rFonts w:ascii="Arial" w:hAnsi="Arial"/>
          <w:b/>
          <w:color w:val="000000"/>
          <w:sz w:val="20"/>
          <w:u w:val="single"/>
        </w:rPr>
        <w:t xml:space="preserve"> and </w:t>
      </w: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Vice Chair</w:t>
      </w:r>
    </w:p>
    <w:p w14:paraId="40B70DB0" w14:textId="4C30DEF0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LL</w:t>
      </w:r>
      <w:r w:rsidR="002F777D">
        <w:rPr>
          <w:rFonts w:ascii="Arial" w:hAnsi="Arial" w:cs="Arial"/>
          <w:color w:val="000000"/>
          <w:sz w:val="20"/>
          <w:szCs w:val="20"/>
        </w:rPr>
        <w:t>WG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shall be led by a Chair and a Vice Chair</w:t>
      </w:r>
      <w:r w:rsidR="001C10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013C">
        <w:rPr>
          <w:rFonts w:ascii="Arial" w:hAnsi="Arial" w:cs="Arial"/>
          <w:color w:val="000000"/>
          <w:sz w:val="20"/>
          <w:szCs w:val="20"/>
        </w:rPr>
        <w:t>and approved by TAC.</w:t>
      </w:r>
    </w:p>
    <w:p w14:paraId="4994E4FD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Meetings</w:t>
      </w:r>
    </w:p>
    <w:p w14:paraId="7021A5C2" w14:textId="632A01D5" w:rsidR="00E41240" w:rsidRPr="0019013C" w:rsidRDefault="00A77B3F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LLWG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shall</w:t>
      </w:r>
      <w:proofErr w:type="gramEnd"/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 meet as often as necessary to perform its duties and functions. </w:t>
      </w:r>
      <w:r>
        <w:rPr>
          <w:rFonts w:ascii="Arial" w:hAnsi="Arial" w:cs="Arial"/>
          <w:color w:val="000000"/>
          <w:sz w:val="20"/>
          <w:szCs w:val="20"/>
        </w:rPr>
        <w:t>LLWG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meetings shall be open to the public. All </w:t>
      </w:r>
      <w:r>
        <w:rPr>
          <w:rFonts w:ascii="Arial" w:hAnsi="Arial" w:cs="Arial"/>
          <w:color w:val="000000"/>
          <w:sz w:val="20"/>
          <w:szCs w:val="20"/>
        </w:rPr>
        <w:t>LLWG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meetings shall be called by the Chair or Vice Chair, and meeting notices shall be posted to the ERCOT website at least one week prior to the meeting. </w:t>
      </w:r>
      <w:r>
        <w:rPr>
          <w:rFonts w:ascii="Arial" w:hAnsi="Arial" w:cs="Arial"/>
          <w:color w:val="000000"/>
          <w:sz w:val="20"/>
          <w:szCs w:val="20"/>
        </w:rPr>
        <w:t xml:space="preserve">LLWG’s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written presentations, reports, and recommendations shall be posted on the ERCOT website.  </w:t>
      </w:r>
    </w:p>
    <w:p w14:paraId="55E0FA3D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_Hlk98917693"/>
      <w:r w:rsidRPr="0019013C">
        <w:rPr>
          <w:rFonts w:ascii="Arial" w:hAnsi="Arial" w:cs="Arial"/>
          <w:b/>
          <w:bCs/>
          <w:color w:val="000000"/>
          <w:sz w:val="27"/>
        </w:rPr>
        <w:t>Duties &amp; Governance:</w:t>
      </w:r>
    </w:p>
    <w:p w14:paraId="42D14DBA" w14:textId="78A90CCE" w:rsidR="00EB7AB5" w:rsidRPr="00186DF2" w:rsidRDefault="00F03734" w:rsidP="00186DF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LLWG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will develop policy recommendations within the scope of this Charter for </w:t>
      </w:r>
      <w:r>
        <w:rPr>
          <w:rFonts w:ascii="Arial" w:hAnsi="Arial" w:cs="Arial"/>
          <w:color w:val="000000"/>
          <w:sz w:val="20"/>
          <w:szCs w:val="20"/>
        </w:rPr>
        <w:t xml:space="preserve">TAC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consideration</w:t>
      </w:r>
      <w:r>
        <w:rPr>
          <w:rFonts w:ascii="Arial" w:hAnsi="Arial" w:cs="Arial"/>
          <w:color w:val="000000"/>
          <w:sz w:val="20"/>
          <w:szCs w:val="20"/>
        </w:rPr>
        <w:t>; and advise on Revision Requests</w:t>
      </w:r>
      <w:r w:rsidR="00F07DBB">
        <w:rPr>
          <w:rFonts w:ascii="Arial" w:hAnsi="Arial" w:cs="Arial"/>
          <w:color w:val="000000"/>
          <w:sz w:val="20"/>
          <w:szCs w:val="20"/>
        </w:rPr>
        <w:t xml:space="preserve">.  Additional duties may be assigned by TAC. 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LL</w:t>
      </w:r>
      <w:r w:rsidR="00757A46">
        <w:rPr>
          <w:rFonts w:ascii="Arial" w:hAnsi="Arial" w:cs="Arial"/>
          <w:color w:val="000000"/>
          <w:sz w:val="20"/>
          <w:szCs w:val="20"/>
        </w:rPr>
        <w:t>WG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 is a non-voting body that reports directly to TAC.</w:t>
      </w:r>
      <w:r w:rsidR="0048387F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LL</w:t>
      </w:r>
      <w:r w:rsidR="00757A46">
        <w:rPr>
          <w:rFonts w:ascii="Arial" w:hAnsi="Arial" w:cs="Arial"/>
          <w:color w:val="000000"/>
          <w:sz w:val="20"/>
          <w:szCs w:val="20"/>
        </w:rPr>
        <w:t>WG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 shall provide the TAC with a report of its activities</w:t>
      </w:r>
      <w:r w:rsidR="00016029">
        <w:rPr>
          <w:rFonts w:ascii="Arial" w:hAnsi="Arial" w:cs="Arial"/>
          <w:color w:val="000000"/>
          <w:sz w:val="20"/>
          <w:szCs w:val="20"/>
        </w:rPr>
        <w:t>, including key decision points and options considered in developing recommendations,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 at each regularly</w:t>
      </w:r>
      <w:r w:rsidR="00E710DD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scheduled TAC meeting.</w:t>
      </w:r>
      <w:r w:rsidR="00016029">
        <w:rPr>
          <w:rFonts w:ascii="Arial" w:hAnsi="Arial" w:cs="Arial"/>
          <w:color w:val="000000"/>
          <w:sz w:val="20"/>
          <w:szCs w:val="20"/>
        </w:rPr>
        <w:t xml:space="preserve"> 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>Although a non-voting body, LL</w:t>
      </w:r>
      <w:r w:rsidR="00757A46">
        <w:rPr>
          <w:rFonts w:ascii="Arial" w:hAnsi="Arial" w:cs="Arial"/>
          <w:color w:val="000000"/>
          <w:sz w:val="20"/>
          <w:szCs w:val="20"/>
        </w:rPr>
        <w:t>WG</w:t>
      </w:r>
      <w:r w:rsidR="00E41240" w:rsidRPr="0019013C">
        <w:rPr>
          <w:rFonts w:ascii="Arial" w:hAnsi="Arial" w:cs="Arial"/>
          <w:color w:val="000000"/>
          <w:sz w:val="20"/>
          <w:szCs w:val="20"/>
        </w:rPr>
        <w:t xml:space="preserve"> will strive for consensus in reporting recommendations to TAC, including minority positions.</w:t>
      </w:r>
      <w:r w:rsidR="00016029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"/>
    </w:p>
    <w:sectPr w:rsidR="00EB7AB5" w:rsidRPr="00186DF2" w:rsidSect="00F7528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57EE" w14:textId="77777777" w:rsidR="00907966" w:rsidRDefault="00907966">
      <w:r>
        <w:separator/>
      </w:r>
    </w:p>
  </w:endnote>
  <w:endnote w:type="continuationSeparator" w:id="0">
    <w:p w14:paraId="38C7EC5B" w14:textId="77777777" w:rsidR="00907966" w:rsidRDefault="0090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D087" w14:textId="77777777" w:rsidR="00393780" w:rsidRDefault="00FD7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D773F" w14:textId="77777777" w:rsidR="00393780" w:rsidRDefault="00393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01866" w14:textId="77777777" w:rsidR="00393780" w:rsidRPr="00F7528C" w:rsidRDefault="00FD76EC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Page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PAGE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  <w:r w:rsidRPr="00F7528C">
      <w:rPr>
        <w:rFonts w:ascii="Times New Roman Bold" w:hAnsi="Times New Roman Bold"/>
        <w:b/>
        <w:sz w:val="16"/>
        <w:szCs w:val="16"/>
      </w:rPr>
      <w:t xml:space="preserve"> of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NUMPAGES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</w:p>
  <w:p w14:paraId="0D24EB62" w14:textId="77777777" w:rsidR="00393780" w:rsidRDefault="00393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7253" w14:textId="77777777" w:rsidR="00907966" w:rsidRDefault="00907966">
      <w:r>
        <w:separator/>
      </w:r>
    </w:p>
  </w:footnote>
  <w:footnote w:type="continuationSeparator" w:id="0">
    <w:p w14:paraId="0C36F540" w14:textId="77777777" w:rsidR="00907966" w:rsidRDefault="0090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0E40" w14:textId="77777777" w:rsidR="00393780" w:rsidRDefault="0039378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A37CF"/>
    <w:multiLevelType w:val="hybridMultilevel"/>
    <w:tmpl w:val="6DB4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20A5D"/>
    <w:multiLevelType w:val="hybridMultilevel"/>
    <w:tmpl w:val="593CB1EA"/>
    <w:lvl w:ilvl="0" w:tplc="C1B61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674E"/>
    <w:multiLevelType w:val="hybridMultilevel"/>
    <w:tmpl w:val="B26C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32050">
    <w:abstractNumId w:val="2"/>
  </w:num>
  <w:num w:numId="2" w16cid:durableId="716011766">
    <w:abstractNumId w:val="1"/>
  </w:num>
  <w:num w:numId="3" w16cid:durableId="18217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40"/>
    <w:rsid w:val="00016029"/>
    <w:rsid w:val="000448B4"/>
    <w:rsid w:val="000B269D"/>
    <w:rsid w:val="000B39AF"/>
    <w:rsid w:val="000C47A1"/>
    <w:rsid w:val="000D09EE"/>
    <w:rsid w:val="000D719C"/>
    <w:rsid w:val="00107FDF"/>
    <w:rsid w:val="0015045B"/>
    <w:rsid w:val="00174EE0"/>
    <w:rsid w:val="00186DF2"/>
    <w:rsid w:val="0019013C"/>
    <w:rsid w:val="001A5370"/>
    <w:rsid w:val="001B7EAD"/>
    <w:rsid w:val="001C1010"/>
    <w:rsid w:val="00216916"/>
    <w:rsid w:val="00236642"/>
    <w:rsid w:val="002F777D"/>
    <w:rsid w:val="00313330"/>
    <w:rsid w:val="00313DAE"/>
    <w:rsid w:val="00361554"/>
    <w:rsid w:val="00393780"/>
    <w:rsid w:val="003F18D4"/>
    <w:rsid w:val="003F5C58"/>
    <w:rsid w:val="00421C48"/>
    <w:rsid w:val="004574D1"/>
    <w:rsid w:val="00467224"/>
    <w:rsid w:val="0048387F"/>
    <w:rsid w:val="004916DC"/>
    <w:rsid w:val="004E5F56"/>
    <w:rsid w:val="00543A40"/>
    <w:rsid w:val="005B1C4C"/>
    <w:rsid w:val="005B5216"/>
    <w:rsid w:val="005F3469"/>
    <w:rsid w:val="005F6974"/>
    <w:rsid w:val="00646B29"/>
    <w:rsid w:val="00732E30"/>
    <w:rsid w:val="00757A46"/>
    <w:rsid w:val="007C2B3B"/>
    <w:rsid w:val="007F2EED"/>
    <w:rsid w:val="007F6786"/>
    <w:rsid w:val="00804651"/>
    <w:rsid w:val="00854831"/>
    <w:rsid w:val="008D4E27"/>
    <w:rsid w:val="00907966"/>
    <w:rsid w:val="00A44DC3"/>
    <w:rsid w:val="00A77B3F"/>
    <w:rsid w:val="00AF2399"/>
    <w:rsid w:val="00B9305A"/>
    <w:rsid w:val="00BC1228"/>
    <w:rsid w:val="00BE6A31"/>
    <w:rsid w:val="00C13BC4"/>
    <w:rsid w:val="00C97565"/>
    <w:rsid w:val="00D32ED5"/>
    <w:rsid w:val="00D7685B"/>
    <w:rsid w:val="00D91C37"/>
    <w:rsid w:val="00E24A78"/>
    <w:rsid w:val="00E2762B"/>
    <w:rsid w:val="00E41240"/>
    <w:rsid w:val="00E472F3"/>
    <w:rsid w:val="00E710DD"/>
    <w:rsid w:val="00E9470A"/>
    <w:rsid w:val="00EB4501"/>
    <w:rsid w:val="00EB7AB5"/>
    <w:rsid w:val="00F03734"/>
    <w:rsid w:val="00F07DBB"/>
    <w:rsid w:val="00F55163"/>
    <w:rsid w:val="00F553A2"/>
    <w:rsid w:val="00F869BF"/>
    <w:rsid w:val="00FC20B0"/>
    <w:rsid w:val="00FD025A"/>
    <w:rsid w:val="00FD76EC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75F2"/>
  <w15:chartTrackingRefBased/>
  <w15:docId w15:val="{F324926F-EF47-44B2-BCC3-CCD0DE9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1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12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41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24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41240"/>
  </w:style>
  <w:style w:type="paragraph" w:styleId="Revision">
    <w:name w:val="Revision"/>
    <w:hidden/>
    <w:uiPriority w:val="99"/>
    <w:semiHidden/>
    <w:rsid w:val="00A7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B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2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2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Bernecker, John</dc:creator>
  <cp:keywords/>
  <dc:description/>
  <cp:lastModifiedBy>Clifton, Suzy</cp:lastModifiedBy>
  <cp:revision>2</cp:revision>
  <dcterms:created xsi:type="dcterms:W3CDTF">2025-04-28T15:40:00Z</dcterms:created>
  <dcterms:modified xsi:type="dcterms:W3CDTF">2025-04-28T15:40:00Z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2025-04-09T14:09:58Z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4286a43f-70db-473e-8a54-14fd60c3177b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