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1F8D2" w14:textId="77777777" w:rsidR="003E11FA" w:rsidRPr="003E11FA" w:rsidRDefault="003E11FA" w:rsidP="003E11FA">
      <w:pPr>
        <w:spacing w:before="100" w:beforeAutospacing="1" w:after="100" w:afterAutospacing="1" w:line="240" w:lineRule="auto"/>
        <w:rPr>
          <w:rFonts w:ascii="TradeGothic LT" w:eastAsia="Times New Roman" w:hAnsi="TradeGothic LT" w:cs="Times New Roman"/>
          <w:kern w:val="0"/>
          <w:sz w:val="28"/>
          <w14:ligatures w14:val="none"/>
        </w:rPr>
      </w:pP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36"/>
          <w:szCs w:val="33"/>
          <w14:ligatures w14:val="none"/>
        </w:rPr>
        <w:t>MWG Meeting Summary Notes</w:t>
      </w:r>
    </w:p>
    <w:p w14:paraId="3B935CF1" w14:textId="513B3D07" w:rsidR="003E11FA" w:rsidRPr="003E11FA" w:rsidRDefault="003E11FA" w:rsidP="003E11FA">
      <w:pPr>
        <w:spacing w:before="100" w:beforeAutospacing="1" w:after="100" w:afterAutospacing="1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2"/>
          <w14:ligatures w14:val="none"/>
        </w:rPr>
      </w:pPr>
      <w:r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April</w:t>
      </w: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</w:t>
      </w:r>
      <w:r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9</w:t>
      </w: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, 202</w:t>
      </w:r>
      <w:r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, 8:30 - 10:4</w:t>
      </w:r>
      <w:r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5</w:t>
      </w: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 xml:space="preserve"> (1</w:t>
      </w:r>
      <w:r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2</w:t>
      </w:r>
      <w:r w:rsidRPr="003E11FA">
        <w:rPr>
          <w:rFonts w:ascii="TradeGothic LT" w:eastAsia="Times New Roman" w:hAnsi="TradeGothic LT" w:cs="Times New Roman"/>
          <w:b/>
          <w:bCs/>
          <w:color w:val="000000"/>
          <w:kern w:val="0"/>
          <w:sz w:val="22"/>
          <w:szCs w:val="22"/>
          <w14:ligatures w14:val="none"/>
        </w:rPr>
        <w:t>:00 scheduled)</w:t>
      </w:r>
    </w:p>
    <w:p w14:paraId="1F615C6C" w14:textId="77777777" w:rsidR="003E11FA" w:rsidRPr="003E11FA" w:rsidRDefault="003E11FA" w:rsidP="003E11FA">
      <w:pPr>
        <w:spacing w:before="100" w:beforeAutospacing="1" w:after="100" w:afterAutospacing="1" w:line="240" w:lineRule="auto"/>
        <w:rPr>
          <w:rFonts w:ascii="TradeGothic LT" w:eastAsia="Times New Roman" w:hAnsi="TradeGothic LT" w:cs="Times New Roman"/>
          <w:kern w:val="0"/>
          <w14:ligatures w14:val="none"/>
        </w:rPr>
      </w:pPr>
      <w:r w:rsidRPr="003E11FA">
        <w:rPr>
          <w:rFonts w:ascii="TradeGothic LT" w:eastAsia="Times New Roman" w:hAnsi="TradeGothic LT" w:cs="Times New Roman"/>
          <w:noProof/>
          <w:kern w:val="0"/>
          <w14:ligatures w14:val="none"/>
        </w:rPr>
        <w:drawing>
          <wp:inline distT="0" distB="0" distL="0" distR="0" wp14:anchorId="2E3A0846" wp14:editId="035C3156">
            <wp:extent cx="1314450" cy="142875"/>
            <wp:effectExtent l="0" t="0" r="0" b="9525"/>
            <wp:docPr id="1" name="Picture 1" descr="C:\Users\tdavis\AppData\LocalLow\Temp\Microsoft\OPC\DDT.i11roe_9pu5g_hws9n1yndl_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davis\AppData\LocalLow\Temp\Microsoft\OPC\DDT.i11roe_9pu5g_hws9n1yndl_b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37106" w14:textId="41443156" w:rsidR="003E11FA" w:rsidRPr="003E11FA" w:rsidRDefault="003E11FA" w:rsidP="003E11FA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Anti-Trust Admonition was reviewed by MWG chair 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Kyle S</w:t>
      </w: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. of 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ONCOR.</w:t>
      </w:r>
    </w:p>
    <w:p w14:paraId="6BB3F28E" w14:textId="77777777" w:rsidR="003E11FA" w:rsidRPr="003E11FA" w:rsidRDefault="003E11FA" w:rsidP="003E11FA">
      <w:pPr>
        <w:spacing w:after="0" w:line="240" w:lineRule="auto"/>
        <w:ind w:left="720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</w:p>
    <w:p w14:paraId="716D29B1" w14:textId="155B113E" w:rsidR="003E11FA" w:rsidRDefault="003E11FA" w:rsidP="003E11FA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Reviewed previous MWG notes from 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12</w:t>
      </w: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/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19</w:t>
      </w: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/24. If any comments or changes, please get with 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Kyle S.</w:t>
      </w: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or 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Tony D.</w:t>
      </w: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</w:t>
      </w:r>
    </w:p>
    <w:p w14:paraId="7F7EE77A" w14:textId="77777777" w:rsidR="003E11FA" w:rsidRDefault="003E11FA" w:rsidP="003E11FA">
      <w:pPr>
        <w:pStyle w:val="ListParagraph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</w:p>
    <w:p w14:paraId="7FC39DC6" w14:textId="774501AC" w:rsidR="003E11FA" w:rsidRDefault="003E11FA" w:rsidP="00C913CB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Review of Previous MWG Meeting Notes on CCVTs.</w:t>
      </w:r>
    </w:p>
    <w:p w14:paraId="23110BE4" w14:textId="77777777" w:rsidR="00FE052E" w:rsidRPr="00FE052E" w:rsidRDefault="00FE052E" w:rsidP="00FE052E">
      <w:pPr>
        <w:pStyle w:val="ListParagraph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</w:p>
    <w:p w14:paraId="4BE03DDD" w14:textId="0261A5E5" w:rsidR="00F041DF" w:rsidRPr="00FE052E" w:rsidRDefault="00FE052E" w:rsidP="00FE052E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Tony D</w:t>
      </w:r>
      <w:r w:rsidR="00A33C76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.</w:t>
      </w:r>
      <w:r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(WETT). </w:t>
      </w:r>
    </w:p>
    <w:p w14:paraId="23AEA48B" w14:textId="0DAACA8C" w:rsidR="003E11FA" w:rsidRPr="00FE052E" w:rsidRDefault="003E11FA" w:rsidP="00FE052E">
      <w:pPr>
        <w:pStyle w:val="ListParagraph"/>
        <w:numPr>
          <w:ilvl w:val="0"/>
          <w:numId w:val="4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presented Key Document “CCVT Oct Update to MWG 04 9 101” no questions</w:t>
      </w:r>
    </w:p>
    <w:p w14:paraId="74453089" w14:textId="3F8634AE" w:rsidR="003E11FA" w:rsidRPr="00FE052E" w:rsidRDefault="003E11FA" w:rsidP="00FE052E">
      <w:pPr>
        <w:pStyle w:val="ListParagraph"/>
        <w:numPr>
          <w:ilvl w:val="0"/>
          <w:numId w:val="4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presented Key Document “October 16</w:t>
      </w:r>
      <w:proofErr w:type="gramStart"/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2012</w:t>
      </w:r>
      <w:proofErr w:type="gramEnd"/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MWG Meeting Presentation” no questions.</w:t>
      </w:r>
    </w:p>
    <w:p w14:paraId="4D63443A" w14:textId="79B567DD" w:rsidR="003E11FA" w:rsidRPr="00FE052E" w:rsidRDefault="003E11FA" w:rsidP="00FE052E">
      <w:pPr>
        <w:pStyle w:val="ListParagraph"/>
        <w:numPr>
          <w:ilvl w:val="0"/>
          <w:numId w:val="4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presented Key Document “January 29</w:t>
      </w:r>
      <w:proofErr w:type="gramStart"/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2014</w:t>
      </w:r>
      <w:proofErr w:type="gramEnd"/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 MWG Meeting Presentation Topics Draft (Slide 13)” no questions. </w:t>
      </w:r>
    </w:p>
    <w:p w14:paraId="43B304E5" w14:textId="40F71446" w:rsidR="003E11FA" w:rsidRPr="00FE052E" w:rsidRDefault="003E11FA" w:rsidP="00FE052E">
      <w:pPr>
        <w:pStyle w:val="ListParagraph"/>
        <w:numPr>
          <w:ilvl w:val="0"/>
          <w:numId w:val="4"/>
        </w:numPr>
        <w:spacing w:after="0" w:line="240" w:lineRule="auto"/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</w:pPr>
      <w:r w:rsidRPr="00FE052E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 xml:space="preserve">Presented Key Document “ERCOT 2013 Data Analysis” </w:t>
      </w:r>
    </w:p>
    <w:p w14:paraId="6E17B326" w14:textId="77777777" w:rsidR="00A96962" w:rsidRDefault="003E11FA" w:rsidP="00094009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Calvin </w:t>
      </w:r>
      <w:proofErr w:type="gramStart"/>
      <w:r w:rsidRP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O.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(ERCOT)</w:t>
      </w:r>
      <w:r w:rsidR="00094009" w:rsidRP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  <w:r w:rsidRP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  <w:r w:rsid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stated</w:t>
      </w:r>
      <w:proofErr w:type="gramEnd"/>
      <w:r w:rsid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the analysis of this report provided for CCVTs is assuming linear regression which may not be the real-world case. Donald </w:t>
      </w:r>
      <w:proofErr w:type="gramStart"/>
      <w:r w:rsid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M.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</w:t>
      </w:r>
      <w:proofErr w:type="gramEnd"/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ERCOT)</w:t>
      </w:r>
      <w:r w:rsidR="00094009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confirmed this is correct. </w:t>
      </w:r>
    </w:p>
    <w:p w14:paraId="03E5721A" w14:textId="0E58573F" w:rsidR="003E11FA" w:rsidRDefault="00734CF0" w:rsidP="00094009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Tony D. (WETT) also pointed out that inaccuracies can be introduced into the CCVT as part of the shipping process as it is </w:t>
      </w:r>
      <w:r w:rsidR="001C2540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known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that CCVT have been damaged during shipment.</w:t>
      </w:r>
    </w:p>
    <w:p w14:paraId="7C897538" w14:textId="77777777" w:rsidR="00094009" w:rsidRPr="00094009" w:rsidRDefault="00094009" w:rsidP="00094009">
      <w:p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1456FA3B" w14:textId="255A229A" w:rsidR="003E11FA" w:rsidRDefault="003E11FA" w:rsidP="003E11FA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NPRR 1263</w:t>
      </w:r>
      <w:r w:rsidRPr="003E11FA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Discussion:</w:t>
      </w:r>
    </w:p>
    <w:p w14:paraId="03A8EB41" w14:textId="77777777" w:rsidR="00A33C76" w:rsidRDefault="00A33C76" w:rsidP="00A33C76">
      <w:p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322DE7BE" w14:textId="22BEE590" w:rsidR="00A33C76" w:rsidRPr="00A33C76" w:rsidRDefault="00F041DF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Tony D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 (WETT).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085EF9FB" w14:textId="48F43C3D" w:rsidR="00A33C76" w:rsidRDefault="00F041DF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informed the MWG of known misinterpretations of language stated in NPRR1263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.’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CCVTs have not been proved to be stable.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’ And ‘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No other ISO has accuracy requirements for CCVTs.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’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000F8A38" w14:textId="1A4C9E3B" w:rsidR="00F041DF" w:rsidRPr="00A33C76" w:rsidRDefault="00F041DF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NYISO does not allow CCVTs for revenue grade metering.</w:t>
      </w:r>
      <w:r w:rsidR="00FA6007"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No response from MISO.</w:t>
      </w:r>
    </w:p>
    <w:p w14:paraId="3031F42A" w14:textId="35F4DC0E" w:rsidR="00FE052E" w:rsidRPr="00FE052E" w:rsidRDefault="00FE052E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CCVTs are commonly damaged in shipment for retesting at the manufacturer. </w:t>
      </w:r>
    </w:p>
    <w:p w14:paraId="4AC9BAA3" w14:textId="2DF58EB3" w:rsidR="00F041DF" w:rsidRPr="00A33C76" w:rsidRDefault="00FA6007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stated potential solutions could include field testing (I.E. Capacitive testing, Doble Testing, ECT.)</w:t>
      </w:r>
    </w:p>
    <w:p w14:paraId="034C78D2" w14:textId="58F2169D" w:rsidR="00FE052E" w:rsidRPr="00FE052E" w:rsidRDefault="00FA6007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Manufacturers state that the potential for drift in CCVTs will occur at ZZ burden rating and the most common connected burden found is between 30VA to 50VA. </w:t>
      </w:r>
    </w:p>
    <w:p w14:paraId="07FE6C96" w14:textId="5A5A7A26" w:rsidR="00FA6007" w:rsidRDefault="00FA6007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Recommends </w:t>
      </w:r>
      <w:r w:rsidR="00FE052E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removing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testing requirements of CCVTs</w:t>
      </w:r>
    </w:p>
    <w:p w14:paraId="6435DEAB" w14:textId="118C05A1" w:rsidR="00FA6007" w:rsidRDefault="00FA6007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presented Key Document “ISO CCVT REQUIREMENTS”</w:t>
      </w:r>
    </w:p>
    <w:p w14:paraId="6FD893DF" w14:textId="2F085BE7" w:rsidR="00A33C76" w:rsidRDefault="00A33C76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lastRenderedPageBreak/>
        <w:t xml:space="preserve">presented Nodal protocol section 10.6.1.2 to discuss the revision request changes. </w:t>
      </w:r>
    </w:p>
    <w:p w14:paraId="4D7F97A5" w14:textId="3D7B8CB0" w:rsidR="00A170C2" w:rsidRDefault="00A170C2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potential language changes to NPRR 1263 may be required. </w:t>
      </w:r>
    </w:p>
    <w:p w14:paraId="48C3BB71" w14:textId="2967E880" w:rsidR="00A170C2" w:rsidRDefault="00A170C2" w:rsidP="00A33C76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Recommended to discuss NPRR 1263 further internally and reconvene to discuss on a future date. </w:t>
      </w:r>
    </w:p>
    <w:p w14:paraId="3EE5567E" w14:textId="778E5D0E" w:rsidR="00A33C76" w:rsidRDefault="00FE052E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Deniss C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. 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(GE)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58331801" w14:textId="07B779B5" w:rsidR="00FE052E" w:rsidRDefault="00FE052E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agrees with shipment issues that will 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affect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the integrity of the CCVTs. Stated there is no need to expose CCVTs. </w:t>
      </w:r>
    </w:p>
    <w:p w14:paraId="1176F78E" w14:textId="287AA4B0" w:rsidR="00A33C76" w:rsidRDefault="00A33C76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GE does not have enough testing data to confirm CCVT accuracy. </w:t>
      </w:r>
    </w:p>
    <w:p w14:paraId="3B020753" w14:textId="4AC7CBDA" w:rsidR="00A33C76" w:rsidRDefault="00A33C76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Recommended GE endurance testing as a possible solution. </w:t>
      </w:r>
    </w:p>
    <w:p w14:paraId="51DC88E1" w14:textId="362AB1DB" w:rsidR="00A170C2" w:rsidRDefault="00A170C2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further review of endurance testing is required. </w:t>
      </w:r>
    </w:p>
    <w:p w14:paraId="756DF471" w14:textId="77777777" w:rsidR="00A33C76" w:rsidRDefault="00A33C76" w:rsidP="00A33C76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04D998E9" w14:textId="40DE6C6D" w:rsidR="00A33C76" w:rsidRDefault="00FE052E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Fernando L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(GE)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</w:t>
      </w:r>
    </w:p>
    <w:p w14:paraId="53094CB3" w14:textId="77777777" w:rsidR="00A33C76" w:rsidRDefault="00FE052E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recommended excitation field testing.</w:t>
      </w:r>
    </w:p>
    <w:p w14:paraId="5946AFEA" w14:textId="03579C06" w:rsidR="00FE052E" w:rsidRDefault="00FE052E" w:rsidP="00A33C76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2D8162C0" w14:textId="5E28E5D3" w:rsidR="00A33C76" w:rsidRDefault="00FE052E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Jorge R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(TRENCH)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1A003551" w14:textId="7DE87935" w:rsidR="00FE052E" w:rsidRDefault="00FE052E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that 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current field testing is not a representation of real-world accuracy testing. 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3AF96F70" w14:textId="48261523" w:rsidR="00A170C2" w:rsidRDefault="00A170C2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Stated it is unlikely that field testing would prove accuracy of CCVT’s.</w:t>
      </w:r>
    </w:p>
    <w:p w14:paraId="05EFA09F" w14:textId="2CB5C61E" w:rsidR="00A170C2" w:rsidRDefault="00A170C2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that new technology has increased stability of CCVTs. </w:t>
      </w:r>
    </w:p>
    <w:p w14:paraId="4FDD9986" w14:textId="77777777" w:rsidR="00A33C76" w:rsidRDefault="00A33C76" w:rsidP="00A33C76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10A7C077" w14:textId="2BBC8438" w:rsidR="00A33C76" w:rsidRDefault="00FE052E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Brian C.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(CENTERPOINT)</w:t>
      </w:r>
      <w:r w:rsid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</w:t>
      </w:r>
      <w:r w:rsidRPr="00A33C76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4C7460D3" w14:textId="67C18621" w:rsidR="00FE052E" w:rsidRDefault="00A33C76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Asked if there was any way to use field testing to prove accuracy</w:t>
      </w:r>
    </w:p>
    <w:p w14:paraId="5D66D14D" w14:textId="6B901462" w:rsidR="00A170C2" w:rsidRDefault="00A170C2" w:rsidP="00A33C76">
      <w:pPr>
        <w:pStyle w:val="ListParagraph"/>
        <w:numPr>
          <w:ilvl w:val="0"/>
          <w:numId w:val="5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Asked how far </w:t>
      </w:r>
      <w:r w:rsidR="008334A8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the extrapolation of endurance testing goes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. </w:t>
      </w:r>
    </w:p>
    <w:p w14:paraId="68013087" w14:textId="2D4A825F" w:rsidR="00A33C76" w:rsidRPr="00A170C2" w:rsidRDefault="00A33C76" w:rsidP="00A170C2">
      <w:p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2DB56B7A" w14:textId="77777777" w:rsidR="003E11FA" w:rsidRDefault="003E11FA" w:rsidP="00A33C76">
      <w:p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02A2EB3E" w14:textId="4EA0FF79" w:rsidR="00A33C76" w:rsidRDefault="00A33C76" w:rsidP="00A33C76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Jim </w:t>
      </w:r>
      <w:proofErr w:type="gramStart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M.(</w:t>
      </w:r>
      <w:proofErr w:type="gramEnd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ERCOT) </w:t>
      </w:r>
    </w:p>
    <w:p w14:paraId="6759F54A" w14:textId="2339F2E6" w:rsidR="00A33C76" w:rsidRDefault="00A33C76" w:rsidP="00A33C76">
      <w:pPr>
        <w:pStyle w:val="ListParagraph"/>
        <w:numPr>
          <w:ilvl w:val="0"/>
          <w:numId w:val="6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commentRangeStart w:id="0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Stated he would feel more comfortable with increasing the testing requirements to 10 years with applicable field testing.</w:t>
      </w:r>
      <w:commentRangeEnd w:id="0"/>
      <w:r w:rsidR="00734CF0">
        <w:rPr>
          <w:rStyle w:val="CommentReference"/>
        </w:rPr>
        <w:commentReference w:id="0"/>
      </w:r>
    </w:p>
    <w:p w14:paraId="32DAB842" w14:textId="77777777" w:rsidR="00A170C2" w:rsidRDefault="00A170C2" w:rsidP="00A170C2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399F5797" w14:textId="01A3AFD1" w:rsidR="00A170C2" w:rsidRDefault="00A170C2" w:rsidP="00A170C2">
      <w:pPr>
        <w:pStyle w:val="ListParagraph"/>
        <w:numPr>
          <w:ilvl w:val="1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Kyle S. (ONCOR).</w:t>
      </w:r>
    </w:p>
    <w:p w14:paraId="0317B8B4" w14:textId="150097EF" w:rsidR="00A170C2" w:rsidRPr="00A170C2" w:rsidRDefault="00A170C2" w:rsidP="00A170C2">
      <w:pPr>
        <w:pStyle w:val="ListParagraph"/>
        <w:numPr>
          <w:ilvl w:val="0"/>
          <w:numId w:val="6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Stated further internal discussion is required. </w:t>
      </w:r>
    </w:p>
    <w:p w14:paraId="7EBDABE5" w14:textId="77777777" w:rsidR="00A33C76" w:rsidRPr="00A33C76" w:rsidRDefault="00A33C76" w:rsidP="00A33C76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23E8F53F" w14:textId="77777777" w:rsidR="003E11FA" w:rsidRPr="003E11FA" w:rsidRDefault="003E11FA" w:rsidP="003E11FA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3E11FA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New or other business items:</w:t>
      </w:r>
    </w:p>
    <w:p w14:paraId="3B154821" w14:textId="77777777" w:rsidR="003E11FA" w:rsidRPr="003E11FA" w:rsidRDefault="003E11FA" w:rsidP="003E11FA">
      <w:pPr>
        <w:spacing w:after="0" w:line="240" w:lineRule="auto"/>
        <w:ind w:left="72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3A7CF673" w14:textId="5E60C4D9" w:rsidR="003E11FA" w:rsidRPr="003E11FA" w:rsidRDefault="00F041DF" w:rsidP="003E11FA">
      <w:pPr>
        <w:numPr>
          <w:ilvl w:val="0"/>
          <w:numId w:val="2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Ryan </w:t>
      </w:r>
      <w:proofErr w:type="gramStart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E.(</w:t>
      </w:r>
      <w:proofErr w:type="gramEnd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ERCOT) on behalf of Brittney </w:t>
      </w:r>
      <w:proofErr w:type="gramStart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A.(</w:t>
      </w:r>
      <w:proofErr w:type="gramEnd"/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ERCOT) </w:t>
      </w:r>
    </w:p>
    <w:p w14:paraId="0D344F00" w14:textId="77777777" w:rsidR="00F041DF" w:rsidRPr="00F041DF" w:rsidRDefault="00F041DF" w:rsidP="00F041DF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F041DF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Notification of upcoming SMOGRRs</w:t>
      </w:r>
    </w:p>
    <w:p w14:paraId="4035379E" w14:textId="657B6806" w:rsidR="00F041DF" w:rsidRPr="00F041DF" w:rsidRDefault="00F041DF" w:rsidP="00F041DF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F041DF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https://www.ercot.com/mktrules/issues/SMOGRR032</w:t>
      </w:r>
    </w:p>
    <w:p w14:paraId="7663D0DD" w14:textId="6027E791" w:rsidR="00F041DF" w:rsidRPr="00F041DF" w:rsidRDefault="00F041DF" w:rsidP="00F041DF">
      <w:pPr>
        <w:pStyle w:val="ListParagraph"/>
        <w:numPr>
          <w:ilvl w:val="0"/>
          <w:numId w:val="3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hyperlink r:id="rId10" w:history="1">
        <w:r w:rsidRPr="00F041DF">
          <w:rPr>
            <w:rStyle w:val="Hyperlink"/>
            <w:rFonts w:ascii="TradeGothic LT" w:eastAsia="Times New Roman" w:hAnsi="TradeGothic LT" w:cs="Times New Roman"/>
            <w:kern w:val="0"/>
            <w:sz w:val="22"/>
            <w:szCs w:val="21"/>
            <w14:ligatures w14:val="none"/>
          </w:rPr>
          <w:t>https://www.ercot.com/mktrules/issues/SMOGRR033</w:t>
        </w:r>
      </w:hyperlink>
    </w:p>
    <w:p w14:paraId="3A2C8625" w14:textId="4A528BFD" w:rsidR="003E11FA" w:rsidRPr="00F041DF" w:rsidRDefault="003E11FA" w:rsidP="00F041DF">
      <w:pPr>
        <w:pStyle w:val="ListParagraph"/>
        <w:spacing w:after="0" w:line="240" w:lineRule="auto"/>
        <w:ind w:left="2160"/>
        <w:rPr>
          <w:rFonts w:ascii="TradeGothic LT" w:eastAsia="Times New Roman" w:hAnsi="TradeGothic LT" w:cs="Times New Roman"/>
          <w:b/>
          <w:bCs/>
          <w:kern w:val="0"/>
          <w:sz w:val="22"/>
          <w:szCs w:val="21"/>
          <w14:ligatures w14:val="none"/>
        </w:rPr>
      </w:pPr>
    </w:p>
    <w:p w14:paraId="59231D18" w14:textId="342F1C2A" w:rsidR="003E11FA" w:rsidRPr="003E11FA" w:rsidRDefault="003E11FA" w:rsidP="003E11FA">
      <w:pPr>
        <w:numPr>
          <w:ilvl w:val="0"/>
          <w:numId w:val="1"/>
        </w:numPr>
        <w:spacing w:line="259" w:lineRule="auto"/>
        <w:contextualSpacing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3E11FA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Meeting Summary and Closing Remarks: </w:t>
      </w:r>
      <w:r w:rsidR="00A96962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Kyle S</w:t>
      </w:r>
      <w:commentRangeStart w:id="1"/>
      <w:r w:rsidRPr="003E11FA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.</w:t>
      </w:r>
      <w:commentRangeEnd w:id="1"/>
      <w:r w:rsidR="00734CF0">
        <w:rPr>
          <w:rStyle w:val="CommentReference"/>
        </w:rPr>
        <w:commentReference w:id="1"/>
      </w:r>
    </w:p>
    <w:p w14:paraId="340739E5" w14:textId="701102DC" w:rsidR="003E11FA" w:rsidRDefault="00F041DF" w:rsidP="00F041DF">
      <w:pPr>
        <w:pStyle w:val="ListParagraph"/>
        <w:numPr>
          <w:ilvl w:val="1"/>
          <w:numId w:val="1"/>
        </w:numPr>
        <w:tabs>
          <w:tab w:val="left" w:pos="1710"/>
        </w:tabs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No conclusion on NPRR 1263</w:t>
      </w:r>
    </w:p>
    <w:p w14:paraId="60283239" w14:textId="0A1E800B" w:rsidR="00FA6007" w:rsidRDefault="00F041DF" w:rsidP="00F041DF">
      <w:pPr>
        <w:pStyle w:val="ListParagraph"/>
        <w:numPr>
          <w:ilvl w:val="1"/>
          <w:numId w:val="1"/>
        </w:numPr>
        <w:tabs>
          <w:tab w:val="left" w:pos="1710"/>
        </w:tabs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New MWG meeting </w:t>
      </w:r>
      <w:r w:rsidR="00FA6007"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will need to be scheduled </w:t>
      </w: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>to continue discussion of NPRR 1263.</w:t>
      </w:r>
    </w:p>
    <w:p w14:paraId="5324F884" w14:textId="30559070" w:rsidR="00F041DF" w:rsidRDefault="00F041DF" w:rsidP="00FA6007">
      <w:pPr>
        <w:pStyle w:val="ListParagraph"/>
        <w:tabs>
          <w:tab w:val="left" w:pos="1710"/>
        </w:tabs>
        <w:spacing w:after="0" w:line="240" w:lineRule="auto"/>
        <w:ind w:left="144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  <w:t xml:space="preserve"> </w:t>
      </w:r>
    </w:p>
    <w:p w14:paraId="534421B9" w14:textId="77777777" w:rsidR="00F041DF" w:rsidRPr="00F041DF" w:rsidRDefault="00F041DF" w:rsidP="00F041DF">
      <w:pPr>
        <w:pStyle w:val="ListParagraph"/>
        <w:tabs>
          <w:tab w:val="left" w:pos="1710"/>
        </w:tabs>
        <w:spacing w:after="0" w:line="240" w:lineRule="auto"/>
        <w:ind w:left="1440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</w:p>
    <w:p w14:paraId="1444CB5A" w14:textId="77777777" w:rsidR="003E11FA" w:rsidRPr="003E11FA" w:rsidRDefault="003E11FA" w:rsidP="003E11FA">
      <w:pPr>
        <w:numPr>
          <w:ilvl w:val="0"/>
          <w:numId w:val="1"/>
        </w:numPr>
        <w:spacing w:after="0" w:line="240" w:lineRule="auto"/>
        <w:rPr>
          <w:rFonts w:ascii="TradeGothic LT" w:eastAsia="Times New Roman" w:hAnsi="TradeGothic LT" w:cs="Times New Roman"/>
          <w:kern w:val="0"/>
          <w:sz w:val="22"/>
          <w:szCs w:val="21"/>
          <w14:ligatures w14:val="none"/>
        </w:rPr>
      </w:pPr>
      <w:r w:rsidRPr="003E11FA">
        <w:rPr>
          <w:rFonts w:ascii="TradeGothic LT" w:eastAsia="Times New Roman" w:hAnsi="TradeGothic LT" w:cs="Times New Roman"/>
          <w:color w:val="000000"/>
          <w:kern w:val="0"/>
          <w:sz w:val="22"/>
          <w:szCs w:val="21"/>
          <w14:ligatures w14:val="none"/>
        </w:rPr>
        <w:t>End of Meeting</w:t>
      </w:r>
    </w:p>
    <w:p w14:paraId="64B20AFD" w14:textId="77777777" w:rsidR="003E11FA" w:rsidRDefault="003E11FA"/>
    <w:sectPr w:rsidR="003E11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Tony Davis" w:date="2025-04-09T18:58:00Z" w:initials="TD">
    <w:p w14:paraId="6F480E98" w14:textId="77777777" w:rsidR="00734CF0" w:rsidRDefault="00734CF0" w:rsidP="00734CF0">
      <w:pPr>
        <w:pStyle w:val="CommentText"/>
      </w:pPr>
      <w:r>
        <w:rPr>
          <w:rStyle w:val="CommentReference"/>
        </w:rPr>
        <w:annotationRef/>
      </w:r>
      <w:r>
        <w:t>I read this to mean continued testing at the factory. My understanding is that he was not comfortable with just removing the requirement but was in agreement with a combination on monitoring and field testing. Can you please verify this?</w:t>
      </w:r>
    </w:p>
    <w:p w14:paraId="5F11F4A6" w14:textId="77777777" w:rsidR="00734CF0" w:rsidRDefault="00734CF0" w:rsidP="00734CF0">
      <w:pPr>
        <w:pStyle w:val="CommentText"/>
      </w:pPr>
      <w:r>
        <w:t xml:space="preserve"> </w:t>
      </w:r>
    </w:p>
  </w:comment>
  <w:comment w:id="1" w:author="Tony Davis" w:date="2025-04-09T18:58:00Z" w:initials="TD">
    <w:p w14:paraId="70309E72" w14:textId="77777777" w:rsidR="00734CF0" w:rsidRDefault="00734CF0" w:rsidP="00734CF0">
      <w:pPr>
        <w:pStyle w:val="CommentText"/>
      </w:pPr>
      <w:r>
        <w:rPr>
          <w:rStyle w:val="CommentReference"/>
        </w:rPr>
        <w:annotationRef/>
      </w:r>
      <w:r>
        <w:t>I believe this needs to be corrected.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F11F4A6" w15:done="1"/>
  <w15:commentEx w15:paraId="70309E72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43BC349" w16cex:dateUtc="2025-04-09T23:58:00Z"/>
  <w16cex:commentExtensible w16cex:durableId="0B04E7A6" w16cex:dateUtc="2025-04-09T23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F11F4A6" w16cid:durableId="043BC349"/>
  <w16cid:commentId w16cid:paraId="70309E72" w16cid:durableId="0B04E7A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94F"/>
    <w:multiLevelType w:val="hybridMultilevel"/>
    <w:tmpl w:val="408EDC6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F253269"/>
    <w:multiLevelType w:val="hybridMultilevel"/>
    <w:tmpl w:val="244245D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1FC1361"/>
    <w:multiLevelType w:val="hybridMultilevel"/>
    <w:tmpl w:val="FD4ACB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52B65BAE"/>
    <w:multiLevelType w:val="hybridMultilevel"/>
    <w:tmpl w:val="6038B5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447A57"/>
    <w:multiLevelType w:val="hybridMultilevel"/>
    <w:tmpl w:val="8938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3E4ED7"/>
    <w:multiLevelType w:val="hybridMultilevel"/>
    <w:tmpl w:val="4198ED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2678200">
    <w:abstractNumId w:val="4"/>
  </w:num>
  <w:num w:numId="2" w16cid:durableId="1397514185">
    <w:abstractNumId w:val="5"/>
  </w:num>
  <w:num w:numId="3" w16cid:durableId="795562711">
    <w:abstractNumId w:val="3"/>
  </w:num>
  <w:num w:numId="4" w16cid:durableId="558438377">
    <w:abstractNumId w:val="0"/>
  </w:num>
  <w:num w:numId="5" w16cid:durableId="1169366828">
    <w:abstractNumId w:val="2"/>
  </w:num>
  <w:num w:numId="6" w16cid:durableId="1094397514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ny Davis">
    <w15:presenceInfo w15:providerId="AD" w15:userId="S::tdavis@wettllc.com::47fece80-74a7-4e7c-9d10-575212804b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1FA"/>
    <w:rsid w:val="00094009"/>
    <w:rsid w:val="001C2540"/>
    <w:rsid w:val="00275E81"/>
    <w:rsid w:val="003E11FA"/>
    <w:rsid w:val="00540EA5"/>
    <w:rsid w:val="00734C58"/>
    <w:rsid w:val="00734CF0"/>
    <w:rsid w:val="008158CD"/>
    <w:rsid w:val="008334A8"/>
    <w:rsid w:val="00A170C2"/>
    <w:rsid w:val="00A33C76"/>
    <w:rsid w:val="00A36E14"/>
    <w:rsid w:val="00A96962"/>
    <w:rsid w:val="00C913CB"/>
    <w:rsid w:val="00F041DF"/>
    <w:rsid w:val="00FA6007"/>
    <w:rsid w:val="00FE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00E5"/>
  <w15:chartTrackingRefBased/>
  <w15:docId w15:val="{3121A0D4-C28D-4E6B-BF91-A138BC14A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1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1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11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11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11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11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11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11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11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11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11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11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11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11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11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11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11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11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11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11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11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1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11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11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11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11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11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11F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041D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1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34CF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3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C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C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ercot.com/mktrules/issues/SMOGRR033" TargetMode="Externa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ERCOT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Ryan</dc:creator>
  <cp:keywords/>
  <dc:description/>
  <cp:lastModifiedBy>Ellis, Ryan</cp:lastModifiedBy>
  <cp:revision>2</cp:revision>
  <dcterms:created xsi:type="dcterms:W3CDTF">2025-04-14T16:32:00Z</dcterms:created>
  <dcterms:modified xsi:type="dcterms:W3CDTF">2025-04-14T16:32:00Z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2025-04-09T18:39:21Z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c5c95432-6e98-403e-8a8b-50c92a354bd4</vt:lpwstr>
  </property>
  <property fmtid="{D5CDD505-2E9C-101B-9397-08002B2CF9AE}" pid="8" name="MSIP_Label_7084cbda-52b8-46fb-a7b7-cb5bd465ed85_ContentBits">
    <vt:lpwstr>0</vt:lpwstr>
  </property>
  <property fmtid="{D5CDD505-2E9C-101B-9397-08002B2CF9AE}" pid="9" name="MSIP_Label_7084cbda-52b8-46fb-a7b7-cb5bd465ed85_Tag">
    <vt:lpwstr>10, 3, 0, 1</vt:lpwstr>
  </property>
</Properties>
</file>