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C8528" w14:textId="09DCAE8B" w:rsidR="000D2AA6" w:rsidRDefault="00287C66" w:rsidP="00287C66">
      <w:pPr>
        <w:jc w:val="center"/>
        <w:rPr>
          <w:b/>
          <w:bCs/>
          <w:sz w:val="28"/>
          <w:szCs w:val="28"/>
        </w:rPr>
      </w:pPr>
      <w:r w:rsidRPr="00287C66">
        <w:rPr>
          <w:b/>
          <w:bCs/>
          <w:sz w:val="28"/>
          <w:szCs w:val="28"/>
        </w:rPr>
        <w:t>Planning Working Group (PLWG) Meeting Minutes</w:t>
      </w:r>
    </w:p>
    <w:p w14:paraId="1EE0C269" w14:textId="3E6C4D82" w:rsidR="00A765CC" w:rsidRPr="00A765CC" w:rsidRDefault="00B24967" w:rsidP="00287C66">
      <w:pPr>
        <w:jc w:val="center"/>
        <w:rPr>
          <w:b/>
          <w:bCs/>
          <w:sz w:val="28"/>
          <w:szCs w:val="28"/>
        </w:rPr>
      </w:pPr>
      <w:r>
        <w:rPr>
          <w:b/>
          <w:bCs/>
          <w:sz w:val="28"/>
          <w:szCs w:val="28"/>
        </w:rPr>
        <w:t>March 18</w:t>
      </w:r>
      <w:r w:rsidR="00287C66" w:rsidRPr="00287C66">
        <w:rPr>
          <w:b/>
          <w:bCs/>
          <w:sz w:val="28"/>
          <w:szCs w:val="28"/>
        </w:rPr>
        <w:t>, 2025 (</w:t>
      </w:r>
      <w:r>
        <w:rPr>
          <w:b/>
          <w:bCs/>
          <w:sz w:val="28"/>
          <w:szCs w:val="28"/>
        </w:rPr>
        <w:t xml:space="preserve">In Person + </w:t>
      </w:r>
      <w:proofErr w:type="spellStart"/>
      <w:r w:rsidR="00287C66" w:rsidRPr="00287C66">
        <w:rPr>
          <w:b/>
          <w:bCs/>
          <w:sz w:val="28"/>
          <w:szCs w:val="28"/>
        </w:rPr>
        <w:t>WebEx</w:t>
      </w:r>
      <w:proofErr w:type="spellEnd"/>
      <w:r w:rsidR="00287C66" w:rsidRPr="00287C66">
        <w:rPr>
          <w:b/>
          <w:bCs/>
          <w:sz w:val="28"/>
          <w:szCs w:val="28"/>
        </w:rPr>
        <w:t>)</w:t>
      </w:r>
    </w:p>
    <w:tbl>
      <w:tblPr>
        <w:tblW w:w="4952" w:type="pct"/>
        <w:tblCellMar>
          <w:top w:w="15" w:type="dxa"/>
          <w:left w:w="15" w:type="dxa"/>
          <w:bottom w:w="15" w:type="dxa"/>
          <w:right w:w="15" w:type="dxa"/>
        </w:tblCellMar>
        <w:tblLook w:val="04A0" w:firstRow="1" w:lastRow="0" w:firstColumn="1" w:lastColumn="0" w:noHBand="0" w:noVBand="1"/>
      </w:tblPr>
      <w:tblGrid>
        <w:gridCol w:w="540"/>
        <w:gridCol w:w="7110"/>
        <w:gridCol w:w="1620"/>
      </w:tblGrid>
      <w:tr w:rsidR="0056135A" w:rsidRPr="00A765CC" w14:paraId="2C1C752A" w14:textId="77777777" w:rsidTr="0056135A">
        <w:trPr>
          <w:trHeight w:val="630"/>
        </w:trPr>
        <w:tc>
          <w:tcPr>
            <w:tcW w:w="291" w:type="pct"/>
            <w:hideMark/>
          </w:tcPr>
          <w:p w14:paraId="2F8EFA68" w14:textId="77777777" w:rsidR="0056135A" w:rsidRPr="00A765CC" w:rsidRDefault="0056135A" w:rsidP="00A765CC">
            <w:r w:rsidRPr="00A765CC">
              <w:rPr>
                <w:b/>
                <w:bCs/>
              </w:rPr>
              <w:t>1.</w:t>
            </w:r>
          </w:p>
        </w:tc>
        <w:tc>
          <w:tcPr>
            <w:tcW w:w="3835" w:type="pct"/>
            <w:tcBorders>
              <w:right w:val="nil"/>
            </w:tcBorders>
            <w:tcMar>
              <w:top w:w="15" w:type="dxa"/>
              <w:left w:w="15" w:type="dxa"/>
              <w:bottom w:w="15" w:type="dxa"/>
              <w:right w:w="0" w:type="dxa"/>
            </w:tcMar>
            <w:hideMark/>
          </w:tcPr>
          <w:p w14:paraId="323D7672" w14:textId="77777777" w:rsidR="0056135A" w:rsidRDefault="0056135A" w:rsidP="00A765CC">
            <w:pPr>
              <w:rPr>
                <w:b/>
                <w:bCs/>
              </w:rPr>
            </w:pPr>
            <w:r w:rsidRPr="00A765CC">
              <w:rPr>
                <w:b/>
                <w:bCs/>
              </w:rPr>
              <w:t>Antitrust Admonition</w:t>
            </w:r>
          </w:p>
          <w:p w14:paraId="1B292D78" w14:textId="391B0657" w:rsidR="0056135A" w:rsidRPr="00A765CC" w:rsidRDefault="0056135A" w:rsidP="00A765CC">
            <w:r>
              <w:t>Antitrust admonition was given.</w:t>
            </w:r>
          </w:p>
        </w:tc>
        <w:tc>
          <w:tcPr>
            <w:tcW w:w="874" w:type="pct"/>
            <w:hideMark/>
          </w:tcPr>
          <w:p w14:paraId="15C2053A" w14:textId="77777777" w:rsidR="0056135A" w:rsidRPr="00A765CC" w:rsidRDefault="0056135A" w:rsidP="00A765CC">
            <w:r w:rsidRPr="00A765CC">
              <w:rPr>
                <w:b/>
                <w:bCs/>
              </w:rPr>
              <w:t>Chair</w:t>
            </w:r>
          </w:p>
        </w:tc>
      </w:tr>
      <w:tr w:rsidR="0056135A" w:rsidRPr="00A765CC" w14:paraId="4A04B9CE" w14:textId="77777777" w:rsidTr="0056135A">
        <w:trPr>
          <w:trHeight w:val="630"/>
        </w:trPr>
        <w:tc>
          <w:tcPr>
            <w:tcW w:w="291" w:type="pct"/>
            <w:hideMark/>
          </w:tcPr>
          <w:p w14:paraId="5AC78C3F" w14:textId="77777777" w:rsidR="0056135A" w:rsidRPr="00A765CC" w:rsidRDefault="0056135A" w:rsidP="00A765CC">
            <w:r w:rsidRPr="00A765CC">
              <w:rPr>
                <w:b/>
                <w:bCs/>
              </w:rPr>
              <w:t>2.</w:t>
            </w:r>
          </w:p>
        </w:tc>
        <w:tc>
          <w:tcPr>
            <w:tcW w:w="3835" w:type="pct"/>
            <w:tcBorders>
              <w:right w:val="nil"/>
            </w:tcBorders>
            <w:tcMar>
              <w:top w:w="15" w:type="dxa"/>
              <w:left w:w="15" w:type="dxa"/>
              <w:bottom w:w="15" w:type="dxa"/>
              <w:right w:w="0" w:type="dxa"/>
            </w:tcMar>
            <w:hideMark/>
          </w:tcPr>
          <w:p w14:paraId="0D6A44C6" w14:textId="77777777" w:rsidR="0056135A" w:rsidRDefault="0056135A" w:rsidP="00A765CC">
            <w:pPr>
              <w:rPr>
                <w:b/>
                <w:bCs/>
              </w:rPr>
            </w:pPr>
            <w:r w:rsidRPr="00A765CC">
              <w:rPr>
                <w:b/>
                <w:bCs/>
              </w:rPr>
              <w:t>Agenda Review</w:t>
            </w:r>
          </w:p>
          <w:p w14:paraId="345C2B5F" w14:textId="03AFE6BC" w:rsidR="0056135A" w:rsidRPr="00A765CC" w:rsidRDefault="0056135A" w:rsidP="00A765CC">
            <w:r>
              <w:t>Agenda was reviewed.</w:t>
            </w:r>
          </w:p>
        </w:tc>
        <w:tc>
          <w:tcPr>
            <w:tcW w:w="874" w:type="pct"/>
            <w:hideMark/>
          </w:tcPr>
          <w:p w14:paraId="4EF8B739" w14:textId="77777777" w:rsidR="0056135A" w:rsidRPr="00A765CC" w:rsidRDefault="0056135A" w:rsidP="00A765CC">
            <w:r w:rsidRPr="00A765CC">
              <w:rPr>
                <w:b/>
                <w:bCs/>
              </w:rPr>
              <w:t>Chair</w:t>
            </w:r>
          </w:p>
        </w:tc>
      </w:tr>
      <w:tr w:rsidR="0056135A" w:rsidRPr="00A765CC" w14:paraId="7FD5B6DD" w14:textId="77777777" w:rsidTr="0056135A">
        <w:trPr>
          <w:trHeight w:val="630"/>
        </w:trPr>
        <w:tc>
          <w:tcPr>
            <w:tcW w:w="291" w:type="pct"/>
            <w:hideMark/>
          </w:tcPr>
          <w:p w14:paraId="3258EB6E" w14:textId="77777777" w:rsidR="0056135A" w:rsidRPr="00A765CC" w:rsidRDefault="0056135A" w:rsidP="00A765CC">
            <w:r w:rsidRPr="00A765CC">
              <w:rPr>
                <w:b/>
                <w:bCs/>
              </w:rPr>
              <w:t>3.</w:t>
            </w:r>
          </w:p>
        </w:tc>
        <w:tc>
          <w:tcPr>
            <w:tcW w:w="3835" w:type="pct"/>
            <w:tcBorders>
              <w:right w:val="nil"/>
            </w:tcBorders>
            <w:tcMar>
              <w:top w:w="15" w:type="dxa"/>
              <w:left w:w="15" w:type="dxa"/>
              <w:bottom w:w="15" w:type="dxa"/>
              <w:right w:w="0" w:type="dxa"/>
            </w:tcMar>
            <w:hideMark/>
          </w:tcPr>
          <w:p w14:paraId="6418ACD8" w14:textId="22AE0123" w:rsidR="0056135A" w:rsidRDefault="0056135A" w:rsidP="00A765CC">
            <w:pPr>
              <w:rPr>
                <w:b/>
                <w:bCs/>
              </w:rPr>
            </w:pPr>
            <w:r w:rsidRPr="00A765CC">
              <w:rPr>
                <w:b/>
                <w:bCs/>
              </w:rPr>
              <w:t>Review of PLWG Meeting Minutes (</w:t>
            </w:r>
            <w:r w:rsidR="00B24967">
              <w:rPr>
                <w:b/>
                <w:bCs/>
              </w:rPr>
              <w:t>February 24</w:t>
            </w:r>
            <w:r w:rsidRPr="00A765CC">
              <w:rPr>
                <w:b/>
                <w:bCs/>
              </w:rPr>
              <w:t>)</w:t>
            </w:r>
          </w:p>
          <w:p w14:paraId="184C9B67" w14:textId="66E993B2" w:rsidR="0056135A" w:rsidRPr="00A765CC" w:rsidRDefault="0056135A" w:rsidP="00A765CC">
            <w:r>
              <w:t>Meeting minutes reviewed. No feedback received.</w:t>
            </w:r>
          </w:p>
        </w:tc>
        <w:tc>
          <w:tcPr>
            <w:tcW w:w="874" w:type="pct"/>
            <w:hideMark/>
          </w:tcPr>
          <w:p w14:paraId="4DF279FC" w14:textId="77777777" w:rsidR="0056135A" w:rsidRPr="00A765CC" w:rsidRDefault="0056135A" w:rsidP="00A765CC">
            <w:r w:rsidRPr="00A765CC">
              <w:rPr>
                <w:b/>
                <w:bCs/>
              </w:rPr>
              <w:t>Chair</w:t>
            </w:r>
          </w:p>
        </w:tc>
      </w:tr>
      <w:tr w:rsidR="0056135A" w:rsidRPr="00A765CC" w14:paraId="5A1623E3" w14:textId="77777777" w:rsidTr="0056135A">
        <w:trPr>
          <w:trHeight w:val="630"/>
        </w:trPr>
        <w:tc>
          <w:tcPr>
            <w:tcW w:w="291" w:type="pct"/>
            <w:hideMark/>
          </w:tcPr>
          <w:p w14:paraId="44D532F9" w14:textId="77777777" w:rsidR="0056135A" w:rsidRPr="00A765CC" w:rsidRDefault="0056135A" w:rsidP="00A765CC">
            <w:r w:rsidRPr="00A765CC">
              <w:rPr>
                <w:b/>
                <w:bCs/>
              </w:rPr>
              <w:t>4.</w:t>
            </w:r>
          </w:p>
        </w:tc>
        <w:tc>
          <w:tcPr>
            <w:tcW w:w="3835" w:type="pct"/>
            <w:tcBorders>
              <w:right w:val="nil"/>
            </w:tcBorders>
            <w:tcMar>
              <w:top w:w="15" w:type="dxa"/>
              <w:left w:w="15" w:type="dxa"/>
              <w:bottom w:w="15" w:type="dxa"/>
              <w:right w:w="0" w:type="dxa"/>
            </w:tcMar>
            <w:hideMark/>
          </w:tcPr>
          <w:p w14:paraId="42114982" w14:textId="77777777" w:rsidR="0056135A" w:rsidRPr="00A765CC" w:rsidRDefault="0056135A" w:rsidP="00A765CC">
            <w:r w:rsidRPr="00A765CC">
              <w:rPr>
                <w:b/>
                <w:bCs/>
              </w:rPr>
              <w:t>General updates</w:t>
            </w:r>
          </w:p>
        </w:tc>
        <w:tc>
          <w:tcPr>
            <w:tcW w:w="874" w:type="pct"/>
            <w:hideMark/>
          </w:tcPr>
          <w:p w14:paraId="2C3DCBE8" w14:textId="77777777" w:rsidR="0056135A" w:rsidRPr="00A765CC" w:rsidRDefault="0056135A" w:rsidP="00A765CC">
            <w:r w:rsidRPr="00A765CC">
              <w:rPr>
                <w:b/>
                <w:bCs/>
              </w:rPr>
              <w:t>Chair</w:t>
            </w:r>
          </w:p>
        </w:tc>
      </w:tr>
      <w:tr w:rsidR="0056135A" w:rsidRPr="00A765CC" w14:paraId="65211BD9" w14:textId="77777777" w:rsidTr="0056135A">
        <w:trPr>
          <w:trHeight w:val="630"/>
        </w:trPr>
        <w:tc>
          <w:tcPr>
            <w:tcW w:w="291" w:type="pct"/>
            <w:hideMark/>
          </w:tcPr>
          <w:p w14:paraId="3A8E2583" w14:textId="77777777" w:rsidR="0056135A" w:rsidRPr="00A765CC" w:rsidRDefault="0056135A" w:rsidP="00A765CC"/>
        </w:tc>
        <w:tc>
          <w:tcPr>
            <w:tcW w:w="3835" w:type="pct"/>
            <w:tcBorders>
              <w:right w:val="nil"/>
            </w:tcBorders>
            <w:tcMar>
              <w:top w:w="15" w:type="dxa"/>
              <w:left w:w="15" w:type="dxa"/>
              <w:bottom w:w="15" w:type="dxa"/>
              <w:right w:w="0" w:type="dxa"/>
            </w:tcMar>
            <w:hideMark/>
          </w:tcPr>
          <w:p w14:paraId="7A41ED40" w14:textId="010B0E81" w:rsidR="0056135A" w:rsidRPr="00A765CC" w:rsidRDefault="00B24967" w:rsidP="009F7154">
            <w:r>
              <w:t xml:space="preserve">PGRR124 referral at </w:t>
            </w:r>
            <w:r w:rsidR="009F7154">
              <w:t>3/6</w:t>
            </w:r>
            <w:r w:rsidR="0056135A">
              <w:t xml:space="preserve"> ROS meetin</w:t>
            </w:r>
            <w:r w:rsidR="009F7154">
              <w:t>g.</w:t>
            </w:r>
          </w:p>
        </w:tc>
        <w:tc>
          <w:tcPr>
            <w:tcW w:w="874" w:type="pct"/>
            <w:hideMark/>
          </w:tcPr>
          <w:p w14:paraId="4E37A836" w14:textId="77777777" w:rsidR="0056135A" w:rsidRPr="00A765CC" w:rsidRDefault="0056135A" w:rsidP="00A765CC"/>
        </w:tc>
      </w:tr>
      <w:tr w:rsidR="0056135A" w:rsidRPr="00A765CC" w14:paraId="7C4DE588" w14:textId="77777777" w:rsidTr="0056135A">
        <w:trPr>
          <w:trHeight w:val="630"/>
        </w:trPr>
        <w:tc>
          <w:tcPr>
            <w:tcW w:w="291" w:type="pct"/>
            <w:hideMark/>
          </w:tcPr>
          <w:p w14:paraId="42364174" w14:textId="77777777" w:rsidR="0056135A" w:rsidRPr="00A765CC" w:rsidRDefault="0056135A" w:rsidP="00A765CC">
            <w:r w:rsidRPr="00A765CC">
              <w:rPr>
                <w:b/>
                <w:bCs/>
              </w:rPr>
              <w:t>5.</w:t>
            </w:r>
          </w:p>
        </w:tc>
        <w:tc>
          <w:tcPr>
            <w:tcW w:w="3835" w:type="pct"/>
            <w:tcBorders>
              <w:right w:val="nil"/>
            </w:tcBorders>
            <w:tcMar>
              <w:top w:w="15" w:type="dxa"/>
              <w:left w:w="15" w:type="dxa"/>
              <w:bottom w:w="15" w:type="dxa"/>
              <w:right w:w="0" w:type="dxa"/>
            </w:tcMar>
            <w:hideMark/>
          </w:tcPr>
          <w:p w14:paraId="3679CF04" w14:textId="77777777" w:rsidR="0056135A" w:rsidRPr="00A765CC" w:rsidRDefault="0056135A" w:rsidP="00A765CC">
            <w:r w:rsidRPr="00A765CC">
              <w:rPr>
                <w:b/>
                <w:bCs/>
              </w:rPr>
              <w:t>PGRR 120 – SSO Prevention for Generator Interconnection</w:t>
            </w:r>
          </w:p>
        </w:tc>
        <w:tc>
          <w:tcPr>
            <w:tcW w:w="874" w:type="pct"/>
            <w:hideMark/>
          </w:tcPr>
          <w:p w14:paraId="7A07980D" w14:textId="77777777" w:rsidR="0056135A" w:rsidRPr="00A765CC" w:rsidRDefault="0056135A" w:rsidP="00A765CC">
            <w:r w:rsidRPr="00A765CC">
              <w:rPr>
                <w:b/>
                <w:bCs/>
              </w:rPr>
              <w:t>PLWG</w:t>
            </w:r>
          </w:p>
        </w:tc>
      </w:tr>
      <w:tr w:rsidR="0056135A" w:rsidRPr="00A765CC" w14:paraId="32583F93" w14:textId="77777777" w:rsidTr="0056135A">
        <w:trPr>
          <w:trHeight w:val="630"/>
        </w:trPr>
        <w:tc>
          <w:tcPr>
            <w:tcW w:w="291" w:type="pct"/>
            <w:hideMark/>
          </w:tcPr>
          <w:p w14:paraId="536B8C8A" w14:textId="77777777" w:rsidR="0056135A" w:rsidRPr="00A765CC" w:rsidRDefault="0056135A" w:rsidP="00A765CC"/>
        </w:tc>
        <w:tc>
          <w:tcPr>
            <w:tcW w:w="3835" w:type="pct"/>
            <w:tcBorders>
              <w:right w:val="nil"/>
            </w:tcBorders>
            <w:tcMar>
              <w:top w:w="15" w:type="dxa"/>
              <w:left w:w="15" w:type="dxa"/>
              <w:bottom w:w="15" w:type="dxa"/>
              <w:right w:w="0" w:type="dxa"/>
            </w:tcMar>
            <w:hideMark/>
          </w:tcPr>
          <w:p w14:paraId="306CC2C0" w14:textId="4EBAA0DA" w:rsidR="0056135A" w:rsidRPr="00185A3F" w:rsidRDefault="0056135A" w:rsidP="00A765CC">
            <w:pPr>
              <w:numPr>
                <w:ilvl w:val="0"/>
                <w:numId w:val="2"/>
              </w:numPr>
            </w:pPr>
            <w:r w:rsidRPr="00A765CC">
              <w:rPr>
                <w:b/>
                <w:bCs/>
              </w:rPr>
              <w:t xml:space="preserve">Review </w:t>
            </w:r>
            <w:r w:rsidR="009F7154">
              <w:rPr>
                <w:b/>
                <w:bCs/>
              </w:rPr>
              <w:t>ERCOT</w:t>
            </w:r>
            <w:r w:rsidRPr="00A765CC">
              <w:rPr>
                <w:b/>
                <w:bCs/>
              </w:rPr>
              <w:t xml:space="preserve"> Comments</w:t>
            </w:r>
          </w:p>
          <w:p w14:paraId="5FFB66F8" w14:textId="77966632" w:rsidR="00240829" w:rsidRPr="00A765CC" w:rsidRDefault="006701DF" w:rsidP="006701DF">
            <w:pPr>
              <w:ind w:left="360"/>
            </w:pPr>
            <w:r>
              <w:t xml:space="preserve">Megan Miller (ERCOT) – </w:t>
            </w:r>
            <w:r w:rsidR="00EF5F01">
              <w:t>ERCOT is still discussing</w:t>
            </w:r>
            <w:r>
              <w:t xml:space="preserve"> internally</w:t>
            </w:r>
            <w:r w:rsidR="00EF5F01">
              <w:t xml:space="preserve"> and does not yet have new comments to present today.</w:t>
            </w:r>
          </w:p>
        </w:tc>
        <w:tc>
          <w:tcPr>
            <w:tcW w:w="874" w:type="pct"/>
            <w:hideMark/>
          </w:tcPr>
          <w:p w14:paraId="4AAA13F5" w14:textId="3B8C88E8" w:rsidR="0056135A" w:rsidRPr="00A765CC" w:rsidRDefault="009F7154" w:rsidP="00A765CC">
            <w:r>
              <w:rPr>
                <w:b/>
                <w:bCs/>
              </w:rPr>
              <w:t>ERCOT</w:t>
            </w:r>
          </w:p>
        </w:tc>
      </w:tr>
      <w:tr w:rsidR="0056135A" w:rsidRPr="00A765CC" w14:paraId="7B2077B7" w14:textId="77777777" w:rsidTr="0056135A">
        <w:trPr>
          <w:trHeight w:val="630"/>
        </w:trPr>
        <w:tc>
          <w:tcPr>
            <w:tcW w:w="291" w:type="pct"/>
            <w:hideMark/>
          </w:tcPr>
          <w:p w14:paraId="7E8BC2BD" w14:textId="77777777" w:rsidR="0056135A" w:rsidRPr="00A765CC" w:rsidRDefault="0056135A" w:rsidP="00A765CC"/>
        </w:tc>
        <w:tc>
          <w:tcPr>
            <w:tcW w:w="3835" w:type="pct"/>
            <w:tcBorders>
              <w:right w:val="nil"/>
            </w:tcBorders>
            <w:tcMar>
              <w:top w:w="15" w:type="dxa"/>
              <w:left w:w="15" w:type="dxa"/>
              <w:bottom w:w="15" w:type="dxa"/>
              <w:right w:w="0" w:type="dxa"/>
            </w:tcMar>
            <w:hideMark/>
          </w:tcPr>
          <w:p w14:paraId="488B2B0D" w14:textId="674E8D61" w:rsidR="0056135A" w:rsidRPr="005B414D" w:rsidRDefault="0056135A" w:rsidP="00A765CC">
            <w:pPr>
              <w:numPr>
                <w:ilvl w:val="0"/>
                <w:numId w:val="3"/>
              </w:numPr>
            </w:pPr>
            <w:r w:rsidRPr="00A765CC">
              <w:rPr>
                <w:b/>
                <w:bCs/>
              </w:rPr>
              <w:t xml:space="preserve">Review </w:t>
            </w:r>
            <w:r w:rsidR="00340E3B">
              <w:rPr>
                <w:b/>
                <w:bCs/>
              </w:rPr>
              <w:t>Enel Green Power</w:t>
            </w:r>
            <w:r w:rsidRPr="00A765CC">
              <w:rPr>
                <w:b/>
                <w:bCs/>
              </w:rPr>
              <w:t xml:space="preserve"> Comments</w:t>
            </w:r>
          </w:p>
          <w:p w14:paraId="266E1AE5" w14:textId="79B664E9" w:rsidR="00240829" w:rsidRDefault="00EF5F01" w:rsidP="005B414D">
            <w:pPr>
              <w:ind w:left="360"/>
            </w:pPr>
            <w:r>
              <w:t>Enel not available to present comments.</w:t>
            </w:r>
          </w:p>
          <w:p w14:paraId="52BAD2C8" w14:textId="77777777" w:rsidR="0056135A" w:rsidRPr="00A765CC" w:rsidRDefault="0056135A" w:rsidP="00240829">
            <w:pPr>
              <w:ind w:left="360"/>
            </w:pPr>
          </w:p>
        </w:tc>
        <w:tc>
          <w:tcPr>
            <w:tcW w:w="874" w:type="pct"/>
            <w:hideMark/>
          </w:tcPr>
          <w:p w14:paraId="643521E3" w14:textId="79CC3587" w:rsidR="0056135A" w:rsidRPr="00A765CC" w:rsidRDefault="00340E3B" w:rsidP="00A765CC">
            <w:r>
              <w:rPr>
                <w:b/>
                <w:bCs/>
              </w:rPr>
              <w:t>Enel Green Power North America</w:t>
            </w:r>
          </w:p>
        </w:tc>
      </w:tr>
      <w:tr w:rsidR="0056135A" w:rsidRPr="00A765CC" w14:paraId="28FF574A" w14:textId="77777777" w:rsidTr="00240829">
        <w:trPr>
          <w:trHeight w:val="630"/>
        </w:trPr>
        <w:tc>
          <w:tcPr>
            <w:tcW w:w="291" w:type="pct"/>
            <w:hideMark/>
          </w:tcPr>
          <w:p w14:paraId="279D90AE" w14:textId="77777777" w:rsidR="0056135A" w:rsidRPr="00A765CC" w:rsidRDefault="0056135A" w:rsidP="00A765CC"/>
        </w:tc>
        <w:tc>
          <w:tcPr>
            <w:tcW w:w="3835" w:type="pct"/>
            <w:tcBorders>
              <w:right w:val="nil"/>
            </w:tcBorders>
            <w:tcMar>
              <w:top w:w="15" w:type="dxa"/>
              <w:left w:w="15" w:type="dxa"/>
              <w:bottom w:w="15" w:type="dxa"/>
              <w:right w:w="0" w:type="dxa"/>
            </w:tcMar>
            <w:hideMark/>
          </w:tcPr>
          <w:p w14:paraId="62C43DF3" w14:textId="09945430" w:rsidR="006E5CCB" w:rsidRPr="00A765CC" w:rsidRDefault="006E5CCB" w:rsidP="008D3628">
            <w:pPr>
              <w:ind w:left="360"/>
            </w:pPr>
            <w:r w:rsidRPr="006E5CCB">
              <w:rPr>
                <w:b/>
                <w:bCs/>
                <w:i/>
                <w:iCs/>
              </w:rPr>
              <w:t xml:space="preserve">Action Taken: </w:t>
            </w:r>
            <w:r w:rsidR="00BB139A">
              <w:rPr>
                <w:b/>
                <w:bCs/>
                <w:i/>
                <w:iCs/>
              </w:rPr>
              <w:t>Left</w:t>
            </w:r>
            <w:r w:rsidR="00EF5F01">
              <w:rPr>
                <w:b/>
                <w:bCs/>
                <w:i/>
                <w:iCs/>
              </w:rPr>
              <w:t xml:space="preserve"> PGRR120 </w:t>
            </w:r>
            <w:r w:rsidR="00EF5F01" w:rsidRPr="00EF5F01">
              <w:rPr>
                <w:b/>
                <w:bCs/>
                <w:i/>
                <w:iCs/>
              </w:rPr>
              <w:t>tabled</w:t>
            </w:r>
            <w:r w:rsidRPr="00EF5F01">
              <w:rPr>
                <w:b/>
                <w:bCs/>
                <w:i/>
                <w:iCs/>
              </w:rPr>
              <w:t xml:space="preserve"> until </w:t>
            </w:r>
            <w:r w:rsidR="00240829" w:rsidRPr="00EF5F01">
              <w:rPr>
                <w:b/>
                <w:bCs/>
                <w:i/>
                <w:iCs/>
              </w:rPr>
              <w:t xml:space="preserve">April </w:t>
            </w:r>
            <w:r w:rsidRPr="00EF5F01">
              <w:rPr>
                <w:b/>
                <w:bCs/>
                <w:i/>
                <w:iCs/>
              </w:rPr>
              <w:t>PLWG meeting</w:t>
            </w:r>
            <w:r w:rsidRPr="00EF5F01">
              <w:t>.</w:t>
            </w:r>
          </w:p>
        </w:tc>
        <w:tc>
          <w:tcPr>
            <w:tcW w:w="874" w:type="pct"/>
          </w:tcPr>
          <w:p w14:paraId="1D896BD8" w14:textId="0DE25F3D" w:rsidR="0056135A" w:rsidRPr="00A765CC" w:rsidRDefault="0056135A" w:rsidP="00A765CC"/>
        </w:tc>
      </w:tr>
      <w:tr w:rsidR="0056135A" w:rsidRPr="00A765CC" w14:paraId="0FD7E72D" w14:textId="77777777" w:rsidTr="00240829">
        <w:trPr>
          <w:trHeight w:val="345"/>
        </w:trPr>
        <w:tc>
          <w:tcPr>
            <w:tcW w:w="291" w:type="pct"/>
            <w:hideMark/>
          </w:tcPr>
          <w:p w14:paraId="66C479BD" w14:textId="77777777" w:rsidR="0056135A" w:rsidRPr="00A765CC" w:rsidRDefault="0056135A" w:rsidP="00A765CC">
            <w:r w:rsidRPr="00A765CC">
              <w:rPr>
                <w:b/>
                <w:bCs/>
              </w:rPr>
              <w:t>6.</w:t>
            </w:r>
          </w:p>
        </w:tc>
        <w:tc>
          <w:tcPr>
            <w:tcW w:w="3835" w:type="pct"/>
            <w:tcBorders>
              <w:right w:val="nil"/>
            </w:tcBorders>
            <w:tcMar>
              <w:top w:w="15" w:type="dxa"/>
              <w:left w:w="15" w:type="dxa"/>
              <w:bottom w:w="15" w:type="dxa"/>
              <w:right w:w="0" w:type="dxa"/>
            </w:tcMar>
            <w:hideMark/>
          </w:tcPr>
          <w:p w14:paraId="1A7F28EB" w14:textId="77777777" w:rsidR="0056135A" w:rsidRPr="00A765CC" w:rsidRDefault="0056135A" w:rsidP="00A765CC">
            <w:r w:rsidRPr="00A765CC">
              <w:rPr>
                <w:b/>
                <w:bCs/>
              </w:rPr>
              <w:t>PGRR 122 – Reliability Performance Criteria for Loss of Load</w:t>
            </w:r>
          </w:p>
        </w:tc>
        <w:tc>
          <w:tcPr>
            <w:tcW w:w="874" w:type="pct"/>
            <w:hideMark/>
          </w:tcPr>
          <w:p w14:paraId="1B51905F" w14:textId="77777777" w:rsidR="0056135A" w:rsidRPr="00A765CC" w:rsidRDefault="0056135A" w:rsidP="00A765CC">
            <w:r w:rsidRPr="00A765CC">
              <w:rPr>
                <w:b/>
                <w:bCs/>
              </w:rPr>
              <w:t>ERCOT/PLWG</w:t>
            </w:r>
          </w:p>
        </w:tc>
      </w:tr>
      <w:tr w:rsidR="0056135A" w:rsidRPr="00A765CC" w14:paraId="6DAFB3E8" w14:textId="77777777" w:rsidTr="00240829">
        <w:trPr>
          <w:trHeight w:val="630"/>
        </w:trPr>
        <w:tc>
          <w:tcPr>
            <w:tcW w:w="291" w:type="pct"/>
            <w:hideMark/>
          </w:tcPr>
          <w:p w14:paraId="68CC71BA" w14:textId="77777777" w:rsidR="0056135A" w:rsidRPr="00A765CC" w:rsidRDefault="0056135A" w:rsidP="00A765CC"/>
        </w:tc>
        <w:tc>
          <w:tcPr>
            <w:tcW w:w="3835" w:type="pct"/>
            <w:tcMar>
              <w:top w:w="15" w:type="dxa"/>
              <w:left w:w="15" w:type="dxa"/>
              <w:bottom w:w="15" w:type="dxa"/>
              <w:right w:w="0" w:type="dxa"/>
            </w:tcMar>
            <w:hideMark/>
          </w:tcPr>
          <w:p w14:paraId="096DFA7F" w14:textId="77777777" w:rsidR="0056135A" w:rsidRPr="008D3628" w:rsidRDefault="0056135A" w:rsidP="00A765CC">
            <w:pPr>
              <w:numPr>
                <w:ilvl w:val="0"/>
                <w:numId w:val="5"/>
              </w:numPr>
            </w:pPr>
            <w:r w:rsidRPr="00A765CC">
              <w:rPr>
                <w:b/>
                <w:bCs/>
              </w:rPr>
              <w:t>Review Google Comments (2-4-2025)</w:t>
            </w:r>
          </w:p>
          <w:p w14:paraId="0633D83F" w14:textId="135FAF0E" w:rsidR="0056135A" w:rsidRPr="00240829" w:rsidRDefault="00DF1F36" w:rsidP="00240829">
            <w:r>
              <w:t>Google not available to discuss comments.</w:t>
            </w:r>
          </w:p>
        </w:tc>
        <w:tc>
          <w:tcPr>
            <w:tcW w:w="874" w:type="pct"/>
            <w:tcBorders>
              <w:left w:val="nil"/>
            </w:tcBorders>
            <w:hideMark/>
          </w:tcPr>
          <w:p w14:paraId="0DFB9D0A" w14:textId="77777777" w:rsidR="0056135A" w:rsidRPr="00A765CC" w:rsidRDefault="0056135A" w:rsidP="00A765CC">
            <w:r w:rsidRPr="00A765CC">
              <w:rPr>
                <w:b/>
                <w:bCs/>
              </w:rPr>
              <w:t>Google</w:t>
            </w:r>
          </w:p>
        </w:tc>
      </w:tr>
      <w:tr w:rsidR="00240829" w:rsidRPr="00A765CC" w14:paraId="028401F1" w14:textId="77777777" w:rsidTr="00240829">
        <w:trPr>
          <w:trHeight w:val="990"/>
        </w:trPr>
        <w:tc>
          <w:tcPr>
            <w:tcW w:w="291" w:type="pct"/>
          </w:tcPr>
          <w:p w14:paraId="58CA2D1A" w14:textId="77777777" w:rsidR="00240829" w:rsidRPr="00A765CC" w:rsidRDefault="00240829" w:rsidP="00A765CC">
            <w:pPr>
              <w:rPr>
                <w:b/>
                <w:bCs/>
              </w:rPr>
            </w:pPr>
          </w:p>
        </w:tc>
        <w:tc>
          <w:tcPr>
            <w:tcW w:w="3835" w:type="pct"/>
            <w:tcBorders>
              <w:right w:val="nil"/>
            </w:tcBorders>
            <w:tcMar>
              <w:top w:w="15" w:type="dxa"/>
              <w:left w:w="15" w:type="dxa"/>
              <w:bottom w:w="15" w:type="dxa"/>
              <w:right w:w="0" w:type="dxa"/>
            </w:tcMar>
          </w:tcPr>
          <w:p w14:paraId="3D5CD739" w14:textId="77777777" w:rsidR="00240829" w:rsidRPr="00240829" w:rsidRDefault="00240829" w:rsidP="00240829">
            <w:pPr>
              <w:pStyle w:val="ListParagraph"/>
              <w:numPr>
                <w:ilvl w:val="0"/>
                <w:numId w:val="7"/>
              </w:numPr>
              <w:rPr>
                <w:b/>
                <w:bCs/>
              </w:rPr>
            </w:pPr>
            <w:r w:rsidRPr="00240829">
              <w:rPr>
                <w:b/>
                <w:bCs/>
              </w:rPr>
              <w:t>ERCOT Presentation</w:t>
            </w:r>
          </w:p>
          <w:p w14:paraId="0726D914" w14:textId="5600D152" w:rsidR="005436E5" w:rsidRDefault="00A95F61" w:rsidP="00A765CC">
            <w:r>
              <w:t>Jeff Billo (ERCOT) presented</w:t>
            </w:r>
            <w:r w:rsidR="00750FEE">
              <w:t xml:space="preserve"> draft comments in response to LCRA’s comments</w:t>
            </w:r>
            <w:r>
              <w:t xml:space="preserve">. </w:t>
            </w:r>
            <w:r w:rsidR="00D373D9">
              <w:t xml:space="preserve">ERCOT </w:t>
            </w:r>
            <w:r w:rsidR="00097266">
              <w:t>noted</w:t>
            </w:r>
            <w:r w:rsidR="00D373D9">
              <w:t xml:space="preserve"> the sense of urgency on this issue</w:t>
            </w:r>
            <w:r>
              <w:t xml:space="preserve"> as this is an imminent reliability concern</w:t>
            </w:r>
            <w:r w:rsidR="00D373D9">
              <w:t xml:space="preserve">. </w:t>
            </w:r>
            <w:r w:rsidR="00886B0A">
              <w:t xml:space="preserve">One key issue is that </w:t>
            </w:r>
            <w:r w:rsidR="000A5FD2">
              <w:t>e</w:t>
            </w:r>
            <w:r w:rsidR="00D373D9">
              <w:t>xisting dynamic load models</w:t>
            </w:r>
            <w:r w:rsidR="00886B0A">
              <w:t xml:space="preserve"> do not </w:t>
            </w:r>
            <w:r w:rsidR="000A5FD2">
              <w:t>reflect the real</w:t>
            </w:r>
            <w:r w:rsidR="005436E5">
              <w:t>-world</w:t>
            </w:r>
            <w:r w:rsidR="00D373D9">
              <w:t xml:space="preserve"> behavior</w:t>
            </w:r>
            <w:r w:rsidR="00886B0A">
              <w:t xml:space="preserve"> of the load (e.g. simulation</w:t>
            </w:r>
            <w:r w:rsidR="00AB66C5">
              <w:t>s</w:t>
            </w:r>
            <w:r w:rsidR="00886B0A">
              <w:t xml:space="preserve"> d</w:t>
            </w:r>
            <w:r w:rsidR="00AB66C5">
              <w:t>o</w:t>
            </w:r>
            <w:r w:rsidR="00886B0A">
              <w:t xml:space="preserve"> not show a trip</w:t>
            </w:r>
            <w:r w:rsidR="005436E5">
              <w:t xml:space="preserve"> but the </w:t>
            </w:r>
            <w:r w:rsidR="00FE7513">
              <w:t>load trips in reality</w:t>
            </w:r>
            <w:r w:rsidR="00886B0A">
              <w:t>).</w:t>
            </w:r>
            <w:r w:rsidR="00D373D9">
              <w:t xml:space="preserve"> </w:t>
            </w:r>
            <w:r w:rsidR="00D41EC5">
              <w:t>ERCOT</w:t>
            </w:r>
            <w:r w:rsidR="005559E3">
              <w:t xml:space="preserve"> is collaborating</w:t>
            </w:r>
            <w:r w:rsidR="00D41EC5">
              <w:t xml:space="preserve"> with university partners to develop better load models, but</w:t>
            </w:r>
            <w:r w:rsidR="005559E3">
              <w:t xml:space="preserve"> this</w:t>
            </w:r>
            <w:r w:rsidR="00D41EC5">
              <w:t xml:space="preserve"> will take some time to develop. In the near-term, need to make some adjustments to </w:t>
            </w:r>
            <w:r w:rsidR="005559E3">
              <w:lastRenderedPageBreak/>
              <w:t xml:space="preserve">current </w:t>
            </w:r>
            <w:r w:rsidR="00D41EC5">
              <w:t>assumptions</w:t>
            </w:r>
            <w:r w:rsidR="005436E5">
              <w:t xml:space="preserve"> </w:t>
            </w:r>
            <w:r w:rsidR="00FE7513">
              <w:t xml:space="preserve">with framework of PGRR122 </w:t>
            </w:r>
            <w:r w:rsidR="005436E5">
              <w:t>and will continue to work out the</w:t>
            </w:r>
            <w:r w:rsidR="00750FEE">
              <w:t xml:space="preserve"> model</w:t>
            </w:r>
            <w:r w:rsidR="005436E5">
              <w:t>ing</w:t>
            </w:r>
            <w:r w:rsidR="00750FEE">
              <w:t xml:space="preserve"> issues in parallel. </w:t>
            </w:r>
            <w:r w:rsidR="0076236C">
              <w:t xml:space="preserve">ERCOT </w:t>
            </w:r>
            <w:r w:rsidR="00154703">
              <w:t>would like to</w:t>
            </w:r>
            <w:r w:rsidR="00B46FAF">
              <w:t xml:space="preserve"> move forward on</w:t>
            </w:r>
            <w:r w:rsidR="005436E5">
              <w:t xml:space="preserve"> requirements for</w:t>
            </w:r>
            <w:r w:rsidR="00B46FAF">
              <w:t xml:space="preserve"> new large loads and gray box the language for </w:t>
            </w:r>
            <w:r w:rsidR="00536386">
              <w:t xml:space="preserve">other studies (other than </w:t>
            </w:r>
            <w:r w:rsidR="003B6F79">
              <w:t>L</w:t>
            </w:r>
            <w:r w:rsidR="00536386">
              <w:t xml:space="preserve">arge </w:t>
            </w:r>
            <w:r w:rsidR="003B6F79">
              <w:t>L</w:t>
            </w:r>
            <w:r w:rsidR="00536386">
              <w:t xml:space="preserve">oad </w:t>
            </w:r>
            <w:r w:rsidR="003B6F79">
              <w:t>I</w:t>
            </w:r>
            <w:r w:rsidR="00536386">
              <w:t xml:space="preserve">nterconnection </w:t>
            </w:r>
            <w:r w:rsidR="003B6F79">
              <w:t>S</w:t>
            </w:r>
            <w:r w:rsidR="00536386">
              <w:t>tudies)</w:t>
            </w:r>
            <w:r w:rsidR="00B46FAF">
              <w:t xml:space="preserve"> until 1/1/2028.</w:t>
            </w:r>
            <w:r w:rsidR="0076236C">
              <w:t xml:space="preserve"> </w:t>
            </w:r>
          </w:p>
          <w:p w14:paraId="0515C53F" w14:textId="532B6324" w:rsidR="0021054E" w:rsidRDefault="0022768B" w:rsidP="00A765CC">
            <w:r>
              <w:t>Mary Berkley (AEP)</w:t>
            </w:r>
            <w:r w:rsidR="00037898">
              <w:t xml:space="preserve"> – </w:t>
            </w:r>
            <w:r w:rsidR="0021054E">
              <w:t>What</w:t>
            </w:r>
            <w:r w:rsidR="00037898">
              <w:t xml:space="preserve"> are</w:t>
            </w:r>
            <w:r w:rsidR="0021054E">
              <w:t xml:space="preserve"> ERCOT’s thought in terms of addressing violations for </w:t>
            </w:r>
            <w:r w:rsidR="002F4CC1">
              <w:t>facilities</w:t>
            </w:r>
            <w:r w:rsidR="0021054E">
              <w:t xml:space="preserve"> which change their protections settings without notification to the transmission provider? </w:t>
            </w:r>
            <w:r w:rsidR="00037898">
              <w:t>I.e. they c</w:t>
            </w:r>
            <w:r w:rsidR="0021054E">
              <w:t>rossed a threshold without the benefit of interconnection study.</w:t>
            </w:r>
          </w:p>
          <w:p w14:paraId="6B128AAD" w14:textId="67D767E8" w:rsidR="0021054E" w:rsidRDefault="00037898" w:rsidP="00A765CC">
            <w:r>
              <w:t xml:space="preserve">ERCOT - </w:t>
            </w:r>
            <w:r w:rsidR="0021054E">
              <w:t xml:space="preserve">With limited experiences so far, it’s not that </w:t>
            </w:r>
            <w:r>
              <w:t>the loads</w:t>
            </w:r>
            <w:r w:rsidR="0021054E">
              <w:t xml:space="preserve"> are changing the protection settings, but the desired/expected behavior is not matching up to real behavior. This is a legitimate issue that needs to be resolved. It may be outside the scope of PGRR 122 but perhaps need requirements on the loads themselves – </w:t>
            </w:r>
            <w:r>
              <w:t xml:space="preserve">ERCOT had </w:t>
            </w:r>
            <w:r w:rsidR="0021054E">
              <w:t>proposed at one point but not there today.</w:t>
            </w:r>
          </w:p>
          <w:p w14:paraId="6AFFA662" w14:textId="5844B6A9" w:rsidR="00667A16" w:rsidRDefault="002F4CC1" w:rsidP="00A765CC">
            <w:r>
              <w:t xml:space="preserve">Mary – </w:t>
            </w:r>
            <w:r w:rsidR="006E7458">
              <w:t>These</w:t>
            </w:r>
            <w:r w:rsidR="00037898">
              <w:t xml:space="preserve"> </w:t>
            </w:r>
            <w:r>
              <w:t>discussions are worth having upfront</w:t>
            </w:r>
            <w:r w:rsidR="007E4362">
              <w:t>. There could be situ</w:t>
            </w:r>
            <w:r w:rsidR="00667A16">
              <w:t>ation</w:t>
            </w:r>
            <w:r w:rsidR="007E4362">
              <w:t>s</w:t>
            </w:r>
            <w:r w:rsidR="00667A16">
              <w:t xml:space="preserve"> where a customer has changed</w:t>
            </w:r>
            <w:r w:rsidR="000E005A">
              <w:t xml:space="preserve"> so that</w:t>
            </w:r>
            <w:r w:rsidR="007E4362">
              <w:t xml:space="preserve"> it now exceeds the</w:t>
            </w:r>
            <w:r w:rsidR="000E005A">
              <w:t xml:space="preserve"> threshold</w:t>
            </w:r>
            <w:r w:rsidR="00D058AD">
              <w:t xml:space="preserve"> criteria</w:t>
            </w:r>
            <w:r w:rsidR="00515007">
              <w:t>. What would be the timeframe to address prior to 2028 with proposed gray box?</w:t>
            </w:r>
          </w:p>
          <w:p w14:paraId="48BFF232" w14:textId="4C926A68" w:rsidR="00515007" w:rsidRDefault="00D058AD" w:rsidP="00A765CC">
            <w:r>
              <w:t xml:space="preserve">ERCOT - </w:t>
            </w:r>
            <w:r w:rsidR="00515007">
              <w:t xml:space="preserve">Annual planning studies look at changes to the system. This is yet another one of those changes on the system. </w:t>
            </w:r>
            <w:r>
              <w:t>Would ne</w:t>
            </w:r>
            <w:r w:rsidR="00515007">
              <w:t>ed to address criteria violations that come out of it. TPL studies that would be identified as corrective action plans brought to RPG.</w:t>
            </w:r>
          </w:p>
          <w:p w14:paraId="5D55B700" w14:textId="69211026" w:rsidR="00B07705" w:rsidRDefault="00B07705" w:rsidP="00A765CC">
            <w:r>
              <w:t>Evan Neel (</w:t>
            </w:r>
            <w:proofErr w:type="spellStart"/>
            <w:r>
              <w:t>Lancium</w:t>
            </w:r>
            <w:proofErr w:type="spellEnd"/>
            <w:r>
              <w:t xml:space="preserve">) – </w:t>
            </w:r>
            <w:r w:rsidR="005221D4">
              <w:t>Will ERCOT be r</w:t>
            </w:r>
            <w:r>
              <w:t xml:space="preserve">eplacing </w:t>
            </w:r>
            <w:r w:rsidR="005221D4">
              <w:t xml:space="preserve">the </w:t>
            </w:r>
            <w:r>
              <w:t>1 GW criteria in the future?</w:t>
            </w:r>
          </w:p>
          <w:p w14:paraId="4EC7ED1B" w14:textId="4476B1FF" w:rsidR="00B07705" w:rsidRDefault="00B07705" w:rsidP="00A765CC">
            <w:r>
              <w:t>ERCOT –Size of load you can lose is a physical limitation on the system.</w:t>
            </w:r>
            <w:r w:rsidR="004F6DD4">
              <w:t xml:space="preserve"> </w:t>
            </w:r>
            <w:r w:rsidR="00AA7DCB">
              <w:t>Some faults even with ride-through requirements would need to maintain frequency/stability in those situations.</w:t>
            </w:r>
          </w:p>
          <w:p w14:paraId="2D6921E0" w14:textId="00BC2794" w:rsidR="00AA7DCB" w:rsidRDefault="00AA7DCB" w:rsidP="00A765CC">
            <w:r>
              <w:t xml:space="preserve">Evan – </w:t>
            </w:r>
            <w:r w:rsidR="005221D4">
              <w:t>W</w:t>
            </w:r>
            <w:r>
              <w:t xml:space="preserve">hat studies does this apply to with an immediate effect? All new interconnection requests? Or some tranche of </w:t>
            </w:r>
            <w:r w:rsidR="00D965BA">
              <w:t>existing large loads that are being studied?</w:t>
            </w:r>
          </w:p>
          <w:p w14:paraId="54DDE0CF" w14:textId="163ACC9E" w:rsidR="00D965BA" w:rsidRDefault="00D965BA" w:rsidP="00A765CC">
            <w:r>
              <w:t>Agee</w:t>
            </w:r>
            <w:r w:rsidR="006E7458">
              <w:t xml:space="preserve"> Springer (ERCOT) </w:t>
            </w:r>
            <w:r w:rsidR="00057904">
              <w:t>–</w:t>
            </w:r>
            <w:r>
              <w:t xml:space="preserve"> </w:t>
            </w:r>
            <w:r w:rsidR="008F35FE">
              <w:t>We would need to work out</w:t>
            </w:r>
            <w:r>
              <w:t xml:space="preserve"> an implementation date </w:t>
            </w:r>
            <w:r w:rsidR="008F35FE">
              <w:t>to</w:t>
            </w:r>
            <w:r>
              <w:t xml:space="preserve"> encompass any studies that hadn’t been </w:t>
            </w:r>
            <w:r w:rsidR="008F35FE">
              <w:t>completed before the effective date</w:t>
            </w:r>
            <w:r w:rsidR="000C3E15">
              <w:t xml:space="preserve">. </w:t>
            </w:r>
            <w:r w:rsidR="006E7458">
              <w:t>Also c</w:t>
            </w:r>
            <w:r w:rsidR="000C3E15">
              <w:t xml:space="preserve">larified that </w:t>
            </w:r>
            <w:r w:rsidR="006E7458">
              <w:t>“</w:t>
            </w:r>
            <w:r w:rsidR="000C3E15">
              <w:t>completed</w:t>
            </w:r>
            <w:r w:rsidR="006E7458">
              <w:t>”</w:t>
            </w:r>
            <w:r w:rsidR="000C3E15">
              <w:t xml:space="preserve"> means approved by ERCOT.</w:t>
            </w:r>
          </w:p>
          <w:p w14:paraId="7C8C54DD" w14:textId="24EA3542" w:rsidR="00D965BA" w:rsidRDefault="00D965BA" w:rsidP="00A765CC">
            <w:r>
              <w:t>Ken Donohoo (</w:t>
            </w:r>
            <w:proofErr w:type="spellStart"/>
            <w:r>
              <w:t>OwnERC</w:t>
            </w:r>
            <w:proofErr w:type="spellEnd"/>
            <w:r>
              <w:t xml:space="preserve"> LLC) </w:t>
            </w:r>
            <w:r w:rsidR="00C2575D">
              <w:t>clarified if</w:t>
            </w:r>
            <w:r w:rsidR="008F35FE">
              <w:t xml:space="preserve"> PGRR122 applies to large load</w:t>
            </w:r>
            <w:r w:rsidR="00C2575D">
              <w:t>s</w:t>
            </w:r>
            <w:r w:rsidR="008F35FE">
              <w:t xml:space="preserve"> above 75 MW</w:t>
            </w:r>
            <w:r w:rsidR="00C2575D">
              <w:t xml:space="preserve"> broadly and thus not restricted only to data centers. ERCOT affirmed.</w:t>
            </w:r>
          </w:p>
          <w:p w14:paraId="6ECE7181" w14:textId="4C22775C" w:rsidR="004F097A" w:rsidRDefault="006F1409" w:rsidP="00A765CC">
            <w:r w:rsidRPr="00C2575D">
              <w:lastRenderedPageBreak/>
              <w:t xml:space="preserve">Martha Henson (Oncor) </w:t>
            </w:r>
            <w:r w:rsidR="00C2575D" w:rsidRPr="00C2575D">
              <w:t>asked about ERCOT’s expected timing to complete the</w:t>
            </w:r>
            <w:r w:rsidR="004F097A" w:rsidRPr="00C2575D">
              <w:t xml:space="preserve"> Frequency Overshoot Study</w:t>
            </w:r>
            <w:r w:rsidR="00C2575D" w:rsidRPr="00C2575D">
              <w:t xml:space="preserve">. </w:t>
            </w:r>
            <w:r w:rsidR="004F097A" w:rsidRPr="00C2575D">
              <w:t>Nitika Mago</w:t>
            </w:r>
            <w:r w:rsidR="00783682" w:rsidRPr="00C2575D">
              <w:t xml:space="preserve"> (ERCOT)</w:t>
            </w:r>
            <w:r w:rsidR="004F097A" w:rsidRPr="00C2575D">
              <w:t xml:space="preserve"> </w:t>
            </w:r>
            <w:r w:rsidR="00C2575D" w:rsidRPr="00C2575D">
              <w:t>expects the study to be completed</w:t>
            </w:r>
            <w:r w:rsidR="004F097A" w:rsidRPr="00C2575D">
              <w:t xml:space="preserve"> </w:t>
            </w:r>
            <w:r w:rsidR="00C2575D" w:rsidRPr="00C2575D">
              <w:t>in early to mid-April.</w:t>
            </w:r>
          </w:p>
          <w:p w14:paraId="499A6A03" w14:textId="6DEA108B" w:rsidR="00BD0663" w:rsidRDefault="006C3684" w:rsidP="00A765CC">
            <w:r>
              <w:t>Raja Kakarla (CenterPoint)</w:t>
            </w:r>
            <w:r w:rsidR="00BD0663">
              <w:t xml:space="preserve"> - I</w:t>
            </w:r>
            <w:r>
              <w:t>f ERCOT is in process of finalizing the study,</w:t>
            </w:r>
            <w:r w:rsidR="00525E4A">
              <w:t xml:space="preserve"> the</w:t>
            </w:r>
            <w:r>
              <w:t xml:space="preserve"> preference would be to table</w:t>
            </w:r>
            <w:r w:rsidR="00A926C4">
              <w:t xml:space="preserve"> at PLWG until the study</w:t>
            </w:r>
            <w:r w:rsidR="00525E4A">
              <w:t xml:space="preserve"> is completed and then ERCOT</w:t>
            </w:r>
            <w:r w:rsidR="00A926C4">
              <w:t xml:space="preserve"> can present both PGRR</w:t>
            </w:r>
            <w:r w:rsidR="00525E4A">
              <w:t>122</w:t>
            </w:r>
            <w:r w:rsidR="00A926C4">
              <w:t xml:space="preserve"> and </w:t>
            </w:r>
            <w:r w:rsidR="00525E4A">
              <w:t>s</w:t>
            </w:r>
            <w:r w:rsidR="00A926C4">
              <w:t>tudy</w:t>
            </w:r>
            <w:r w:rsidR="00525E4A">
              <w:t xml:space="preserve"> results simultaneously</w:t>
            </w:r>
            <w:r w:rsidR="00A926C4">
              <w:t xml:space="preserve"> to ROS</w:t>
            </w:r>
            <w:r w:rsidR="00525E4A">
              <w:t>.</w:t>
            </w:r>
            <w:r w:rsidR="00BD0663">
              <w:t xml:space="preserve"> </w:t>
            </w:r>
          </w:p>
          <w:p w14:paraId="18BCD6E6" w14:textId="478983BB" w:rsidR="00A926C4" w:rsidRDefault="00A926C4" w:rsidP="00A765CC">
            <w:r>
              <w:t>ERCOT</w:t>
            </w:r>
            <w:r w:rsidR="00BD0663">
              <w:t xml:space="preserve"> responded it wants to move the PGRR forward to stop the bleeding.</w:t>
            </w:r>
          </w:p>
          <w:p w14:paraId="3A47E18C" w14:textId="341624A2" w:rsidR="00A926C4" w:rsidRDefault="00A926C4" w:rsidP="00A765CC">
            <w:r>
              <w:t>Harsh Naik (Oncor) – Also wants to table</w:t>
            </w:r>
            <w:r w:rsidR="00643010">
              <w:t xml:space="preserve"> as Raja suggested. Unclear how TSPs will mitigate any issues that the Study uncovers. Are there TSP fixes out there? We don’t know all the issues / all the solutions necessary to mitigate.</w:t>
            </w:r>
            <w:r w:rsidR="00202ABA">
              <w:t xml:space="preserve"> </w:t>
            </w:r>
            <w:r w:rsidR="00BE0710">
              <w:t>Feels as though we are r</w:t>
            </w:r>
            <w:r w:rsidR="00202ABA">
              <w:t>ushing</w:t>
            </w:r>
            <w:r w:rsidR="00BE0710">
              <w:t xml:space="preserve"> the</w:t>
            </w:r>
            <w:r w:rsidR="00202ABA">
              <w:t xml:space="preserve"> PGRR without knowing all the criteria.</w:t>
            </w:r>
          </w:p>
          <w:p w14:paraId="39CD844E" w14:textId="51C65739" w:rsidR="001C0CC7" w:rsidRDefault="001C0CC7" w:rsidP="00A765CC">
            <w:r>
              <w:t>What i</w:t>
            </w:r>
            <w:r w:rsidR="00BE0710">
              <w:t>f</w:t>
            </w:r>
            <w:r>
              <w:t xml:space="preserve"> there is no solution when the gray box language becomes effective? Would ERCOT disconnect non-</w:t>
            </w:r>
            <w:r w:rsidR="00BE0710">
              <w:t>complying</w:t>
            </w:r>
            <w:r>
              <w:t xml:space="preserve"> load?</w:t>
            </w:r>
          </w:p>
          <w:p w14:paraId="13DA7228" w14:textId="53E52B4A" w:rsidR="001C0CC7" w:rsidRDefault="001C0CC7" w:rsidP="00A765CC">
            <w:r>
              <w:t>Jeff - No, ERCOT would not disconnect. Would work on the solutions</w:t>
            </w:r>
            <w:r w:rsidR="008B271E">
              <w:t>.</w:t>
            </w:r>
            <w:r>
              <w:t xml:space="preserve">  Want to give the Market the signal that </w:t>
            </w:r>
            <w:r w:rsidR="00D3147E">
              <w:t>the system has physical limitations.</w:t>
            </w:r>
          </w:p>
          <w:p w14:paraId="1B771FE5" w14:textId="788C3A93" w:rsidR="00D3147E" w:rsidRDefault="008C25A6" w:rsidP="00A765CC">
            <w:r>
              <w:t xml:space="preserve">Kevin Hanson (Invenergy) – </w:t>
            </w:r>
            <w:r w:rsidR="00BE0710">
              <w:t xml:space="preserve">ERCOT expects to have </w:t>
            </w:r>
            <w:r>
              <w:t xml:space="preserve">150 GW load by 2030 – with these limitations, will that load </w:t>
            </w:r>
            <w:r w:rsidR="00BE0710">
              <w:t xml:space="preserve">forecast </w:t>
            </w:r>
            <w:r>
              <w:t>b</w:t>
            </w:r>
            <w:r w:rsidR="00BE0710">
              <w:t>e</w:t>
            </w:r>
            <w:r>
              <w:t xml:space="preserve"> cut substantially?</w:t>
            </w:r>
          </w:p>
          <w:p w14:paraId="2E7A9CEF" w14:textId="4CA7DFC2" w:rsidR="008C25A6" w:rsidRDefault="00BE0710" w:rsidP="00A765CC">
            <w:r>
              <w:t xml:space="preserve">ERCOT - </w:t>
            </w:r>
            <w:r w:rsidR="008C25A6">
              <w:t>If we don’t address, it will be highly unlikely. Need to balance both so that we can serve the most load as reliably as we can. Lot</w:t>
            </w:r>
            <w:r w:rsidR="000126BB">
              <w:t>s</w:t>
            </w:r>
            <w:r w:rsidR="008C25A6">
              <w:t xml:space="preserve"> of load </w:t>
            </w:r>
            <w:r w:rsidR="000126BB">
              <w:t>c</w:t>
            </w:r>
            <w:r w:rsidR="008C25A6">
              <w:t xml:space="preserve">oming and need to address concerns that we </w:t>
            </w:r>
            <w:r>
              <w:t>haven’t</w:t>
            </w:r>
            <w:r w:rsidR="008C25A6">
              <w:t xml:space="preserve"> seen before.</w:t>
            </w:r>
          </w:p>
          <w:p w14:paraId="7E073028" w14:textId="27676E19" w:rsidR="00DB5442" w:rsidRDefault="00BE0710" w:rsidP="00A765CC">
            <w:r>
              <w:t xml:space="preserve">Kevin - </w:t>
            </w:r>
            <w:r w:rsidR="00DB5442">
              <w:t>Will this impact Permian oil and gas?</w:t>
            </w:r>
          </w:p>
          <w:p w14:paraId="547C93F6" w14:textId="5F40026C" w:rsidR="00DB5442" w:rsidRDefault="00BE0710" w:rsidP="00A765CC">
            <w:r>
              <w:t xml:space="preserve">ERCOT - </w:t>
            </w:r>
            <w:r w:rsidR="00DB5442">
              <w:t>Generally, oil and gas loads are not 75 MW</w:t>
            </w:r>
            <w:r w:rsidR="000126BB">
              <w:t>.</w:t>
            </w:r>
          </w:p>
          <w:p w14:paraId="662DDE95" w14:textId="43A2ED14" w:rsidR="00DB5442" w:rsidRDefault="00DB5442" w:rsidP="00A765CC">
            <w:r>
              <w:t xml:space="preserve">Shane Thomas (Shell) </w:t>
            </w:r>
            <w:r w:rsidR="008E150D">
              <w:t>–</w:t>
            </w:r>
            <w:r>
              <w:t xml:space="preserve"> </w:t>
            </w:r>
            <w:r w:rsidR="00BE0710">
              <w:t>It w</w:t>
            </w:r>
            <w:r w:rsidR="008E150D">
              <w:t xml:space="preserve">ould be helpful to help people plan around load growth </w:t>
            </w:r>
            <w:proofErr w:type="gramStart"/>
            <w:r w:rsidR="008E150D">
              <w:t>in light of</w:t>
            </w:r>
            <w:proofErr w:type="gramEnd"/>
            <w:r w:rsidR="008E150D">
              <w:t xml:space="preserve"> this limit to see the large load chunked into buckets of size if it can be done without exposing </w:t>
            </w:r>
            <w:r w:rsidR="007F25D5">
              <w:t>protected customer information.</w:t>
            </w:r>
          </w:p>
          <w:p w14:paraId="2161D99D" w14:textId="6BE49D58" w:rsidR="007F25D5" w:rsidRDefault="007F25D5" w:rsidP="00A765CC">
            <w:r>
              <w:t>Agee Springer</w:t>
            </w:r>
            <w:r w:rsidR="00BE0710">
              <w:t xml:space="preserve"> (ERCOT)</w:t>
            </w:r>
            <w:r>
              <w:t xml:space="preserve"> – </w:t>
            </w:r>
            <w:r w:rsidR="00BE0710">
              <w:t>N</w:t>
            </w:r>
            <w:r>
              <w:t>ot sure</w:t>
            </w:r>
            <w:r w:rsidR="00BE0710">
              <w:t xml:space="preserve"> ERCOT</w:t>
            </w:r>
            <w:r>
              <w:t xml:space="preserve"> can commit to breaking it down</w:t>
            </w:r>
            <w:r w:rsidR="00302CC0">
              <w:t>. Will look and see how granular can break it down</w:t>
            </w:r>
            <w:r w:rsidR="00BE0710">
              <w:t xml:space="preserve"> to</w:t>
            </w:r>
            <w:r w:rsidR="00302CC0">
              <w:t xml:space="preserve"> bring to TAC.</w:t>
            </w:r>
          </w:p>
          <w:p w14:paraId="0E957017" w14:textId="6FDBF424" w:rsidR="00302CC0" w:rsidRDefault="00302CC0" w:rsidP="00A765CC">
            <w:r>
              <w:t>Harsh Naik</w:t>
            </w:r>
            <w:r w:rsidR="00A0305B">
              <w:t xml:space="preserve"> (Oncor)</w:t>
            </w:r>
            <w:r>
              <w:t xml:space="preserve"> – Yes, would impact oil and gas. If the</w:t>
            </w:r>
            <w:r w:rsidR="00495337">
              <w:t xml:space="preserve">re is a constraint in an area, cannot add more load. </w:t>
            </w:r>
            <w:r w:rsidR="007F18D2">
              <w:t>Might not impact immediately, but eventually even a small addition of 10 MW would be prevented – thus impacted.</w:t>
            </w:r>
          </w:p>
          <w:p w14:paraId="13F6FCB5" w14:textId="67437C03" w:rsidR="00CF6CBA" w:rsidRDefault="004B65F1" w:rsidP="00A765CC">
            <w:r>
              <w:t>Martha</w:t>
            </w:r>
            <w:r w:rsidR="00790B92">
              <w:t xml:space="preserve"> Henson (Oncor)</w:t>
            </w:r>
            <w:r>
              <w:t xml:space="preserve"> – Oncor finds it difficult to state agreement with a set of comments posted as a draft. </w:t>
            </w:r>
            <w:r w:rsidR="00790B92">
              <w:t>W</w:t>
            </w:r>
            <w:r>
              <w:t>ould also like to see the numbers from the Study results.</w:t>
            </w:r>
          </w:p>
          <w:p w14:paraId="0E9DF48B" w14:textId="257BD11A" w:rsidR="004B65F1" w:rsidRDefault="00790B92" w:rsidP="00A765CC">
            <w:r>
              <w:lastRenderedPageBreak/>
              <w:t>ERCOT stated it would continue to review draft comments at the April DWG meeting.</w:t>
            </w:r>
          </w:p>
          <w:p w14:paraId="5F31332F" w14:textId="22733651" w:rsidR="00240829" w:rsidRPr="00A765CC" w:rsidRDefault="00240829" w:rsidP="00A765CC">
            <w:pPr>
              <w:rPr>
                <w:b/>
                <w:bCs/>
              </w:rPr>
            </w:pPr>
            <w:r w:rsidRPr="006E5CCB">
              <w:rPr>
                <w:b/>
                <w:bCs/>
                <w:i/>
                <w:iCs/>
              </w:rPr>
              <w:t>Action</w:t>
            </w:r>
            <w:r>
              <w:rPr>
                <w:b/>
                <w:bCs/>
                <w:i/>
                <w:iCs/>
              </w:rPr>
              <w:t xml:space="preserve"> Taken</w:t>
            </w:r>
            <w:r w:rsidRPr="006E5CCB">
              <w:rPr>
                <w:b/>
                <w:bCs/>
                <w:i/>
                <w:iCs/>
              </w:rPr>
              <w:t xml:space="preserve">: </w:t>
            </w:r>
            <w:r w:rsidRPr="00E65E91">
              <w:rPr>
                <w:b/>
                <w:bCs/>
                <w:i/>
                <w:iCs/>
              </w:rPr>
              <w:t xml:space="preserve">Tabled PGRR122 to </w:t>
            </w:r>
            <w:r w:rsidR="00E65E91" w:rsidRPr="00E65E91">
              <w:rPr>
                <w:b/>
                <w:bCs/>
                <w:i/>
                <w:iCs/>
              </w:rPr>
              <w:t>April</w:t>
            </w:r>
            <w:r w:rsidRPr="00E65E91">
              <w:rPr>
                <w:b/>
                <w:bCs/>
                <w:i/>
                <w:iCs/>
              </w:rPr>
              <w:t xml:space="preserve"> PLWG meeting.</w:t>
            </w:r>
          </w:p>
        </w:tc>
        <w:tc>
          <w:tcPr>
            <w:tcW w:w="874" w:type="pct"/>
          </w:tcPr>
          <w:p w14:paraId="7D856BC3" w14:textId="2B8B2B2D" w:rsidR="00240829" w:rsidRDefault="00240829" w:rsidP="00A765CC">
            <w:pPr>
              <w:rPr>
                <w:b/>
                <w:bCs/>
              </w:rPr>
            </w:pPr>
            <w:r>
              <w:rPr>
                <w:b/>
                <w:bCs/>
              </w:rPr>
              <w:lastRenderedPageBreak/>
              <w:t>ERCOT</w:t>
            </w:r>
          </w:p>
        </w:tc>
      </w:tr>
      <w:tr w:rsidR="00695351" w:rsidRPr="00A765CC" w14:paraId="36BDF012" w14:textId="77777777" w:rsidTr="00695351">
        <w:trPr>
          <w:trHeight w:val="990"/>
        </w:trPr>
        <w:tc>
          <w:tcPr>
            <w:tcW w:w="291" w:type="pct"/>
          </w:tcPr>
          <w:p w14:paraId="3DAB29B2" w14:textId="77777777" w:rsidR="00695351" w:rsidRPr="00F704FD" w:rsidRDefault="00695351" w:rsidP="004A695B">
            <w:pPr>
              <w:rPr>
                <w:b/>
                <w:bCs/>
              </w:rPr>
            </w:pPr>
            <w:r>
              <w:rPr>
                <w:b/>
                <w:bCs/>
              </w:rPr>
              <w:lastRenderedPageBreak/>
              <w:t>7</w:t>
            </w:r>
            <w:r w:rsidRPr="00A765CC">
              <w:rPr>
                <w:b/>
                <w:bCs/>
              </w:rPr>
              <w:t>.</w:t>
            </w:r>
          </w:p>
        </w:tc>
        <w:tc>
          <w:tcPr>
            <w:tcW w:w="3835" w:type="pct"/>
            <w:tcBorders>
              <w:right w:val="nil"/>
            </w:tcBorders>
            <w:tcMar>
              <w:top w:w="15" w:type="dxa"/>
              <w:left w:w="15" w:type="dxa"/>
              <w:bottom w:w="15" w:type="dxa"/>
              <w:right w:w="0" w:type="dxa"/>
            </w:tcMar>
          </w:tcPr>
          <w:p w14:paraId="6A6B7910" w14:textId="77777777" w:rsidR="00695351" w:rsidRDefault="00695351" w:rsidP="00695351">
            <w:pPr>
              <w:pStyle w:val="ListParagraph"/>
              <w:ind w:hanging="360"/>
              <w:rPr>
                <w:b/>
                <w:bCs/>
              </w:rPr>
            </w:pPr>
            <w:r w:rsidRPr="00A765CC">
              <w:rPr>
                <w:b/>
                <w:bCs/>
              </w:rPr>
              <w:t>NPRR 1272 – Voltage Support at Private Use Networks</w:t>
            </w:r>
          </w:p>
          <w:p w14:paraId="38104E21" w14:textId="77777777" w:rsidR="00695351" w:rsidRPr="00695351" w:rsidRDefault="00695351" w:rsidP="0024273C">
            <w:pPr>
              <w:pStyle w:val="ListParagraph"/>
              <w:spacing w:before="120"/>
              <w:ind w:left="360"/>
              <w:contextualSpacing w:val="0"/>
            </w:pPr>
            <w:r w:rsidRPr="00695351">
              <w:t>Bill Blevins (ERCOT) reviewed posted presentation. Bill believes that ERCOT is currently following the protocols in this matter. Bill provided some background on the development of the current protocol language and walked through two examples to show the diverse range of metering configurations. Key policy decisions pertaining to VSS were made during PRR830 development, which formalized the “rectangle requirement” of reactive power capability at the point of interconnection (POI).</w:t>
            </w:r>
          </w:p>
          <w:p w14:paraId="6CEBB44D" w14:textId="77777777" w:rsidR="00A0305B" w:rsidRDefault="00695351" w:rsidP="0024273C">
            <w:pPr>
              <w:pStyle w:val="ListParagraph"/>
              <w:spacing w:before="120"/>
              <w:ind w:left="360"/>
              <w:contextualSpacing w:val="0"/>
            </w:pPr>
            <w:r w:rsidRPr="00695351">
              <w:t xml:space="preserve">Maribel Khayat (CenterPoint) asked for clarification on “net maximum power to be supplied” – is this POIB? </w:t>
            </w:r>
          </w:p>
          <w:p w14:paraId="6492105E" w14:textId="6431FE0A" w:rsidR="00695351" w:rsidRPr="00695351" w:rsidRDefault="00695351" w:rsidP="0024273C">
            <w:pPr>
              <w:pStyle w:val="ListParagraph"/>
              <w:spacing w:before="120"/>
              <w:ind w:left="360"/>
              <w:contextualSpacing w:val="0"/>
            </w:pPr>
            <w:r w:rsidRPr="00695351">
              <w:t xml:space="preserve">Bill – No, HSL should be at the POI. </w:t>
            </w:r>
          </w:p>
          <w:p w14:paraId="684F157B" w14:textId="77777777" w:rsidR="00A0305B" w:rsidRDefault="00695351" w:rsidP="0024273C">
            <w:pPr>
              <w:pStyle w:val="ListParagraph"/>
              <w:spacing w:before="120"/>
              <w:ind w:left="360"/>
              <w:contextualSpacing w:val="0"/>
            </w:pPr>
            <w:r w:rsidRPr="00695351">
              <w:t xml:space="preserve">Mina Turner (AEP) – Is the assumption for co-gen situation that the load is off when generator is off? </w:t>
            </w:r>
          </w:p>
          <w:p w14:paraId="528AD1D2" w14:textId="2970D2AE" w:rsidR="00695351" w:rsidRPr="00695351" w:rsidRDefault="00695351" w:rsidP="0024273C">
            <w:pPr>
              <w:pStyle w:val="ListParagraph"/>
              <w:spacing w:before="120"/>
              <w:ind w:left="360"/>
              <w:contextualSpacing w:val="0"/>
            </w:pPr>
            <w:r w:rsidRPr="00695351">
              <w:t>Bill – Yes, co-gen would always have a reduced HSL. Now we have the situation where the data center may run independently of the generator.</w:t>
            </w:r>
          </w:p>
          <w:p w14:paraId="10251011" w14:textId="77777777" w:rsidR="00A0305B" w:rsidRDefault="00695351" w:rsidP="0024273C">
            <w:pPr>
              <w:pStyle w:val="ListParagraph"/>
              <w:spacing w:before="120"/>
              <w:ind w:left="360"/>
              <w:contextualSpacing w:val="0"/>
            </w:pPr>
            <w:r w:rsidRPr="00695351">
              <w:t xml:space="preserve">David Withrow (AEP) – Would NPRR1272 change ERCOT’s understanding of the current interpretation of protocol language? </w:t>
            </w:r>
          </w:p>
          <w:p w14:paraId="32A03FCE" w14:textId="3CF7F955" w:rsidR="00695351" w:rsidRPr="00695351" w:rsidRDefault="00695351" w:rsidP="0024273C">
            <w:pPr>
              <w:pStyle w:val="ListParagraph"/>
              <w:spacing w:before="120"/>
              <w:ind w:left="360"/>
              <w:contextualSpacing w:val="0"/>
            </w:pPr>
            <w:r w:rsidRPr="00695351">
              <w:t>Bill – Yes. What would be new would be load making net reactive behind the POI. There would also be a cost implication.</w:t>
            </w:r>
          </w:p>
          <w:p w14:paraId="48BC857F" w14:textId="77777777" w:rsidR="00695351" w:rsidRPr="00695351" w:rsidRDefault="00695351" w:rsidP="0024273C">
            <w:pPr>
              <w:pStyle w:val="ListParagraph"/>
              <w:spacing w:before="120"/>
              <w:ind w:left="360"/>
              <w:contextualSpacing w:val="0"/>
            </w:pPr>
            <w:r w:rsidRPr="00695351">
              <w:t>Melissa Trevino (Occidental) – Oxy disagrees with ERCOT’s interpretation. Is there anything specific in the protocols about there being a different measurement for the different situations (examples in presentation)?</w:t>
            </w:r>
          </w:p>
          <w:p w14:paraId="035A33CE" w14:textId="2ECD9601" w:rsidR="00695351" w:rsidRPr="00695351" w:rsidRDefault="00695351" w:rsidP="0024273C">
            <w:pPr>
              <w:pStyle w:val="ListParagraph"/>
              <w:spacing w:before="120"/>
              <w:ind w:left="360"/>
              <w:contextualSpacing w:val="0"/>
            </w:pPr>
            <w:r w:rsidRPr="00695351">
              <w:t>Bill – Not necessarily but plans to continue ERCOT’s interpretation as traditionally practiced unless NPRR1272 goes forward.</w:t>
            </w:r>
          </w:p>
          <w:p w14:paraId="36821112" w14:textId="77777777" w:rsidR="00695351" w:rsidRPr="00695351" w:rsidRDefault="00695351" w:rsidP="0024273C">
            <w:pPr>
              <w:pStyle w:val="ListParagraph"/>
              <w:spacing w:before="120"/>
              <w:ind w:left="360"/>
              <w:contextualSpacing w:val="0"/>
            </w:pPr>
            <w:r w:rsidRPr="00695351">
              <w:t>Trevor Safko (LCRA) – What would be implications to Planning should NPRR1272 move forward? What assumptions would need to be made for the PUN’s behavior?</w:t>
            </w:r>
          </w:p>
          <w:p w14:paraId="36D5B1F6" w14:textId="23DD1895" w:rsidR="00695351" w:rsidRPr="00695351" w:rsidRDefault="00695351" w:rsidP="0024273C">
            <w:pPr>
              <w:pStyle w:val="ListParagraph"/>
              <w:spacing w:before="120"/>
              <w:ind w:left="360"/>
              <w:contextualSpacing w:val="0"/>
            </w:pPr>
            <w:r w:rsidRPr="00695351">
              <w:t>Bill – Need to have discussions with the transmission companies to fully understand implications. May need to include gr</w:t>
            </w:r>
            <w:r w:rsidR="002F73A8">
              <w:t>ay box</w:t>
            </w:r>
            <w:r w:rsidRPr="00695351">
              <w:t xml:space="preserve"> language to allow TSPs time to install field equipment – for example, a generator wouldn’t necessarily install a capacitor to meet reactive capability so </w:t>
            </w:r>
            <w:r w:rsidRPr="00695351">
              <w:lastRenderedPageBreak/>
              <w:t>this may end up being installed by the transmission company. This creates another question - if the capacitor is not there and the load is not online, how much voltage support can the operator request? This would require adjustments to the planning processes.</w:t>
            </w:r>
          </w:p>
          <w:p w14:paraId="3F18FCB7" w14:textId="77777777" w:rsidR="00695351" w:rsidRPr="00695351" w:rsidRDefault="00695351" w:rsidP="0024273C">
            <w:pPr>
              <w:pStyle w:val="ListParagraph"/>
              <w:spacing w:before="120"/>
              <w:ind w:left="360"/>
              <w:contextualSpacing w:val="0"/>
            </w:pPr>
            <w:r w:rsidRPr="00695351">
              <w:t xml:space="preserve">ERCOT plans to continue conversations with TSPs and Occidental on this issue. </w:t>
            </w:r>
          </w:p>
          <w:p w14:paraId="719D9E6B" w14:textId="0DCA8136" w:rsidR="00695351" w:rsidRPr="00F704FD" w:rsidRDefault="00695351" w:rsidP="001A0DA0">
            <w:pPr>
              <w:pStyle w:val="ListParagraph"/>
              <w:spacing w:before="120"/>
              <w:ind w:hanging="360"/>
              <w:contextualSpacing w:val="0"/>
              <w:rPr>
                <w:b/>
                <w:bCs/>
              </w:rPr>
            </w:pPr>
            <w:r w:rsidRPr="00F704FD">
              <w:rPr>
                <w:b/>
                <w:bCs/>
              </w:rPr>
              <w:t>Action Taken: Tabled NPRR1272 until April PLWG meeting.</w:t>
            </w:r>
          </w:p>
        </w:tc>
        <w:tc>
          <w:tcPr>
            <w:tcW w:w="874" w:type="pct"/>
          </w:tcPr>
          <w:p w14:paraId="46D3645C" w14:textId="77777777" w:rsidR="00695351" w:rsidRPr="00F704FD" w:rsidRDefault="00695351" w:rsidP="004A695B">
            <w:pPr>
              <w:rPr>
                <w:b/>
                <w:bCs/>
              </w:rPr>
            </w:pPr>
            <w:r>
              <w:rPr>
                <w:b/>
                <w:bCs/>
              </w:rPr>
              <w:lastRenderedPageBreak/>
              <w:t>PLWG</w:t>
            </w:r>
          </w:p>
        </w:tc>
      </w:tr>
      <w:tr w:rsidR="0056135A" w:rsidRPr="00A765CC" w14:paraId="775359B9" w14:textId="77777777" w:rsidTr="0056135A">
        <w:trPr>
          <w:trHeight w:val="645"/>
        </w:trPr>
        <w:tc>
          <w:tcPr>
            <w:tcW w:w="291" w:type="pct"/>
            <w:hideMark/>
          </w:tcPr>
          <w:p w14:paraId="06707E77" w14:textId="77777777" w:rsidR="0056135A" w:rsidRPr="00A765CC" w:rsidRDefault="0056135A" w:rsidP="00A765CC">
            <w:r w:rsidRPr="00A765CC">
              <w:rPr>
                <w:b/>
                <w:bCs/>
              </w:rPr>
              <w:t>8.</w:t>
            </w:r>
          </w:p>
        </w:tc>
        <w:tc>
          <w:tcPr>
            <w:tcW w:w="3835" w:type="pct"/>
            <w:tcBorders>
              <w:right w:val="nil"/>
            </w:tcBorders>
            <w:tcMar>
              <w:top w:w="15" w:type="dxa"/>
              <w:left w:w="15" w:type="dxa"/>
              <w:bottom w:w="15" w:type="dxa"/>
              <w:right w:w="0" w:type="dxa"/>
            </w:tcMar>
            <w:hideMark/>
          </w:tcPr>
          <w:p w14:paraId="2D95913B" w14:textId="2321FA7F" w:rsidR="0056135A" w:rsidRDefault="00240829" w:rsidP="00A765CC">
            <w:pPr>
              <w:rPr>
                <w:b/>
                <w:bCs/>
              </w:rPr>
            </w:pPr>
            <w:r>
              <w:rPr>
                <w:b/>
                <w:bCs/>
              </w:rPr>
              <w:t>PGRR 124 – ESR Maintenance Exception to Modification</w:t>
            </w:r>
          </w:p>
          <w:p w14:paraId="3362EAF7" w14:textId="45D4E5E8" w:rsidR="0056135A" w:rsidRDefault="00A260CC" w:rsidP="00A765CC">
            <w:r>
              <w:t>Tes</w:t>
            </w:r>
            <w:r w:rsidR="00997698">
              <w:t>la</w:t>
            </w:r>
            <w:r w:rsidR="002E0E68">
              <w:t xml:space="preserve"> is preparing a presentation to deliver at the next PLWG meeting.</w:t>
            </w:r>
            <w:r w:rsidR="0044245C">
              <w:t xml:space="preserve"> Discussion not taken up at this time.</w:t>
            </w:r>
          </w:p>
          <w:p w14:paraId="24B05946" w14:textId="53323B3B" w:rsidR="0056135A" w:rsidRPr="00A765CC" w:rsidRDefault="009D2313" w:rsidP="00A765CC">
            <w:pPr>
              <w:rPr>
                <w:b/>
                <w:bCs/>
                <w:i/>
                <w:iCs/>
              </w:rPr>
            </w:pPr>
            <w:r>
              <w:rPr>
                <w:b/>
                <w:bCs/>
                <w:i/>
                <w:iCs/>
              </w:rPr>
              <w:t>Action: Tabled until April PLWG meeting</w:t>
            </w:r>
            <w:r w:rsidR="00954ABB" w:rsidRPr="00954ABB">
              <w:rPr>
                <w:b/>
                <w:bCs/>
                <w:i/>
                <w:iCs/>
              </w:rPr>
              <w:t>.</w:t>
            </w:r>
          </w:p>
        </w:tc>
        <w:tc>
          <w:tcPr>
            <w:tcW w:w="874" w:type="pct"/>
            <w:hideMark/>
          </w:tcPr>
          <w:p w14:paraId="1C5D9531" w14:textId="3DF89BAE" w:rsidR="0056135A" w:rsidRPr="00A765CC" w:rsidRDefault="00240829" w:rsidP="00A765CC">
            <w:r>
              <w:rPr>
                <w:b/>
                <w:bCs/>
              </w:rPr>
              <w:t>Tesla</w:t>
            </w:r>
          </w:p>
        </w:tc>
      </w:tr>
      <w:tr w:rsidR="0056135A" w:rsidRPr="00A765CC" w14:paraId="766C8DD2" w14:textId="77777777" w:rsidTr="0056135A">
        <w:trPr>
          <w:trHeight w:val="630"/>
        </w:trPr>
        <w:tc>
          <w:tcPr>
            <w:tcW w:w="291" w:type="pct"/>
            <w:hideMark/>
          </w:tcPr>
          <w:p w14:paraId="53A6027F" w14:textId="77777777" w:rsidR="0056135A" w:rsidRPr="00A765CC" w:rsidRDefault="0056135A" w:rsidP="00A765CC">
            <w:r w:rsidRPr="00A765CC">
              <w:rPr>
                <w:b/>
                <w:bCs/>
              </w:rPr>
              <w:t>9.</w:t>
            </w:r>
          </w:p>
        </w:tc>
        <w:tc>
          <w:tcPr>
            <w:tcW w:w="3835" w:type="pct"/>
            <w:tcBorders>
              <w:right w:val="nil"/>
            </w:tcBorders>
            <w:tcMar>
              <w:top w:w="15" w:type="dxa"/>
              <w:left w:w="15" w:type="dxa"/>
              <w:bottom w:w="15" w:type="dxa"/>
              <w:right w:w="0" w:type="dxa"/>
            </w:tcMar>
            <w:hideMark/>
          </w:tcPr>
          <w:p w14:paraId="22BA9862" w14:textId="77777777" w:rsidR="0056135A" w:rsidRPr="00A765CC" w:rsidRDefault="0056135A" w:rsidP="00A765CC">
            <w:r w:rsidRPr="00A765CC">
              <w:rPr>
                <w:b/>
                <w:bCs/>
              </w:rPr>
              <w:t>NERC Topics Roundtable:</w:t>
            </w:r>
          </w:p>
        </w:tc>
        <w:tc>
          <w:tcPr>
            <w:tcW w:w="874" w:type="pct"/>
            <w:hideMark/>
          </w:tcPr>
          <w:p w14:paraId="6B749DB3" w14:textId="77777777" w:rsidR="0056135A" w:rsidRPr="00A765CC" w:rsidRDefault="0056135A" w:rsidP="00A765CC">
            <w:r w:rsidRPr="00A765CC">
              <w:rPr>
                <w:b/>
                <w:bCs/>
              </w:rPr>
              <w:t>Mina Turner</w:t>
            </w:r>
          </w:p>
        </w:tc>
      </w:tr>
      <w:tr w:rsidR="0056135A" w:rsidRPr="00A765CC" w14:paraId="79D420D4" w14:textId="77777777" w:rsidTr="0056135A">
        <w:trPr>
          <w:trHeight w:val="630"/>
        </w:trPr>
        <w:tc>
          <w:tcPr>
            <w:tcW w:w="291" w:type="pct"/>
            <w:hideMark/>
          </w:tcPr>
          <w:p w14:paraId="3D89BA09" w14:textId="77777777" w:rsidR="0056135A" w:rsidRPr="00A765CC" w:rsidRDefault="0056135A" w:rsidP="00A765CC"/>
        </w:tc>
        <w:tc>
          <w:tcPr>
            <w:tcW w:w="3835" w:type="pct"/>
            <w:tcBorders>
              <w:right w:val="nil"/>
            </w:tcBorders>
            <w:tcMar>
              <w:top w:w="15" w:type="dxa"/>
              <w:left w:w="15" w:type="dxa"/>
              <w:bottom w:w="15" w:type="dxa"/>
              <w:right w:w="0" w:type="dxa"/>
            </w:tcMar>
            <w:hideMark/>
          </w:tcPr>
          <w:p w14:paraId="7E5CDC64" w14:textId="77777777" w:rsidR="0056135A" w:rsidRPr="004F5AFB" w:rsidRDefault="0056135A" w:rsidP="00A765CC">
            <w:pPr>
              <w:numPr>
                <w:ilvl w:val="0"/>
                <w:numId w:val="6"/>
              </w:numPr>
            </w:pPr>
            <w:r w:rsidRPr="00A765CC">
              <w:rPr>
                <w:b/>
                <w:bCs/>
              </w:rPr>
              <w:t>CIP-014-4 – Ballot in early March</w:t>
            </w:r>
          </w:p>
          <w:p w14:paraId="67B2B1C6" w14:textId="318A1AE9" w:rsidR="0056135A" w:rsidRPr="00A765CC" w:rsidRDefault="0056135A" w:rsidP="004F5AFB">
            <w:pPr>
              <w:ind w:left="720"/>
            </w:pPr>
            <w:r w:rsidRPr="004F5AFB">
              <w:t xml:space="preserve">Mina </w:t>
            </w:r>
            <w:r w:rsidR="008C5CC4">
              <w:t>Turner (AEP) provided a reminder that</w:t>
            </w:r>
            <w:r w:rsidRPr="004F5AFB">
              <w:t xml:space="preserve"> Ballot #3 </w:t>
            </w:r>
            <w:r w:rsidR="008C5CC4">
              <w:t xml:space="preserve">will be </w:t>
            </w:r>
            <w:r w:rsidRPr="004F5AFB">
              <w:t>going out in early March</w:t>
            </w:r>
            <w:r w:rsidR="008C5CC4">
              <w:t>.</w:t>
            </w:r>
          </w:p>
        </w:tc>
        <w:tc>
          <w:tcPr>
            <w:tcW w:w="874" w:type="pct"/>
            <w:hideMark/>
          </w:tcPr>
          <w:p w14:paraId="4D5AF636" w14:textId="77777777" w:rsidR="0056135A" w:rsidRPr="00A765CC" w:rsidRDefault="0056135A" w:rsidP="00A765CC"/>
        </w:tc>
      </w:tr>
      <w:tr w:rsidR="0056135A" w:rsidRPr="00A765CC" w14:paraId="5C311365" w14:textId="77777777" w:rsidTr="0056135A">
        <w:trPr>
          <w:trHeight w:val="630"/>
        </w:trPr>
        <w:tc>
          <w:tcPr>
            <w:tcW w:w="291" w:type="pct"/>
            <w:hideMark/>
          </w:tcPr>
          <w:p w14:paraId="59FC715B" w14:textId="77777777" w:rsidR="0056135A" w:rsidRPr="00A765CC" w:rsidRDefault="0056135A" w:rsidP="00A765CC">
            <w:r w:rsidRPr="00A765CC">
              <w:rPr>
                <w:b/>
                <w:bCs/>
              </w:rPr>
              <w:t>10.</w:t>
            </w:r>
          </w:p>
        </w:tc>
        <w:tc>
          <w:tcPr>
            <w:tcW w:w="3835" w:type="pct"/>
            <w:tcBorders>
              <w:right w:val="nil"/>
            </w:tcBorders>
            <w:tcMar>
              <w:top w:w="15" w:type="dxa"/>
              <w:left w:w="15" w:type="dxa"/>
              <w:bottom w:w="15" w:type="dxa"/>
              <w:right w:w="0" w:type="dxa"/>
            </w:tcMar>
            <w:hideMark/>
          </w:tcPr>
          <w:p w14:paraId="4DF78FA5" w14:textId="77777777" w:rsidR="0056135A" w:rsidRDefault="0056135A" w:rsidP="00A765CC">
            <w:pPr>
              <w:rPr>
                <w:b/>
                <w:bCs/>
              </w:rPr>
            </w:pPr>
            <w:r w:rsidRPr="00A765CC">
              <w:rPr>
                <w:b/>
                <w:bCs/>
              </w:rPr>
              <w:t>Review Open Action Items</w:t>
            </w:r>
          </w:p>
          <w:p w14:paraId="17954A27" w14:textId="77777777" w:rsidR="00954ABB" w:rsidRDefault="00954ABB" w:rsidP="00A765CC">
            <w:r>
              <w:t>No items reviewed.</w:t>
            </w:r>
          </w:p>
          <w:p w14:paraId="44959224" w14:textId="6DF0DF0D" w:rsidR="000A38F4" w:rsidRPr="00A765CC" w:rsidRDefault="000A38F4" w:rsidP="00A765CC">
            <w:r>
              <w:t>Continued tabling of “Load” vs. “load” redlines.</w:t>
            </w:r>
          </w:p>
        </w:tc>
        <w:tc>
          <w:tcPr>
            <w:tcW w:w="874" w:type="pct"/>
            <w:hideMark/>
          </w:tcPr>
          <w:p w14:paraId="39144000" w14:textId="77777777" w:rsidR="0056135A" w:rsidRPr="00A765CC" w:rsidRDefault="0056135A" w:rsidP="00A765CC">
            <w:r w:rsidRPr="00A765CC">
              <w:rPr>
                <w:b/>
                <w:bCs/>
              </w:rPr>
              <w:t>Chair</w:t>
            </w:r>
          </w:p>
        </w:tc>
      </w:tr>
      <w:tr w:rsidR="0056135A" w:rsidRPr="00A765CC" w14:paraId="7F514BD5" w14:textId="77777777" w:rsidTr="0056135A">
        <w:trPr>
          <w:trHeight w:val="630"/>
        </w:trPr>
        <w:tc>
          <w:tcPr>
            <w:tcW w:w="291" w:type="pct"/>
            <w:hideMark/>
          </w:tcPr>
          <w:p w14:paraId="61C1F80F" w14:textId="77777777" w:rsidR="0056135A" w:rsidRPr="00A765CC" w:rsidRDefault="0056135A" w:rsidP="00A765CC">
            <w:r w:rsidRPr="00A765CC">
              <w:rPr>
                <w:b/>
                <w:bCs/>
              </w:rPr>
              <w:t>11.</w:t>
            </w:r>
          </w:p>
        </w:tc>
        <w:tc>
          <w:tcPr>
            <w:tcW w:w="3835" w:type="pct"/>
            <w:tcBorders>
              <w:right w:val="nil"/>
            </w:tcBorders>
            <w:tcMar>
              <w:top w:w="15" w:type="dxa"/>
              <w:left w:w="15" w:type="dxa"/>
              <w:bottom w:w="15" w:type="dxa"/>
              <w:right w:w="0" w:type="dxa"/>
            </w:tcMar>
            <w:hideMark/>
          </w:tcPr>
          <w:p w14:paraId="53858653" w14:textId="77777777" w:rsidR="0056135A" w:rsidRDefault="0056135A" w:rsidP="00A765CC">
            <w:pPr>
              <w:rPr>
                <w:b/>
                <w:bCs/>
              </w:rPr>
            </w:pPr>
            <w:r w:rsidRPr="00A765CC">
              <w:rPr>
                <w:b/>
                <w:bCs/>
              </w:rPr>
              <w:t>Other Business</w:t>
            </w:r>
          </w:p>
          <w:p w14:paraId="2CF9518B" w14:textId="77777777" w:rsidR="00954ABB" w:rsidRDefault="00954ABB" w:rsidP="00A765CC">
            <w:r>
              <w:t>No other business discussed.</w:t>
            </w:r>
          </w:p>
          <w:p w14:paraId="695646A4" w14:textId="7E43D906" w:rsidR="000A38F4" w:rsidRPr="00A765CC" w:rsidRDefault="000A38F4" w:rsidP="00A765CC">
            <w:r>
              <w:t xml:space="preserve">Some vendors interested in coming to discuss </w:t>
            </w:r>
            <w:proofErr w:type="spellStart"/>
            <w:r>
              <w:t>Statcoms</w:t>
            </w:r>
            <w:proofErr w:type="spellEnd"/>
            <w:r>
              <w:t xml:space="preserve"> vs. Synchronous conden</w:t>
            </w:r>
            <w:r w:rsidR="00C30BD1">
              <w:t>s</w:t>
            </w:r>
            <w:r>
              <w:t>ers. Any interest</w:t>
            </w:r>
            <w:r w:rsidR="00AF37D3">
              <w:t xml:space="preserve"> in presentation at RPG or PLWG? Task force with Data Centers might be a good fit.</w:t>
            </w:r>
          </w:p>
        </w:tc>
        <w:tc>
          <w:tcPr>
            <w:tcW w:w="874" w:type="pct"/>
            <w:hideMark/>
          </w:tcPr>
          <w:p w14:paraId="2DE0F0B3" w14:textId="77777777" w:rsidR="0056135A" w:rsidRPr="00A765CC" w:rsidRDefault="0056135A" w:rsidP="00A765CC">
            <w:r w:rsidRPr="00A765CC">
              <w:rPr>
                <w:b/>
                <w:bCs/>
              </w:rPr>
              <w:t>Chair</w:t>
            </w:r>
          </w:p>
        </w:tc>
      </w:tr>
      <w:tr w:rsidR="0056135A" w:rsidRPr="00A765CC" w14:paraId="5AFFCF84" w14:textId="77777777" w:rsidTr="0056135A">
        <w:trPr>
          <w:trHeight w:val="630"/>
        </w:trPr>
        <w:tc>
          <w:tcPr>
            <w:tcW w:w="291" w:type="pct"/>
            <w:hideMark/>
          </w:tcPr>
          <w:p w14:paraId="49254981" w14:textId="593E2A97" w:rsidR="0056135A" w:rsidRPr="00A765CC" w:rsidRDefault="0056135A" w:rsidP="00A765CC">
            <w:r w:rsidRPr="00A765CC">
              <w:rPr>
                <w:b/>
                <w:bCs/>
              </w:rPr>
              <w:t>1</w:t>
            </w:r>
            <w:r w:rsidR="00A260CC">
              <w:rPr>
                <w:b/>
                <w:bCs/>
              </w:rPr>
              <w:t>2</w:t>
            </w:r>
            <w:r w:rsidRPr="00A765CC">
              <w:rPr>
                <w:b/>
                <w:bCs/>
              </w:rPr>
              <w:t>.</w:t>
            </w:r>
            <w:r w:rsidRPr="00A765CC">
              <w:t> </w:t>
            </w:r>
          </w:p>
        </w:tc>
        <w:tc>
          <w:tcPr>
            <w:tcW w:w="3835" w:type="pct"/>
            <w:tcBorders>
              <w:right w:val="nil"/>
            </w:tcBorders>
            <w:tcMar>
              <w:top w:w="15" w:type="dxa"/>
              <w:left w:w="15" w:type="dxa"/>
              <w:bottom w:w="15" w:type="dxa"/>
              <w:right w:w="0" w:type="dxa"/>
            </w:tcMar>
            <w:hideMark/>
          </w:tcPr>
          <w:p w14:paraId="7350C123" w14:textId="77777777" w:rsidR="0056135A" w:rsidRDefault="0056135A" w:rsidP="00A765CC">
            <w:pPr>
              <w:rPr>
                <w:b/>
                <w:bCs/>
              </w:rPr>
            </w:pPr>
            <w:r w:rsidRPr="00A765CC">
              <w:rPr>
                <w:b/>
                <w:bCs/>
              </w:rPr>
              <w:t>Adjourn</w:t>
            </w:r>
          </w:p>
          <w:p w14:paraId="3681AE4F" w14:textId="1476C5C1" w:rsidR="0056135A" w:rsidRPr="00A765CC" w:rsidRDefault="0056135A" w:rsidP="00A765CC">
            <w:r>
              <w:t>Adjourned until</w:t>
            </w:r>
            <w:r w:rsidR="006F4BF8">
              <w:t xml:space="preserve"> next PLWG meeting scheduled for</w:t>
            </w:r>
            <w:r>
              <w:t xml:space="preserve"> </w:t>
            </w:r>
            <w:r w:rsidR="000A38F4">
              <w:t>April</w:t>
            </w:r>
            <w:r w:rsidR="00F844FB">
              <w:t xml:space="preserve"> 29th</w:t>
            </w:r>
            <w:r>
              <w:t>.</w:t>
            </w:r>
          </w:p>
        </w:tc>
        <w:tc>
          <w:tcPr>
            <w:tcW w:w="874" w:type="pct"/>
            <w:hideMark/>
          </w:tcPr>
          <w:p w14:paraId="2808DB60" w14:textId="77777777" w:rsidR="0056135A" w:rsidRPr="00A765CC" w:rsidRDefault="0056135A" w:rsidP="00A765CC">
            <w:r w:rsidRPr="00A765CC">
              <w:rPr>
                <w:b/>
                <w:bCs/>
              </w:rPr>
              <w:t>Chair </w:t>
            </w:r>
          </w:p>
        </w:tc>
      </w:tr>
    </w:tbl>
    <w:p w14:paraId="1B3E5208" w14:textId="77777777" w:rsidR="008D4CFB" w:rsidRDefault="008D4CFB"/>
    <w:sectPr w:rsidR="008D4C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854C6"/>
    <w:multiLevelType w:val="multilevel"/>
    <w:tmpl w:val="0E4A6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8631DC"/>
    <w:multiLevelType w:val="multilevel"/>
    <w:tmpl w:val="F7E83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F17857"/>
    <w:multiLevelType w:val="multilevel"/>
    <w:tmpl w:val="C1B4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A54B9"/>
    <w:multiLevelType w:val="multilevel"/>
    <w:tmpl w:val="FAC6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6392B"/>
    <w:multiLevelType w:val="hybridMultilevel"/>
    <w:tmpl w:val="C8781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AE7543"/>
    <w:multiLevelType w:val="multilevel"/>
    <w:tmpl w:val="C27E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405CDE"/>
    <w:multiLevelType w:val="multilevel"/>
    <w:tmpl w:val="D8D2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9744098">
    <w:abstractNumId w:val="3"/>
  </w:num>
  <w:num w:numId="2" w16cid:durableId="542834862">
    <w:abstractNumId w:val="1"/>
  </w:num>
  <w:num w:numId="3" w16cid:durableId="1979676816">
    <w:abstractNumId w:val="6"/>
  </w:num>
  <w:num w:numId="4" w16cid:durableId="911700180">
    <w:abstractNumId w:val="0"/>
  </w:num>
  <w:num w:numId="5" w16cid:durableId="54398409">
    <w:abstractNumId w:val="5"/>
  </w:num>
  <w:num w:numId="6" w16cid:durableId="173692088">
    <w:abstractNumId w:val="2"/>
  </w:num>
  <w:num w:numId="7" w16cid:durableId="1335272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CC"/>
    <w:rsid w:val="000126BB"/>
    <w:rsid w:val="00014FFE"/>
    <w:rsid w:val="00033842"/>
    <w:rsid w:val="00034273"/>
    <w:rsid w:val="00037898"/>
    <w:rsid w:val="00056A74"/>
    <w:rsid w:val="00057904"/>
    <w:rsid w:val="0007069A"/>
    <w:rsid w:val="000720AB"/>
    <w:rsid w:val="000818CE"/>
    <w:rsid w:val="000950F1"/>
    <w:rsid w:val="00097266"/>
    <w:rsid w:val="000A38F4"/>
    <w:rsid w:val="000A5FD2"/>
    <w:rsid w:val="000C2A7C"/>
    <w:rsid w:val="000C3E15"/>
    <w:rsid w:val="000D2AA6"/>
    <w:rsid w:val="000E005A"/>
    <w:rsid w:val="000F64AA"/>
    <w:rsid w:val="00132B60"/>
    <w:rsid w:val="001336D5"/>
    <w:rsid w:val="00147697"/>
    <w:rsid w:val="00154703"/>
    <w:rsid w:val="00167D02"/>
    <w:rsid w:val="00172DFC"/>
    <w:rsid w:val="00185A3F"/>
    <w:rsid w:val="001961AB"/>
    <w:rsid w:val="001A0DA0"/>
    <w:rsid w:val="001A47FB"/>
    <w:rsid w:val="001C0CC7"/>
    <w:rsid w:val="001E484D"/>
    <w:rsid w:val="00202ABA"/>
    <w:rsid w:val="0021054E"/>
    <w:rsid w:val="002144AE"/>
    <w:rsid w:val="002148E2"/>
    <w:rsid w:val="002236BE"/>
    <w:rsid w:val="00226B64"/>
    <w:rsid w:val="0022768B"/>
    <w:rsid w:val="0023302B"/>
    <w:rsid w:val="00240054"/>
    <w:rsid w:val="00240829"/>
    <w:rsid w:val="0024273C"/>
    <w:rsid w:val="00287C66"/>
    <w:rsid w:val="002B1C34"/>
    <w:rsid w:val="002B22B1"/>
    <w:rsid w:val="002E0E68"/>
    <w:rsid w:val="002F4CC1"/>
    <w:rsid w:val="002F73A8"/>
    <w:rsid w:val="00302CC0"/>
    <w:rsid w:val="00307040"/>
    <w:rsid w:val="003309F6"/>
    <w:rsid w:val="00340E3B"/>
    <w:rsid w:val="00360A01"/>
    <w:rsid w:val="00372584"/>
    <w:rsid w:val="003767ED"/>
    <w:rsid w:val="003B0210"/>
    <w:rsid w:val="003B0DDC"/>
    <w:rsid w:val="003B3843"/>
    <w:rsid w:val="003B5F4F"/>
    <w:rsid w:val="003B6F79"/>
    <w:rsid w:val="003E7955"/>
    <w:rsid w:val="003F266F"/>
    <w:rsid w:val="00404657"/>
    <w:rsid w:val="00411E9F"/>
    <w:rsid w:val="00417D21"/>
    <w:rsid w:val="00424B33"/>
    <w:rsid w:val="0044245C"/>
    <w:rsid w:val="0047745F"/>
    <w:rsid w:val="004875F9"/>
    <w:rsid w:val="00495337"/>
    <w:rsid w:val="004A51CE"/>
    <w:rsid w:val="004B65F1"/>
    <w:rsid w:val="004C1898"/>
    <w:rsid w:val="004F094E"/>
    <w:rsid w:val="004F097A"/>
    <w:rsid w:val="004F0ADE"/>
    <w:rsid w:val="004F3C75"/>
    <w:rsid w:val="004F50B0"/>
    <w:rsid w:val="004F5AFB"/>
    <w:rsid w:val="004F6DD4"/>
    <w:rsid w:val="005036B8"/>
    <w:rsid w:val="0051172D"/>
    <w:rsid w:val="00515007"/>
    <w:rsid w:val="005151A7"/>
    <w:rsid w:val="005221D4"/>
    <w:rsid w:val="00525E4A"/>
    <w:rsid w:val="00536386"/>
    <w:rsid w:val="005432F3"/>
    <w:rsid w:val="005436E5"/>
    <w:rsid w:val="00546810"/>
    <w:rsid w:val="005559E3"/>
    <w:rsid w:val="00557FC1"/>
    <w:rsid w:val="0056135A"/>
    <w:rsid w:val="005945B9"/>
    <w:rsid w:val="005B3CD0"/>
    <w:rsid w:val="005B414D"/>
    <w:rsid w:val="005C7DCF"/>
    <w:rsid w:val="005F6CE0"/>
    <w:rsid w:val="00617FE4"/>
    <w:rsid w:val="006254EB"/>
    <w:rsid w:val="00643010"/>
    <w:rsid w:val="0065074A"/>
    <w:rsid w:val="006628D9"/>
    <w:rsid w:val="00667A16"/>
    <w:rsid w:val="006701DF"/>
    <w:rsid w:val="00695351"/>
    <w:rsid w:val="00696FC8"/>
    <w:rsid w:val="006C1690"/>
    <w:rsid w:val="006C3684"/>
    <w:rsid w:val="006C7475"/>
    <w:rsid w:val="006D0CD0"/>
    <w:rsid w:val="006E5CCB"/>
    <w:rsid w:val="006E7458"/>
    <w:rsid w:val="006F0E55"/>
    <w:rsid w:val="006F1409"/>
    <w:rsid w:val="006F4BF8"/>
    <w:rsid w:val="00700D26"/>
    <w:rsid w:val="00711954"/>
    <w:rsid w:val="00725854"/>
    <w:rsid w:val="00726DB7"/>
    <w:rsid w:val="00727CC5"/>
    <w:rsid w:val="00731C58"/>
    <w:rsid w:val="00750FEE"/>
    <w:rsid w:val="0076236C"/>
    <w:rsid w:val="00770A8F"/>
    <w:rsid w:val="00783682"/>
    <w:rsid w:val="00790B92"/>
    <w:rsid w:val="007E1D4E"/>
    <w:rsid w:val="007E4362"/>
    <w:rsid w:val="007F18D2"/>
    <w:rsid w:val="007F25D5"/>
    <w:rsid w:val="007F6580"/>
    <w:rsid w:val="00804808"/>
    <w:rsid w:val="00824A7E"/>
    <w:rsid w:val="00841C62"/>
    <w:rsid w:val="008564F2"/>
    <w:rsid w:val="00861ECF"/>
    <w:rsid w:val="00886B0A"/>
    <w:rsid w:val="008B271E"/>
    <w:rsid w:val="008C16E3"/>
    <w:rsid w:val="008C25A6"/>
    <w:rsid w:val="008C5CC4"/>
    <w:rsid w:val="008D3628"/>
    <w:rsid w:val="008D38DD"/>
    <w:rsid w:val="008D4CFB"/>
    <w:rsid w:val="008E150D"/>
    <w:rsid w:val="008F35FE"/>
    <w:rsid w:val="009077C0"/>
    <w:rsid w:val="00946B43"/>
    <w:rsid w:val="009512BE"/>
    <w:rsid w:val="00954ABB"/>
    <w:rsid w:val="00965CF6"/>
    <w:rsid w:val="00982DED"/>
    <w:rsid w:val="0098365C"/>
    <w:rsid w:val="00997698"/>
    <w:rsid w:val="009B7F04"/>
    <w:rsid w:val="009C0A7B"/>
    <w:rsid w:val="009D2313"/>
    <w:rsid w:val="009F0303"/>
    <w:rsid w:val="009F5856"/>
    <w:rsid w:val="009F7154"/>
    <w:rsid w:val="00A0305B"/>
    <w:rsid w:val="00A2072B"/>
    <w:rsid w:val="00A260CC"/>
    <w:rsid w:val="00A4030C"/>
    <w:rsid w:val="00A4489E"/>
    <w:rsid w:val="00A5232D"/>
    <w:rsid w:val="00A72642"/>
    <w:rsid w:val="00A765CC"/>
    <w:rsid w:val="00A77571"/>
    <w:rsid w:val="00A926C4"/>
    <w:rsid w:val="00A95F61"/>
    <w:rsid w:val="00A962AD"/>
    <w:rsid w:val="00AA3E1A"/>
    <w:rsid w:val="00AA7DCB"/>
    <w:rsid w:val="00AB2937"/>
    <w:rsid w:val="00AB66C5"/>
    <w:rsid w:val="00AC0FBC"/>
    <w:rsid w:val="00AD3477"/>
    <w:rsid w:val="00AE2B8B"/>
    <w:rsid w:val="00AF37D3"/>
    <w:rsid w:val="00B07705"/>
    <w:rsid w:val="00B24967"/>
    <w:rsid w:val="00B357A9"/>
    <w:rsid w:val="00B36C83"/>
    <w:rsid w:val="00B4536A"/>
    <w:rsid w:val="00B46FAF"/>
    <w:rsid w:val="00B63F6B"/>
    <w:rsid w:val="00B95FE5"/>
    <w:rsid w:val="00BB139A"/>
    <w:rsid w:val="00BB213A"/>
    <w:rsid w:val="00BD0663"/>
    <w:rsid w:val="00BE0710"/>
    <w:rsid w:val="00BE467F"/>
    <w:rsid w:val="00BE6745"/>
    <w:rsid w:val="00BF3DEB"/>
    <w:rsid w:val="00C14DDC"/>
    <w:rsid w:val="00C2575D"/>
    <w:rsid w:val="00C30BD1"/>
    <w:rsid w:val="00C454FA"/>
    <w:rsid w:val="00C6026A"/>
    <w:rsid w:val="00C65074"/>
    <w:rsid w:val="00C67940"/>
    <w:rsid w:val="00C700C1"/>
    <w:rsid w:val="00C7304D"/>
    <w:rsid w:val="00C76712"/>
    <w:rsid w:val="00CC5409"/>
    <w:rsid w:val="00CD1AD6"/>
    <w:rsid w:val="00CF3375"/>
    <w:rsid w:val="00CF6CBA"/>
    <w:rsid w:val="00D058AD"/>
    <w:rsid w:val="00D3147E"/>
    <w:rsid w:val="00D373D9"/>
    <w:rsid w:val="00D41EC5"/>
    <w:rsid w:val="00D965BA"/>
    <w:rsid w:val="00D9725C"/>
    <w:rsid w:val="00DA03DA"/>
    <w:rsid w:val="00DA624C"/>
    <w:rsid w:val="00DB5442"/>
    <w:rsid w:val="00DD136D"/>
    <w:rsid w:val="00DF1F36"/>
    <w:rsid w:val="00E26CCC"/>
    <w:rsid w:val="00E3158A"/>
    <w:rsid w:val="00E4273B"/>
    <w:rsid w:val="00E51A57"/>
    <w:rsid w:val="00E55441"/>
    <w:rsid w:val="00E65E91"/>
    <w:rsid w:val="00E77F8B"/>
    <w:rsid w:val="00E854AD"/>
    <w:rsid w:val="00E90319"/>
    <w:rsid w:val="00EB265C"/>
    <w:rsid w:val="00ED1987"/>
    <w:rsid w:val="00EF5F01"/>
    <w:rsid w:val="00F12154"/>
    <w:rsid w:val="00F23B37"/>
    <w:rsid w:val="00F34545"/>
    <w:rsid w:val="00F42E7B"/>
    <w:rsid w:val="00F64815"/>
    <w:rsid w:val="00F704FD"/>
    <w:rsid w:val="00F71252"/>
    <w:rsid w:val="00F844FB"/>
    <w:rsid w:val="00FE7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A1E01"/>
  <w15:chartTrackingRefBased/>
  <w15:docId w15:val="{1E95B631-4425-4DC2-895C-F6766BEAB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765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765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765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765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765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765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65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65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65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65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765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765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765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765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765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65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65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65CC"/>
    <w:rPr>
      <w:rFonts w:eastAsiaTheme="majorEastAsia" w:cstheme="majorBidi"/>
      <w:color w:val="272727" w:themeColor="text1" w:themeTint="D8"/>
    </w:rPr>
  </w:style>
  <w:style w:type="paragraph" w:styleId="Title">
    <w:name w:val="Title"/>
    <w:basedOn w:val="Normal"/>
    <w:next w:val="Normal"/>
    <w:link w:val="TitleChar"/>
    <w:uiPriority w:val="10"/>
    <w:qFormat/>
    <w:rsid w:val="00A765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65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765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765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65CC"/>
    <w:pPr>
      <w:spacing w:before="160"/>
      <w:jc w:val="center"/>
    </w:pPr>
    <w:rPr>
      <w:i/>
      <w:iCs/>
      <w:color w:val="404040" w:themeColor="text1" w:themeTint="BF"/>
    </w:rPr>
  </w:style>
  <w:style w:type="character" w:customStyle="1" w:styleId="QuoteChar">
    <w:name w:val="Quote Char"/>
    <w:basedOn w:val="DefaultParagraphFont"/>
    <w:link w:val="Quote"/>
    <w:uiPriority w:val="29"/>
    <w:rsid w:val="00A765CC"/>
    <w:rPr>
      <w:i/>
      <w:iCs/>
      <w:color w:val="404040" w:themeColor="text1" w:themeTint="BF"/>
    </w:rPr>
  </w:style>
  <w:style w:type="paragraph" w:styleId="ListParagraph">
    <w:name w:val="List Paragraph"/>
    <w:basedOn w:val="Normal"/>
    <w:uiPriority w:val="34"/>
    <w:qFormat/>
    <w:rsid w:val="00A765CC"/>
    <w:pPr>
      <w:ind w:left="720"/>
      <w:contextualSpacing/>
    </w:pPr>
  </w:style>
  <w:style w:type="character" w:styleId="IntenseEmphasis">
    <w:name w:val="Intense Emphasis"/>
    <w:basedOn w:val="DefaultParagraphFont"/>
    <w:uiPriority w:val="21"/>
    <w:qFormat/>
    <w:rsid w:val="00A765CC"/>
    <w:rPr>
      <w:i/>
      <w:iCs/>
      <w:color w:val="0F4761" w:themeColor="accent1" w:themeShade="BF"/>
    </w:rPr>
  </w:style>
  <w:style w:type="paragraph" w:styleId="IntenseQuote">
    <w:name w:val="Intense Quote"/>
    <w:basedOn w:val="Normal"/>
    <w:next w:val="Normal"/>
    <w:link w:val="IntenseQuoteChar"/>
    <w:uiPriority w:val="30"/>
    <w:qFormat/>
    <w:rsid w:val="00A765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765CC"/>
    <w:rPr>
      <w:i/>
      <w:iCs/>
      <w:color w:val="0F4761" w:themeColor="accent1" w:themeShade="BF"/>
    </w:rPr>
  </w:style>
  <w:style w:type="character" w:styleId="IntenseReference">
    <w:name w:val="Intense Reference"/>
    <w:basedOn w:val="DefaultParagraphFont"/>
    <w:uiPriority w:val="32"/>
    <w:qFormat/>
    <w:rsid w:val="00A765CC"/>
    <w:rPr>
      <w:b/>
      <w:bCs/>
      <w:smallCaps/>
      <w:color w:val="0F4761" w:themeColor="accent1" w:themeShade="BF"/>
      <w:spacing w:val="5"/>
    </w:rPr>
  </w:style>
  <w:style w:type="paragraph" w:styleId="NormalWeb">
    <w:name w:val="Normal (Web)"/>
    <w:basedOn w:val="Normal"/>
    <w:uiPriority w:val="99"/>
    <w:semiHidden/>
    <w:unhideWhenUsed/>
    <w:rsid w:val="004F3C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539845">
      <w:bodyDiv w:val="1"/>
      <w:marLeft w:val="0"/>
      <w:marRight w:val="0"/>
      <w:marTop w:val="0"/>
      <w:marBottom w:val="0"/>
      <w:divBdr>
        <w:top w:val="none" w:sz="0" w:space="0" w:color="auto"/>
        <w:left w:val="none" w:sz="0" w:space="0" w:color="auto"/>
        <w:bottom w:val="none" w:sz="0" w:space="0" w:color="auto"/>
        <w:right w:val="none" w:sz="0" w:space="0" w:color="auto"/>
      </w:divBdr>
    </w:div>
    <w:div w:id="316302100">
      <w:bodyDiv w:val="1"/>
      <w:marLeft w:val="0"/>
      <w:marRight w:val="0"/>
      <w:marTop w:val="0"/>
      <w:marBottom w:val="0"/>
      <w:divBdr>
        <w:top w:val="none" w:sz="0" w:space="0" w:color="auto"/>
        <w:left w:val="none" w:sz="0" w:space="0" w:color="auto"/>
        <w:bottom w:val="none" w:sz="0" w:space="0" w:color="auto"/>
        <w:right w:val="none" w:sz="0" w:space="0" w:color="auto"/>
      </w:divBdr>
    </w:div>
    <w:div w:id="1182234719">
      <w:bodyDiv w:val="1"/>
      <w:marLeft w:val="0"/>
      <w:marRight w:val="0"/>
      <w:marTop w:val="0"/>
      <w:marBottom w:val="0"/>
      <w:divBdr>
        <w:top w:val="none" w:sz="0" w:space="0" w:color="auto"/>
        <w:left w:val="none" w:sz="0" w:space="0" w:color="auto"/>
        <w:bottom w:val="none" w:sz="0" w:space="0" w:color="auto"/>
        <w:right w:val="none" w:sz="0" w:space="0" w:color="auto"/>
      </w:divBdr>
    </w:div>
    <w:div w:id="171261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15187-4D48-4980-AF9F-7805B8451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Southern Company</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Kristin (SPC)</dc:creator>
  <cp:keywords/>
  <dc:description/>
  <cp:lastModifiedBy>Cook, Kristin (SPC)</cp:lastModifiedBy>
  <cp:revision>19</cp:revision>
  <dcterms:created xsi:type="dcterms:W3CDTF">2025-03-20T13:44:00Z</dcterms:created>
  <dcterms:modified xsi:type="dcterms:W3CDTF">2025-03-25T17:12:00Z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2025-02-24T17:29:16Z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1b50d964-291c-4e9f-a23b-8baf8ad65ef5</vt:lpwstr>
  </property>
  <property fmtid="{D5CDD505-2E9C-101B-9397-08002B2CF9AE}" pid="8" name="MSIP_Label_ed3826ce-7c18-471d-9596-93de5bae332e_ContentBits">
    <vt:lpwstr>0</vt:lpwstr>
  </property>
</Properties>
</file>