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1BC3BB56" w:rsidR="007F1A85" w:rsidRPr="00F47DEE" w:rsidRDefault="006171A1" w:rsidP="00CF3582">
            <w:pPr>
              <w:tabs>
                <w:tab w:val="left" w:pos="720"/>
                <w:tab w:val="left" w:pos="1080"/>
                <w:tab w:val="left" w:pos="1725"/>
              </w:tabs>
              <w:rPr>
                <w:rFonts w:ascii="Arial" w:hAnsi="Arial" w:cs="Arial"/>
              </w:rPr>
            </w:pPr>
            <w:r>
              <w:rPr>
                <w:rFonts w:ascii="Arial" w:hAnsi="Arial" w:cs="Arial"/>
              </w:rPr>
              <w:t>March 31</w:t>
            </w:r>
            <w:r w:rsidR="00F36E24">
              <w:rPr>
                <w:rFonts w:ascii="Arial" w:hAnsi="Arial" w:cs="Arial"/>
              </w:rPr>
              <w:t>, 2025</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1842EB6D" w:rsidR="0088605A" w:rsidRPr="00F47DEE" w:rsidRDefault="008E54C3" w:rsidP="005F3826">
            <w:pPr>
              <w:tabs>
                <w:tab w:val="left" w:pos="720"/>
                <w:tab w:val="left" w:pos="1080"/>
              </w:tabs>
              <w:rPr>
                <w:rFonts w:ascii="Arial" w:hAnsi="Arial" w:cs="Arial"/>
              </w:rPr>
            </w:pPr>
            <w:r>
              <w:rPr>
                <w:rFonts w:ascii="Arial" w:hAnsi="Arial" w:cs="Arial"/>
              </w:rPr>
              <w:t>Caitlin Smith</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4E1095F1" w:rsidR="005C33DD" w:rsidRPr="00DE2AE6" w:rsidRDefault="007D620B" w:rsidP="005C33DD">
            <w:pPr>
              <w:pStyle w:val="BulletIndent"/>
              <w:rPr>
                <w:rFonts w:ascii="Arial" w:hAnsi="Arial" w:cs="Arial"/>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F36E24">
              <w:rPr>
                <w:rFonts w:ascii="Arial" w:hAnsi="Arial" w:cs="Arial"/>
                <w:szCs w:val="24"/>
              </w:rPr>
              <w:t xml:space="preserve">April </w:t>
            </w:r>
            <w:r w:rsidR="00BC18A4">
              <w:rPr>
                <w:rFonts w:ascii="Arial" w:hAnsi="Arial" w:cs="Arial"/>
                <w:szCs w:val="24"/>
              </w:rPr>
              <w:t>7-</w:t>
            </w:r>
            <w:r w:rsidR="00F36E24">
              <w:rPr>
                <w:rFonts w:ascii="Arial" w:hAnsi="Arial" w:cs="Arial"/>
                <w:szCs w:val="24"/>
              </w:rPr>
              <w:t>8, 2025</w:t>
            </w:r>
          </w:p>
          <w:p w14:paraId="54AFDC54" w14:textId="1E969A38"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6171A1">
              <w:rPr>
                <w:rFonts w:ascii="Arial" w:hAnsi="Arial" w:cs="Arial"/>
                <w:bCs/>
                <w:szCs w:val="24"/>
              </w:rPr>
              <w:t>6.1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6D9134F" w14:textId="517891FC" w:rsidR="00A53564" w:rsidRPr="00A8165F" w:rsidRDefault="009C6BA6" w:rsidP="00A8165F">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Nodal Protocol Revision Request (NPRR</w:t>
            </w:r>
            <w:r w:rsidR="00972931">
              <w:rPr>
                <w:rFonts w:ascii="Arial" w:hAnsi="Arial" w:cs="Arial"/>
                <w:bCs/>
                <w:u w:val="none"/>
              </w:rPr>
              <w:t>s</w:t>
            </w:r>
            <w:r w:rsidR="009922C0">
              <w:rPr>
                <w:rFonts w:ascii="Arial" w:hAnsi="Arial" w:cs="Arial"/>
                <w:bCs/>
                <w:u w:val="none"/>
              </w:rPr>
              <w:t>)</w:t>
            </w:r>
            <w:r w:rsidR="00972931">
              <w:rPr>
                <w:rFonts w:ascii="Arial" w:hAnsi="Arial" w:cs="Arial"/>
                <w:bCs/>
                <w:u w:val="none"/>
              </w:rPr>
              <w:t xml:space="preserve">, </w:t>
            </w:r>
            <w:r w:rsidR="00A77256">
              <w:rPr>
                <w:rFonts w:ascii="Arial" w:hAnsi="Arial" w:cs="Arial"/>
                <w:bCs/>
                <w:u w:val="none"/>
              </w:rPr>
              <w:t xml:space="preserve">Nodal Operating Guide Revision Request (NOGRR), </w:t>
            </w:r>
            <w:r w:rsidR="008A5AC9">
              <w:rPr>
                <w:rFonts w:ascii="Arial" w:hAnsi="Arial" w:cs="Arial"/>
                <w:bCs/>
                <w:u w:val="none"/>
              </w:rPr>
              <w:t>Planning Guide Revision Requests (PGRRs),</w:t>
            </w:r>
            <w:r w:rsidR="00F832D5">
              <w:rPr>
                <w:rFonts w:ascii="Arial" w:hAnsi="Arial" w:cs="Arial"/>
                <w:bCs/>
                <w:u w:val="none"/>
              </w:rPr>
              <w:t xml:space="preserve"> </w:t>
            </w:r>
            <w:r w:rsidR="00EF437D">
              <w:rPr>
                <w:rFonts w:ascii="Arial" w:hAnsi="Arial" w:cs="Arial"/>
                <w:bCs/>
                <w:u w:val="none"/>
              </w:rPr>
              <w:t xml:space="preserve">System Change Request (SCR), Settlement Metering Operating Guide Revision Request (SMOGRR), and Verifiable Cost Manual Revision Request (VCMRR) </w:t>
            </w:r>
            <w:r w:rsidRPr="00F47DEE">
              <w:rPr>
                <w:rFonts w:ascii="Arial" w:hAnsi="Arial" w:cs="Arial"/>
                <w:bCs/>
                <w:u w:val="none"/>
              </w:rPr>
              <w:t>recommended for approval by TAC (with no opposing votes recorded):</w:t>
            </w:r>
          </w:p>
          <w:bookmarkEnd w:id="1"/>
          <w:p w14:paraId="51A358E1" w14:textId="18E5EBF2" w:rsidR="00F36E24" w:rsidRDefault="00F36E24" w:rsidP="00F36E24">
            <w:pPr>
              <w:pStyle w:val="ListParagraph"/>
              <w:numPr>
                <w:ilvl w:val="0"/>
                <w:numId w:val="6"/>
              </w:numPr>
              <w:rPr>
                <w:rFonts w:ascii="Arial" w:hAnsi="Arial" w:cs="Arial"/>
                <w:bCs/>
              </w:rPr>
            </w:pPr>
            <w:r w:rsidRPr="00F36E24">
              <w:rPr>
                <w:rFonts w:ascii="Arial" w:hAnsi="Arial" w:cs="Arial"/>
                <w:bCs/>
              </w:rPr>
              <w:t xml:space="preserve">NPRR1234, Interconnection Requirements for Large Loads and Modeling Standards for Loads 25 MW or </w:t>
            </w:r>
            <w:proofErr w:type="gramStart"/>
            <w:r w:rsidRPr="00F36E24">
              <w:rPr>
                <w:rFonts w:ascii="Arial" w:hAnsi="Arial" w:cs="Arial"/>
                <w:bCs/>
              </w:rPr>
              <w:t>Greater</w:t>
            </w:r>
            <w:r w:rsidR="00DE59D9">
              <w:rPr>
                <w:rFonts w:ascii="Arial" w:hAnsi="Arial" w:cs="Arial"/>
                <w:bCs/>
              </w:rPr>
              <w:t>;</w:t>
            </w:r>
            <w:proofErr w:type="gramEnd"/>
          </w:p>
          <w:p w14:paraId="0C99B3E6" w14:textId="0F4E8079" w:rsidR="00F36E24" w:rsidRDefault="00F36E24" w:rsidP="00F36E24">
            <w:pPr>
              <w:pStyle w:val="ListParagraph"/>
              <w:numPr>
                <w:ilvl w:val="0"/>
                <w:numId w:val="6"/>
              </w:numPr>
              <w:rPr>
                <w:rFonts w:ascii="Arial" w:hAnsi="Arial" w:cs="Arial"/>
                <w:bCs/>
              </w:rPr>
            </w:pPr>
            <w:r>
              <w:rPr>
                <w:rFonts w:ascii="Arial" w:hAnsi="Arial" w:cs="Arial"/>
                <w:bCs/>
              </w:rPr>
              <w:t xml:space="preserve">NPRR1241, </w:t>
            </w:r>
            <w:r w:rsidRPr="00F36E24">
              <w:rPr>
                <w:rFonts w:ascii="Arial" w:hAnsi="Arial" w:cs="Arial"/>
                <w:bCs/>
              </w:rPr>
              <w:t>Firm Fuel Supply Service (FFSS) Availability and Hourly Standby Fee</w:t>
            </w:r>
            <w:r>
              <w:rPr>
                <w:rFonts w:ascii="Arial" w:hAnsi="Arial" w:cs="Arial"/>
                <w:bCs/>
              </w:rPr>
              <w:t>;</w:t>
            </w:r>
          </w:p>
          <w:p w14:paraId="638B9118" w14:textId="47995664" w:rsidR="00F36E24" w:rsidRDefault="00F36E24" w:rsidP="00F36E24">
            <w:pPr>
              <w:pStyle w:val="ListParagraph"/>
              <w:numPr>
                <w:ilvl w:val="0"/>
                <w:numId w:val="6"/>
              </w:numPr>
              <w:rPr>
                <w:rFonts w:ascii="Arial" w:hAnsi="Arial" w:cs="Arial"/>
                <w:bCs/>
              </w:rPr>
            </w:pPr>
            <w:r w:rsidRPr="00F36E24">
              <w:rPr>
                <w:rFonts w:ascii="Arial" w:hAnsi="Arial" w:cs="Arial"/>
                <w:bCs/>
              </w:rPr>
              <w:t>NPRR1256, Settlement of MRA of ESRs</w:t>
            </w:r>
            <w:r w:rsidR="00DE59D9">
              <w:rPr>
                <w:rFonts w:ascii="Arial" w:hAnsi="Arial" w:cs="Arial"/>
                <w:bCs/>
              </w:rPr>
              <w:t>;</w:t>
            </w:r>
          </w:p>
          <w:p w14:paraId="215EF770" w14:textId="60940C00" w:rsidR="00F36E24" w:rsidRDefault="00F36E24" w:rsidP="00F36E24">
            <w:pPr>
              <w:pStyle w:val="ListParagraph"/>
              <w:numPr>
                <w:ilvl w:val="0"/>
                <w:numId w:val="6"/>
              </w:numPr>
              <w:rPr>
                <w:rFonts w:ascii="Arial" w:hAnsi="Arial" w:cs="Arial"/>
                <w:bCs/>
              </w:rPr>
            </w:pPr>
            <w:r w:rsidRPr="00F36E24">
              <w:rPr>
                <w:rFonts w:ascii="Arial" w:hAnsi="Arial" w:cs="Arial"/>
                <w:bCs/>
              </w:rPr>
              <w:t>NPRR1268, RTC – Modification of Ancillary Service Demand Curves – URGENT</w:t>
            </w:r>
            <w:r w:rsidR="00DE59D9">
              <w:rPr>
                <w:rFonts w:ascii="Arial" w:hAnsi="Arial" w:cs="Arial"/>
                <w:bCs/>
              </w:rPr>
              <w:t>;</w:t>
            </w:r>
          </w:p>
          <w:p w14:paraId="16D8D7C2" w14:textId="6C160B8D" w:rsidR="00F36E24" w:rsidRDefault="00F36E24" w:rsidP="00F36E24">
            <w:pPr>
              <w:pStyle w:val="ListParagraph"/>
              <w:numPr>
                <w:ilvl w:val="0"/>
                <w:numId w:val="6"/>
              </w:numPr>
              <w:rPr>
                <w:rFonts w:ascii="Arial" w:hAnsi="Arial" w:cs="Arial"/>
                <w:bCs/>
              </w:rPr>
            </w:pPr>
            <w:r w:rsidRPr="00F36E24">
              <w:rPr>
                <w:rFonts w:ascii="Arial" w:hAnsi="Arial" w:cs="Arial"/>
                <w:bCs/>
              </w:rPr>
              <w:t>NPRR1270, Additional Revisions Required for Implementation of RTC – URGENT</w:t>
            </w:r>
            <w:r w:rsidR="00DE59D9">
              <w:rPr>
                <w:rFonts w:ascii="Arial" w:hAnsi="Arial" w:cs="Arial"/>
                <w:bCs/>
              </w:rPr>
              <w:t>;</w:t>
            </w:r>
          </w:p>
          <w:p w14:paraId="413B10F0" w14:textId="24C61257" w:rsidR="00F36E24" w:rsidRDefault="00F36E24" w:rsidP="00F36E24">
            <w:pPr>
              <w:pStyle w:val="ListParagraph"/>
              <w:numPr>
                <w:ilvl w:val="0"/>
                <w:numId w:val="6"/>
              </w:numPr>
              <w:rPr>
                <w:rFonts w:ascii="Arial" w:hAnsi="Arial" w:cs="Arial"/>
                <w:bCs/>
              </w:rPr>
            </w:pPr>
            <w:r w:rsidRPr="00F36E24">
              <w:rPr>
                <w:rFonts w:ascii="Arial" w:hAnsi="Arial" w:cs="Arial"/>
                <w:bCs/>
              </w:rPr>
              <w:t>NPRR1273, Appropriate Accounting for ESRs in PRC Calculation – URGENT</w:t>
            </w:r>
            <w:r w:rsidR="00DE59D9">
              <w:rPr>
                <w:rFonts w:ascii="Arial" w:hAnsi="Arial" w:cs="Arial"/>
                <w:bCs/>
              </w:rPr>
              <w:t>;</w:t>
            </w:r>
          </w:p>
          <w:p w14:paraId="4B610830" w14:textId="51F497E2" w:rsidR="00F36E24" w:rsidRDefault="00F36E24" w:rsidP="00F36E24">
            <w:pPr>
              <w:pStyle w:val="ListParagraph"/>
              <w:numPr>
                <w:ilvl w:val="0"/>
                <w:numId w:val="6"/>
              </w:numPr>
              <w:rPr>
                <w:rFonts w:ascii="Arial" w:hAnsi="Arial" w:cs="Arial"/>
                <w:bCs/>
              </w:rPr>
            </w:pPr>
            <w:r w:rsidRPr="00F36E24">
              <w:rPr>
                <w:rFonts w:ascii="Arial" w:hAnsi="Arial" w:cs="Arial"/>
                <w:bCs/>
              </w:rPr>
              <w:t xml:space="preserve">NOGRR274, Conform Nodal Operating Guide to Revisions Implemented for NPRR1217, Remove Verbal Dispatch Instruction (VDI) Requirement for Deployment and Recall of Load Resources and Emergency Response Service (ERS) Resources – </w:t>
            </w:r>
            <w:proofErr w:type="gramStart"/>
            <w:r w:rsidRPr="00F36E24">
              <w:rPr>
                <w:rFonts w:ascii="Arial" w:hAnsi="Arial" w:cs="Arial"/>
                <w:bCs/>
              </w:rPr>
              <w:t>URGENT</w:t>
            </w:r>
            <w:r w:rsidR="00DE59D9">
              <w:rPr>
                <w:rFonts w:ascii="Arial" w:hAnsi="Arial" w:cs="Arial"/>
                <w:bCs/>
              </w:rPr>
              <w:t>;</w:t>
            </w:r>
            <w:proofErr w:type="gramEnd"/>
          </w:p>
          <w:p w14:paraId="3CDA4492" w14:textId="2F738980" w:rsidR="00F36E24" w:rsidRDefault="00F36E24" w:rsidP="00F36E24">
            <w:pPr>
              <w:pStyle w:val="ListParagraph"/>
              <w:numPr>
                <w:ilvl w:val="0"/>
                <w:numId w:val="6"/>
              </w:numPr>
              <w:rPr>
                <w:rFonts w:ascii="Arial" w:hAnsi="Arial" w:cs="Arial"/>
                <w:bCs/>
              </w:rPr>
            </w:pPr>
            <w:r w:rsidRPr="00F36E24">
              <w:rPr>
                <w:rFonts w:ascii="Arial" w:hAnsi="Arial" w:cs="Arial"/>
                <w:bCs/>
              </w:rPr>
              <w:t xml:space="preserve">PGRR115, Related to NPRR1234, Interconnection Requirements for Large Loads and Modeling Standards for Loads 25 MW or </w:t>
            </w:r>
            <w:proofErr w:type="gramStart"/>
            <w:r w:rsidRPr="00F36E24">
              <w:rPr>
                <w:rFonts w:ascii="Arial" w:hAnsi="Arial" w:cs="Arial"/>
                <w:bCs/>
              </w:rPr>
              <w:t>Greater</w:t>
            </w:r>
            <w:r w:rsidR="00DE59D9">
              <w:rPr>
                <w:rFonts w:ascii="Arial" w:hAnsi="Arial" w:cs="Arial"/>
                <w:bCs/>
              </w:rPr>
              <w:t>;</w:t>
            </w:r>
            <w:proofErr w:type="gramEnd"/>
          </w:p>
          <w:p w14:paraId="7230487B" w14:textId="7E6EC984" w:rsidR="00F36E24" w:rsidRDefault="00F36E24" w:rsidP="00F36E24">
            <w:pPr>
              <w:pStyle w:val="ListParagraph"/>
              <w:numPr>
                <w:ilvl w:val="0"/>
                <w:numId w:val="6"/>
              </w:numPr>
              <w:rPr>
                <w:rFonts w:ascii="Arial" w:hAnsi="Arial" w:cs="Arial"/>
                <w:bCs/>
              </w:rPr>
            </w:pPr>
            <w:r w:rsidRPr="00F36E24">
              <w:rPr>
                <w:rFonts w:ascii="Arial" w:hAnsi="Arial" w:cs="Arial"/>
                <w:bCs/>
              </w:rPr>
              <w:t>PGRR119, Stability Constraint Modeling Assumptions in the Regional Transmission Plan</w:t>
            </w:r>
            <w:r w:rsidR="00DE59D9">
              <w:rPr>
                <w:rFonts w:ascii="Arial" w:hAnsi="Arial" w:cs="Arial"/>
                <w:bCs/>
              </w:rPr>
              <w:t>;</w:t>
            </w:r>
          </w:p>
          <w:p w14:paraId="3A257098" w14:textId="25B94BED" w:rsidR="008C49E2" w:rsidRDefault="008C49E2" w:rsidP="00F36E24">
            <w:pPr>
              <w:pStyle w:val="ListParagraph"/>
              <w:numPr>
                <w:ilvl w:val="0"/>
                <w:numId w:val="6"/>
              </w:numPr>
              <w:rPr>
                <w:rFonts w:ascii="Arial" w:hAnsi="Arial" w:cs="Arial"/>
                <w:bCs/>
              </w:rPr>
            </w:pPr>
            <w:r w:rsidRPr="00F36E24">
              <w:rPr>
                <w:rFonts w:ascii="Arial" w:hAnsi="Arial" w:cs="Arial"/>
                <w:bCs/>
              </w:rPr>
              <w:t>SCR829, API for the NDCRC Application</w:t>
            </w:r>
            <w:r>
              <w:rPr>
                <w:rFonts w:ascii="Arial" w:hAnsi="Arial" w:cs="Arial"/>
                <w:bCs/>
              </w:rPr>
              <w:t>;</w:t>
            </w:r>
          </w:p>
          <w:p w14:paraId="1DE8895A" w14:textId="2170D437" w:rsidR="00F36E24" w:rsidRDefault="00F36E24" w:rsidP="00F36E24">
            <w:pPr>
              <w:pStyle w:val="ListParagraph"/>
              <w:numPr>
                <w:ilvl w:val="0"/>
                <w:numId w:val="6"/>
              </w:numPr>
              <w:rPr>
                <w:rFonts w:ascii="Arial" w:hAnsi="Arial" w:cs="Arial"/>
                <w:bCs/>
              </w:rPr>
            </w:pPr>
            <w:r w:rsidRPr="00F36E24">
              <w:rPr>
                <w:rFonts w:ascii="Arial" w:hAnsi="Arial" w:cs="Arial"/>
                <w:bCs/>
              </w:rPr>
              <w:t>SMOGRR028, Add Series Reactor Compensation Factors</w:t>
            </w:r>
            <w:r w:rsidR="00DE59D9">
              <w:rPr>
                <w:rFonts w:ascii="Arial" w:hAnsi="Arial" w:cs="Arial"/>
                <w:bCs/>
              </w:rPr>
              <w:t>;</w:t>
            </w:r>
            <w:r w:rsidR="00EF437D">
              <w:rPr>
                <w:rFonts w:ascii="Arial" w:hAnsi="Arial" w:cs="Arial"/>
                <w:bCs/>
              </w:rPr>
              <w:t xml:space="preserve"> and</w:t>
            </w:r>
          </w:p>
          <w:p w14:paraId="4C01287B" w14:textId="35E91857" w:rsidR="00EF437D" w:rsidRPr="00EF437D" w:rsidRDefault="00EF437D" w:rsidP="00EF437D">
            <w:pPr>
              <w:pStyle w:val="ListParagraph"/>
              <w:numPr>
                <w:ilvl w:val="0"/>
                <w:numId w:val="6"/>
              </w:numPr>
              <w:rPr>
                <w:rFonts w:ascii="Arial" w:hAnsi="Arial" w:cs="Arial"/>
                <w:bCs/>
              </w:rPr>
            </w:pPr>
            <w:r w:rsidRPr="00EF437D">
              <w:rPr>
                <w:rFonts w:ascii="Arial" w:hAnsi="Arial" w:cs="Arial"/>
                <w:bCs/>
              </w:rPr>
              <w:t>VCMRR042, SO2 and NOx Emission Index Prices Used in Verifiable Cost Calculations</w:t>
            </w:r>
            <w:r>
              <w:rPr>
                <w:rFonts w:ascii="Arial" w:hAnsi="Arial" w:cs="Arial"/>
                <w:bCs/>
              </w:rPr>
              <w:t>.</w:t>
            </w:r>
          </w:p>
          <w:p w14:paraId="4E760282" w14:textId="130BD24F" w:rsidR="00D67F70" w:rsidRPr="008C49E2" w:rsidRDefault="00D67F70" w:rsidP="008C49E2">
            <w:pPr>
              <w:rPr>
                <w:rFonts w:ascii="Arial" w:hAnsi="Arial" w:cs="Arial"/>
                <w:bCs/>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5E3961" w:rsidRDefault="007D620B" w:rsidP="00703060">
            <w:pPr>
              <w:pStyle w:val="Heading5"/>
              <w:keepNext w:val="0"/>
              <w:jc w:val="both"/>
              <w:rPr>
                <w:rFonts w:ascii="Arial" w:hAnsi="Arial" w:cs="Arial"/>
                <w:b/>
                <w:bCs/>
              </w:rPr>
            </w:pPr>
            <w:r w:rsidRPr="005E3961">
              <w:rPr>
                <w:rFonts w:ascii="Arial" w:hAnsi="Arial" w:cs="Arial"/>
                <w:b/>
                <w:bCs/>
              </w:rPr>
              <w:t>Background/History:</w:t>
            </w:r>
          </w:p>
          <w:p w14:paraId="478AEBC4" w14:textId="25F1DD33" w:rsidR="005E3961" w:rsidRDefault="00167741" w:rsidP="00703060">
            <w:pPr>
              <w:jc w:val="both"/>
              <w:rPr>
                <w:rFonts w:ascii="Arial" w:hAnsi="Arial" w:cs="Arial"/>
                <w:b/>
                <w:bCs/>
              </w:rPr>
            </w:pPr>
            <w:r w:rsidRPr="005E3961">
              <w:rPr>
                <w:rFonts w:ascii="Arial" w:hAnsi="Arial" w:cs="Arial"/>
                <w:b/>
                <w:bCs/>
              </w:rPr>
              <w:t>Unless otherwise noted: (i) all Market Segment</w:t>
            </w:r>
            <w:r w:rsidR="00840278" w:rsidRPr="005E3961">
              <w:rPr>
                <w:rFonts w:ascii="Arial" w:hAnsi="Arial" w:cs="Arial"/>
                <w:b/>
                <w:bCs/>
              </w:rPr>
              <w:t xml:space="preserve">s </w:t>
            </w:r>
            <w:r w:rsidR="007F1A85" w:rsidRPr="005E3961">
              <w:rPr>
                <w:rFonts w:ascii="Arial" w:hAnsi="Arial" w:cs="Arial"/>
                <w:b/>
                <w:bCs/>
              </w:rPr>
              <w:t>participated</w:t>
            </w:r>
            <w:r w:rsidR="00177EE8" w:rsidRPr="005E3961">
              <w:rPr>
                <w:rFonts w:ascii="Arial" w:hAnsi="Arial" w:cs="Arial"/>
                <w:b/>
                <w:bCs/>
              </w:rPr>
              <w:t xml:space="preserve"> in</w:t>
            </w:r>
            <w:r w:rsidR="00840278" w:rsidRPr="005E3961">
              <w:rPr>
                <w:rFonts w:ascii="Arial" w:hAnsi="Arial" w:cs="Arial"/>
                <w:b/>
                <w:bCs/>
              </w:rPr>
              <w:t xml:space="preserve"> each vote;</w:t>
            </w:r>
            <w:r w:rsidRPr="005E3961">
              <w:rPr>
                <w:rFonts w:ascii="Arial" w:hAnsi="Arial" w:cs="Arial"/>
                <w:b/>
                <w:bCs/>
              </w:rPr>
              <w:t xml:space="preserve"> (ii) </w:t>
            </w:r>
            <w:r w:rsidR="00ED1822" w:rsidRPr="005E3961">
              <w:rPr>
                <w:rFonts w:ascii="Arial" w:hAnsi="Arial" w:cs="Arial"/>
                <w:b/>
                <w:bCs/>
              </w:rPr>
              <w:t xml:space="preserve">For NPRRs, </w:t>
            </w:r>
            <w:r w:rsidRPr="005E3961">
              <w:rPr>
                <w:rFonts w:ascii="Arial" w:hAnsi="Arial" w:cs="Arial"/>
                <w:b/>
                <w:bCs/>
              </w:rPr>
              <w:t>ERCOT Credit Staf</w:t>
            </w:r>
            <w:r w:rsidR="00D33285">
              <w:rPr>
                <w:rFonts w:ascii="Arial" w:hAnsi="Arial" w:cs="Arial"/>
                <w:b/>
                <w:bCs/>
              </w:rPr>
              <w:t xml:space="preserve">f and </w:t>
            </w:r>
            <w:r w:rsidRPr="005E3961">
              <w:rPr>
                <w:rFonts w:ascii="Arial" w:hAnsi="Arial" w:cs="Arial"/>
                <w:b/>
                <w:bCs/>
              </w:rPr>
              <w:t xml:space="preserve">the </w:t>
            </w:r>
            <w:r w:rsidR="006873EB">
              <w:rPr>
                <w:rFonts w:ascii="Arial" w:hAnsi="Arial" w:cs="Arial"/>
                <w:b/>
                <w:bCs/>
              </w:rPr>
              <w:t xml:space="preserve">Credit Finance Sub Group (CFSG) </w:t>
            </w:r>
            <w:r w:rsidRPr="005E3961">
              <w:rPr>
                <w:rFonts w:ascii="Arial" w:hAnsi="Arial" w:cs="Arial"/>
                <w:b/>
                <w:bCs/>
              </w:rPr>
              <w:t xml:space="preserve">have </w:t>
            </w:r>
            <w:r w:rsidRPr="005E3961">
              <w:rPr>
                <w:rFonts w:ascii="Arial" w:hAnsi="Arial" w:cs="Arial"/>
                <w:b/>
                <w:bCs/>
              </w:rPr>
              <w:lastRenderedPageBreak/>
              <w:t xml:space="preserve">reviewed the </w:t>
            </w:r>
            <w:r w:rsidR="00ED1822" w:rsidRPr="005E3961">
              <w:rPr>
                <w:rFonts w:ascii="Arial" w:hAnsi="Arial" w:cs="Arial"/>
                <w:b/>
                <w:bCs/>
              </w:rPr>
              <w:t>NPRR</w:t>
            </w:r>
            <w:r w:rsidRPr="005E3961">
              <w:rPr>
                <w:rFonts w:ascii="Arial" w:hAnsi="Arial" w:cs="Arial"/>
                <w:b/>
                <w:bCs/>
              </w:rPr>
              <w:t xml:space="preserve"> and do not believe it requires changes to credit monitoring activity or the calculation of l</w:t>
            </w:r>
            <w:r w:rsidR="00CD0283" w:rsidRPr="005E3961">
              <w:rPr>
                <w:rFonts w:ascii="Arial" w:hAnsi="Arial" w:cs="Arial"/>
                <w:b/>
                <w:bCs/>
              </w:rPr>
              <w:t>iability</w:t>
            </w:r>
            <w:r w:rsidR="00DF745D">
              <w:rPr>
                <w:rFonts w:ascii="Arial" w:hAnsi="Arial" w:cs="Arial"/>
                <w:b/>
                <w:bCs/>
              </w:rPr>
              <w:t>.</w:t>
            </w:r>
          </w:p>
          <w:p w14:paraId="38000D76" w14:textId="77777777" w:rsidR="00DF745D" w:rsidRDefault="00DF745D" w:rsidP="00703060">
            <w:pPr>
              <w:jc w:val="both"/>
              <w:rPr>
                <w:rFonts w:ascii="Arial" w:hAnsi="Arial" w:cs="Arial"/>
                <w:b/>
                <w:bCs/>
              </w:rPr>
            </w:pPr>
          </w:p>
          <w:p w14:paraId="3FFEAA55" w14:textId="4DD76C32" w:rsidR="009236A0" w:rsidRPr="009939FC" w:rsidRDefault="00DF745D" w:rsidP="001F1D16">
            <w:pPr>
              <w:jc w:val="both"/>
              <w:rPr>
                <w:rFonts w:ascii="Arial" w:hAnsi="Arial" w:cs="Arial"/>
                <w:b/>
                <w:bCs/>
              </w:rPr>
            </w:pPr>
            <w:r>
              <w:rPr>
                <w:rFonts w:ascii="Arial" w:hAnsi="Arial" w:cs="Arial"/>
                <w:b/>
                <w:bCs/>
              </w:rPr>
              <w:t>Board Review is required of all TAC Reports and Impact Analyses (Protocol Section 21.3.10)</w:t>
            </w:r>
          </w:p>
          <w:p w14:paraId="79B422EF" w14:textId="77777777" w:rsidR="00FC0272" w:rsidRDefault="00FC0272" w:rsidP="00DF745D">
            <w:pPr>
              <w:ind w:left="360"/>
              <w:rPr>
                <w:rFonts w:ascii="Arial" w:hAnsi="Arial" w:cs="Arial"/>
                <w:b/>
              </w:rPr>
            </w:pPr>
          </w:p>
          <w:p w14:paraId="73F07E84" w14:textId="1E6AAECC" w:rsidR="00FC0272" w:rsidRDefault="00FC0272" w:rsidP="00FC0272">
            <w:pPr>
              <w:numPr>
                <w:ilvl w:val="0"/>
                <w:numId w:val="27"/>
              </w:numPr>
              <w:rPr>
                <w:rFonts w:ascii="Arial" w:hAnsi="Arial" w:cs="Arial"/>
                <w:b/>
                <w:i/>
              </w:rPr>
            </w:pPr>
            <w:hyperlink r:id="rId12" w:history="1">
              <w:r w:rsidRPr="00FC0272">
                <w:rPr>
                  <w:rStyle w:val="Hyperlink"/>
                  <w:rFonts w:ascii="Arial" w:hAnsi="Arial" w:cs="Arial"/>
                  <w:b/>
                  <w:i/>
                </w:rPr>
                <w:t>NPRR12</w:t>
              </w:r>
              <w:r w:rsidR="00CF5DF7">
                <w:rPr>
                  <w:rStyle w:val="Hyperlink"/>
                  <w:rFonts w:ascii="Arial" w:hAnsi="Arial" w:cs="Arial"/>
                  <w:b/>
                  <w:i/>
                </w:rPr>
                <w:t>34</w:t>
              </w:r>
              <w:r w:rsidRPr="00FC0272">
                <w:rPr>
                  <w:rStyle w:val="Hyperlink"/>
                  <w:rFonts w:ascii="Arial" w:hAnsi="Arial" w:cs="Arial"/>
                  <w:b/>
                  <w:i/>
                </w:rPr>
                <w:t>,</w:t>
              </w:r>
              <w:r w:rsidRPr="00FC0272">
                <w:rPr>
                  <w:rStyle w:val="Hyperlink"/>
                </w:rPr>
                <w:t xml:space="preserve"> </w:t>
              </w:r>
              <w:r w:rsidR="00CF5DF7" w:rsidRPr="00CF5DF7">
                <w:rPr>
                  <w:rStyle w:val="Hyperlink"/>
                  <w:rFonts w:ascii="Arial" w:hAnsi="Arial" w:cs="Arial"/>
                  <w:b/>
                  <w:i/>
                </w:rPr>
                <w:t xml:space="preserve">Interconnection Requirements for Large Loads and Modeling Standards for Loads 25 MW or Greater </w:t>
              </w:r>
            </w:hyperlink>
          </w:p>
          <w:p w14:paraId="6C328191" w14:textId="1A0EDE75" w:rsidR="00FC0272" w:rsidRPr="005539E3" w:rsidRDefault="00FC0272" w:rsidP="00FC0272">
            <w:pPr>
              <w:ind w:left="360"/>
              <w:rPr>
                <w:rFonts w:ascii="Arial" w:hAnsi="Arial" w:cs="Arial"/>
                <w:bCs/>
                <w:iCs/>
              </w:rPr>
            </w:pPr>
            <w:r>
              <w:rPr>
                <w:rFonts w:ascii="Arial" w:hAnsi="Arial" w:cs="Arial"/>
                <w:b/>
                <w:iCs/>
              </w:rPr>
              <w:t xml:space="preserve">Sponsor: </w:t>
            </w:r>
            <w:r w:rsidRPr="005F2AE1">
              <w:rPr>
                <w:rFonts w:ascii="Arial" w:hAnsi="Arial" w:cs="Arial"/>
                <w:bCs/>
                <w:iCs/>
              </w:rPr>
              <w:t xml:space="preserve"> </w:t>
            </w:r>
            <w:r w:rsidR="005F2AE1" w:rsidRPr="005F2AE1">
              <w:rPr>
                <w:rFonts w:ascii="Arial" w:hAnsi="Arial" w:cs="Arial"/>
                <w:bCs/>
                <w:iCs/>
              </w:rPr>
              <w:t>ERCOT</w:t>
            </w:r>
          </w:p>
          <w:p w14:paraId="4165EA14" w14:textId="1D8AA9FB" w:rsidR="00FC0272" w:rsidRPr="005539E3" w:rsidRDefault="00FC0272" w:rsidP="00FC0272">
            <w:pPr>
              <w:ind w:left="360"/>
              <w:rPr>
                <w:rFonts w:ascii="Arial" w:hAnsi="Arial" w:cs="Arial"/>
              </w:rPr>
            </w:pPr>
            <w:r w:rsidRPr="005539E3">
              <w:rPr>
                <w:rFonts w:ascii="Arial" w:hAnsi="Arial" w:cs="Arial"/>
                <w:b/>
              </w:rPr>
              <w:t xml:space="preserve">Revision Description:  </w:t>
            </w:r>
            <w:r w:rsidR="005F2AE1" w:rsidRPr="005F2AE1">
              <w:rPr>
                <w:rFonts w:ascii="Arial" w:hAnsi="Arial" w:cs="Arial"/>
                <w:bCs/>
              </w:rPr>
              <w:t xml:space="preserve">This NPRR and the related PGRR115 establish interconnection and modeling requirements for “Large Loads”—defined in this NPRR to refer to one or more Facilities at a single site with an aggregate peak power Demand of 75 MW or more. </w:t>
            </w:r>
            <w:r w:rsidR="005F2AE1">
              <w:rPr>
                <w:rFonts w:ascii="Arial" w:hAnsi="Arial" w:cs="Arial"/>
                <w:bCs/>
              </w:rPr>
              <w:t xml:space="preserve"> </w:t>
            </w:r>
            <w:r w:rsidR="005F2AE1" w:rsidRPr="005F2AE1">
              <w:rPr>
                <w:rFonts w:ascii="Arial" w:hAnsi="Arial" w:cs="Arial"/>
                <w:bCs/>
              </w:rPr>
              <w:t xml:space="preserve">This NPRR also adds a requirement that any Resource Entity that adds 20 MW or more of Load at any site with an existing Generation Resource shall submit a new Reactive Power study. This NPRR also establishes specific Subsynchronous Oscillation (SSO) requirements for Large Loads and revises and supplements SSO-related definitions, in addition to clarifying existing SSO requirements. </w:t>
            </w:r>
            <w:r w:rsidR="005F2AE1">
              <w:rPr>
                <w:rFonts w:ascii="Arial" w:hAnsi="Arial" w:cs="Arial"/>
                <w:bCs/>
              </w:rPr>
              <w:t>T</w:t>
            </w:r>
            <w:r w:rsidR="005F2AE1" w:rsidRPr="005F2AE1">
              <w:rPr>
                <w:rFonts w:ascii="Arial" w:hAnsi="Arial" w:cs="Arial"/>
                <w:bCs/>
              </w:rPr>
              <w:t>his NPRR also establishes new standards for the identification and classification of a site with an aggregate peak Demand of 25 MW or more at a common substation in ERCOT Network Operations Model.  Finally, this NPRR adds a fee for Large Load Interconnection Study (LLIS) Requests to the ERCOT Fee Schedule.</w:t>
            </w:r>
          </w:p>
          <w:p w14:paraId="6165309C" w14:textId="56DA2926" w:rsidR="00FC0272" w:rsidRPr="005539E3" w:rsidRDefault="00FC0272" w:rsidP="00FC0272">
            <w:pPr>
              <w:pStyle w:val="BodyText"/>
              <w:spacing w:before="0" w:after="0"/>
              <w:ind w:left="360"/>
              <w:rPr>
                <w:rFonts w:ascii="Arial" w:hAnsi="Arial" w:cs="Arial"/>
                <w:i/>
              </w:rPr>
            </w:pPr>
            <w:hyperlink r:id="rId13" w:history="1">
              <w:r w:rsidRPr="00FC0272">
                <w:rPr>
                  <w:rStyle w:val="Hyperlink"/>
                  <w:rFonts w:ascii="Arial" w:hAnsi="Arial" w:cs="Arial"/>
                  <w:b/>
                </w:rPr>
                <w:t>Impact Analysis</w:t>
              </w:r>
            </w:hyperlink>
            <w:r w:rsidRPr="005539E3">
              <w:rPr>
                <w:rFonts w:ascii="Arial" w:hAnsi="Arial" w:cs="Arial"/>
                <w:b/>
              </w:rPr>
              <w:t xml:space="preserve">:  </w:t>
            </w:r>
            <w:r w:rsidR="00784809" w:rsidRPr="00784809">
              <w:rPr>
                <w:rFonts w:ascii="Arial" w:hAnsi="Arial" w:cs="Arial"/>
                <w:bCs/>
              </w:rPr>
              <w:t>Between $600</w:t>
            </w:r>
            <w:r w:rsidR="00784809">
              <w:rPr>
                <w:rFonts w:ascii="Arial" w:hAnsi="Arial" w:cs="Arial"/>
                <w:bCs/>
              </w:rPr>
              <w:t>K</w:t>
            </w:r>
            <w:r w:rsidR="00784809" w:rsidRPr="00784809">
              <w:rPr>
                <w:rFonts w:ascii="Arial" w:hAnsi="Arial" w:cs="Arial"/>
                <w:bCs/>
              </w:rPr>
              <w:t xml:space="preserve"> and $800</w:t>
            </w:r>
            <w:r w:rsidR="00784809">
              <w:rPr>
                <w:rFonts w:ascii="Arial" w:hAnsi="Arial" w:cs="Arial"/>
                <w:bCs/>
              </w:rPr>
              <w:t>K</w:t>
            </w:r>
            <w:r w:rsidR="00784809" w:rsidRPr="00784809">
              <w:rPr>
                <w:rFonts w:ascii="Arial" w:hAnsi="Arial" w:cs="Arial"/>
                <w:bCs/>
              </w:rPr>
              <w:t xml:space="preserve"> (budgetary); $180K - $220K (staffing)</w:t>
            </w:r>
            <w:r w:rsidR="005F2AE1">
              <w:rPr>
                <w:rFonts w:ascii="Arial" w:hAnsi="Arial" w:cs="Arial"/>
                <w:bCs/>
              </w:rPr>
              <w:t xml:space="preserve">; (12 – 18 months) </w:t>
            </w:r>
          </w:p>
          <w:p w14:paraId="421E12DF" w14:textId="2184D75F" w:rsidR="00FC0272" w:rsidRPr="005539E3" w:rsidRDefault="00FC0272" w:rsidP="00FC0272">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5F2AE1" w:rsidRPr="005F2AE1">
              <w:rPr>
                <w:rFonts w:ascii="Arial" w:hAnsi="Arial" w:cs="Arial"/>
                <w:bCs/>
              </w:rPr>
              <w:t>Upon system implementation – Priority 2026; Rank 4730</w:t>
            </w:r>
          </w:p>
          <w:p w14:paraId="5F566F4A" w14:textId="419B19DB" w:rsidR="00FC0272" w:rsidRDefault="00FC0272" w:rsidP="00FC0272">
            <w:pPr>
              <w:ind w:left="360"/>
              <w:rPr>
                <w:rFonts w:ascii="Arial" w:hAnsi="Arial" w:cs="Arial"/>
              </w:rPr>
            </w:pPr>
            <w:hyperlink r:id="rId14"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FC5FEF">
              <w:t xml:space="preserve"> </w:t>
            </w:r>
            <w:r w:rsidR="00FC5FEF" w:rsidRPr="00FC5FEF">
              <w:rPr>
                <w:rFonts w:ascii="Arial" w:hAnsi="Arial" w:cs="Arial"/>
              </w:rPr>
              <w:t xml:space="preserve">On 3/26/25, TAC voted unanimously to recommend approval of NPRR1234 as recommended by PRS in the 3/12/25 PRS Report as amended by the 3/25/25 ERCOT comments as revised by TAC.  </w:t>
            </w:r>
          </w:p>
          <w:p w14:paraId="11F84765" w14:textId="2620A7B6" w:rsidR="00FC0272" w:rsidRDefault="00FC0272" w:rsidP="00FC0272">
            <w:pPr>
              <w:ind w:left="360"/>
              <w:rPr>
                <w:rFonts w:ascii="Arial" w:hAnsi="Arial" w:cs="Arial"/>
                <w:bCs/>
                <w:iCs/>
              </w:rPr>
            </w:pPr>
            <w:r>
              <w:rPr>
                <w:rFonts w:ascii="Arial" w:hAnsi="Arial" w:cs="Arial"/>
                <w:b/>
                <w:iCs/>
              </w:rPr>
              <w:t>ERCOT Opinion:</w:t>
            </w:r>
            <w:r>
              <w:rPr>
                <w:rFonts w:ascii="Arial" w:hAnsi="Arial" w:cs="Arial"/>
                <w:bCs/>
                <w:iCs/>
              </w:rPr>
              <w:t xml:space="preserve">  </w:t>
            </w:r>
            <w:r w:rsidR="00F07FC8" w:rsidRPr="00F07FC8">
              <w:rPr>
                <w:rFonts w:ascii="Arial" w:hAnsi="Arial" w:cs="Arial"/>
                <w:bCs/>
                <w:iCs/>
              </w:rPr>
              <w:t>ERCOT supports approval of NPRR12</w:t>
            </w:r>
            <w:r w:rsidR="00CF5DF7">
              <w:rPr>
                <w:rFonts w:ascii="Arial" w:hAnsi="Arial" w:cs="Arial"/>
                <w:bCs/>
                <w:iCs/>
              </w:rPr>
              <w:t>34</w:t>
            </w:r>
            <w:r w:rsidR="00F07FC8" w:rsidRPr="00F07FC8">
              <w:rPr>
                <w:rFonts w:ascii="Arial" w:hAnsi="Arial" w:cs="Arial"/>
                <w:bCs/>
                <w:iCs/>
              </w:rPr>
              <w:t>.</w:t>
            </w:r>
          </w:p>
          <w:p w14:paraId="7CD7BB8A" w14:textId="03344B2A" w:rsidR="00FC0272" w:rsidRDefault="00FC0272" w:rsidP="00FC0272">
            <w:pPr>
              <w:ind w:left="360"/>
              <w:rPr>
                <w:rFonts w:ascii="Arial" w:hAnsi="Arial" w:cs="Arial"/>
                <w:bCs/>
              </w:rPr>
            </w:pPr>
            <w:r>
              <w:rPr>
                <w:rFonts w:ascii="Arial" w:hAnsi="Arial" w:cs="Arial"/>
                <w:b/>
              </w:rPr>
              <w:t xml:space="preserve">ERCOT Market Impact Statement:  </w:t>
            </w:r>
            <w:r w:rsidR="005F2AE1" w:rsidRPr="00A063E5">
              <w:rPr>
                <w:rFonts w:ascii="Arial" w:hAnsi="Arial" w:cs="Arial"/>
                <w:bCs/>
              </w:rPr>
              <w:t>ER</w:t>
            </w:r>
            <w:r w:rsidR="005F2AE1" w:rsidRPr="005F2AE1">
              <w:rPr>
                <w:rFonts w:ascii="Arial" w:hAnsi="Arial" w:cs="Arial"/>
                <w:bCs/>
              </w:rPr>
              <w:t>COT Staff has reviewed NPRR1234 and believes the market impact for NPRR1234, along with PGRR115, provides necessary structure and clarification to the interconnection requirements for Large Loads.</w:t>
            </w:r>
          </w:p>
          <w:p w14:paraId="7B4292C4" w14:textId="07D676E8" w:rsidR="00FC0272" w:rsidRDefault="00FC0272" w:rsidP="00F07FC8">
            <w:pPr>
              <w:ind w:left="360"/>
              <w:rPr>
                <w:rFonts w:ascii="Arial" w:hAnsi="Arial" w:cs="Arial"/>
              </w:rPr>
            </w:pPr>
            <w:r>
              <w:rPr>
                <w:rFonts w:ascii="Arial" w:hAnsi="Arial" w:cs="Arial"/>
                <w:b/>
              </w:rPr>
              <w:t>IMM Opinion:</w:t>
            </w:r>
            <w:r>
              <w:rPr>
                <w:rFonts w:ascii="Arial" w:hAnsi="Arial" w:cs="Arial"/>
              </w:rPr>
              <w:t xml:space="preserve">  </w:t>
            </w:r>
            <w:r w:rsidR="005F2AE1" w:rsidRPr="005F2AE1">
              <w:rPr>
                <w:rFonts w:ascii="Arial" w:hAnsi="Arial" w:cs="Arial"/>
              </w:rPr>
              <w:t>IMM has no opinion on NPRR1234.</w:t>
            </w:r>
          </w:p>
          <w:p w14:paraId="4405704D" w14:textId="42701725" w:rsidR="00FC0272" w:rsidRDefault="00FC0272" w:rsidP="00FC0272">
            <w:pPr>
              <w:ind w:left="360"/>
              <w:rPr>
                <w:rFonts w:ascii="Arial" w:hAnsi="Arial" w:cs="Arial"/>
                <w:b/>
              </w:rPr>
            </w:pPr>
            <w:hyperlink r:id="rId15"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5EB7CF22" w14:textId="77777777" w:rsidR="00CF5DF7" w:rsidRDefault="00CF5DF7" w:rsidP="00FC0272">
            <w:pPr>
              <w:ind w:left="360"/>
              <w:rPr>
                <w:rFonts w:ascii="Arial" w:hAnsi="Arial" w:cs="Arial"/>
                <w:b/>
              </w:rPr>
            </w:pPr>
          </w:p>
          <w:p w14:paraId="144C998B" w14:textId="795DA766" w:rsidR="00CF5DF7" w:rsidRDefault="00CF5DF7" w:rsidP="00CF5DF7">
            <w:pPr>
              <w:numPr>
                <w:ilvl w:val="0"/>
                <w:numId w:val="27"/>
              </w:numPr>
              <w:rPr>
                <w:rFonts w:ascii="Arial" w:hAnsi="Arial" w:cs="Arial"/>
                <w:b/>
                <w:i/>
              </w:rPr>
            </w:pPr>
            <w:hyperlink r:id="rId16" w:history="1">
              <w:r>
                <w:t xml:space="preserve"> </w:t>
              </w:r>
              <w:r w:rsidRPr="00CF5DF7">
                <w:rPr>
                  <w:rStyle w:val="Hyperlink"/>
                  <w:rFonts w:ascii="Arial" w:hAnsi="Arial" w:cs="Arial"/>
                  <w:b/>
                  <w:i/>
                </w:rPr>
                <w:t xml:space="preserve">NPRR1241, Firm Fuel Supply Service (FFSS) Availability and Hourly Standby Fee </w:t>
              </w:r>
            </w:hyperlink>
          </w:p>
          <w:p w14:paraId="59AB1374" w14:textId="4C77D08B" w:rsidR="00CF5DF7" w:rsidRPr="005539E3" w:rsidRDefault="00CF5DF7" w:rsidP="00CF5DF7">
            <w:pPr>
              <w:ind w:left="360"/>
              <w:rPr>
                <w:rFonts w:ascii="Arial" w:hAnsi="Arial" w:cs="Arial"/>
                <w:bCs/>
                <w:iCs/>
              </w:rPr>
            </w:pPr>
            <w:r>
              <w:rPr>
                <w:rFonts w:ascii="Arial" w:hAnsi="Arial" w:cs="Arial"/>
                <w:b/>
                <w:iCs/>
              </w:rPr>
              <w:t xml:space="preserve">Sponsor:  </w:t>
            </w:r>
            <w:r w:rsidR="00A063E5" w:rsidRPr="00A063E5">
              <w:rPr>
                <w:rFonts w:ascii="Arial" w:hAnsi="Arial" w:cs="Arial"/>
                <w:bCs/>
                <w:iCs/>
              </w:rPr>
              <w:t>Luminant</w:t>
            </w:r>
          </w:p>
          <w:p w14:paraId="13163E8E" w14:textId="4B3B2524" w:rsidR="00CF5DF7" w:rsidRPr="005539E3" w:rsidRDefault="00CF5DF7" w:rsidP="00CF5DF7">
            <w:pPr>
              <w:ind w:left="360"/>
              <w:rPr>
                <w:rFonts w:ascii="Arial" w:hAnsi="Arial" w:cs="Arial"/>
              </w:rPr>
            </w:pPr>
            <w:r w:rsidRPr="005539E3">
              <w:rPr>
                <w:rFonts w:ascii="Arial" w:hAnsi="Arial" w:cs="Arial"/>
                <w:b/>
              </w:rPr>
              <w:t xml:space="preserve">Revision Description:  </w:t>
            </w:r>
            <w:r w:rsidR="00A063E5" w:rsidRPr="00A063E5">
              <w:rPr>
                <w:rFonts w:ascii="Arial" w:hAnsi="Arial" w:cs="Arial"/>
                <w:bCs/>
              </w:rPr>
              <w:t>This Nodal Protocol Revision Request (NPRR) provides equity and clarity surrounding the hourly standby fee claw backs for Firm Fuel Supply Service (FFSS) during a Watch for winter weather using a linear curve formula.</w:t>
            </w:r>
          </w:p>
          <w:p w14:paraId="576A9943" w14:textId="1DA375D6" w:rsidR="00CF5DF7" w:rsidRPr="005539E3" w:rsidRDefault="00CF5DF7" w:rsidP="00CF5DF7">
            <w:pPr>
              <w:pStyle w:val="BodyText"/>
              <w:spacing w:before="0" w:after="0"/>
              <w:ind w:left="360"/>
              <w:rPr>
                <w:rFonts w:ascii="Arial" w:hAnsi="Arial" w:cs="Arial"/>
                <w:i/>
              </w:rPr>
            </w:pPr>
            <w:hyperlink r:id="rId17" w:history="1">
              <w:r w:rsidRPr="00FC0272">
                <w:rPr>
                  <w:rStyle w:val="Hyperlink"/>
                  <w:rFonts w:ascii="Arial" w:hAnsi="Arial" w:cs="Arial"/>
                  <w:b/>
                </w:rPr>
                <w:t>Impact Analysis</w:t>
              </w:r>
            </w:hyperlink>
            <w:r w:rsidRPr="005539E3">
              <w:rPr>
                <w:rFonts w:ascii="Arial" w:hAnsi="Arial" w:cs="Arial"/>
                <w:b/>
              </w:rPr>
              <w:t xml:space="preserve">:  </w:t>
            </w:r>
            <w:r w:rsidR="00A063E5" w:rsidRPr="00A063E5">
              <w:rPr>
                <w:rFonts w:ascii="Arial" w:hAnsi="Arial" w:cs="Arial"/>
                <w:bCs/>
              </w:rPr>
              <w:t>No impact</w:t>
            </w:r>
          </w:p>
          <w:p w14:paraId="2F868AB7" w14:textId="109500CF" w:rsidR="00CF5DF7" w:rsidRPr="005539E3" w:rsidRDefault="00CF5DF7" w:rsidP="00CF5DF7">
            <w:pPr>
              <w:pStyle w:val="BodyText"/>
              <w:spacing w:before="0" w:after="0"/>
              <w:ind w:left="360"/>
              <w:rPr>
                <w:rFonts w:ascii="Arial" w:hAnsi="Arial" w:cs="Arial"/>
              </w:rPr>
            </w:pPr>
            <w:r w:rsidRPr="005539E3">
              <w:rPr>
                <w:rFonts w:ascii="Arial" w:hAnsi="Arial" w:cs="Arial"/>
                <w:b/>
              </w:rPr>
              <w:lastRenderedPageBreak/>
              <w:t xml:space="preserve">Proposed Effective Date: </w:t>
            </w:r>
            <w:r>
              <w:rPr>
                <w:rFonts w:ascii="Arial" w:hAnsi="Arial" w:cs="Arial"/>
                <w:b/>
              </w:rPr>
              <w:t xml:space="preserve"> </w:t>
            </w:r>
            <w:r w:rsidR="00A063E5" w:rsidRPr="00A063E5">
              <w:rPr>
                <w:rFonts w:ascii="Arial" w:hAnsi="Arial" w:cs="Arial"/>
                <w:bCs/>
              </w:rPr>
              <w:t>First of the month following Public Utility Commission of Texas (PUCT) approval</w:t>
            </w:r>
          </w:p>
          <w:p w14:paraId="57844D1F" w14:textId="2ACAE080" w:rsidR="00CF5DF7" w:rsidRDefault="00CF5DF7" w:rsidP="00CF5DF7">
            <w:pPr>
              <w:ind w:left="360"/>
              <w:rPr>
                <w:rFonts w:ascii="Arial" w:hAnsi="Arial" w:cs="Arial"/>
              </w:rPr>
            </w:pPr>
            <w:hyperlink r:id="rId18"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483FF7" w:rsidRPr="00483FF7">
              <w:rPr>
                <w:rFonts w:ascii="Arial" w:hAnsi="Arial" w:cs="Arial"/>
              </w:rPr>
              <w:t>On 2/27/25, TAC voted unanimously to recommend approval of NPRR1241 as recommended by PRS in the 2/12/25 PRS Report.</w:t>
            </w:r>
          </w:p>
          <w:p w14:paraId="098F7269" w14:textId="3DD641D0" w:rsidR="00CF5DF7" w:rsidRDefault="00CF5DF7" w:rsidP="00CF5DF7">
            <w:pPr>
              <w:ind w:left="360"/>
              <w:rPr>
                <w:rFonts w:ascii="Arial" w:hAnsi="Arial" w:cs="Arial"/>
                <w:bCs/>
                <w:iCs/>
              </w:rPr>
            </w:pPr>
            <w:r>
              <w:rPr>
                <w:rFonts w:ascii="Arial" w:hAnsi="Arial" w:cs="Arial"/>
                <w:b/>
                <w:iCs/>
              </w:rPr>
              <w:t>ERCOT Opinion:</w:t>
            </w:r>
            <w:r>
              <w:rPr>
                <w:rFonts w:ascii="Arial" w:hAnsi="Arial" w:cs="Arial"/>
                <w:bCs/>
                <w:iCs/>
              </w:rPr>
              <w:t xml:space="preserve">  </w:t>
            </w:r>
            <w:r w:rsidRPr="00F07FC8">
              <w:rPr>
                <w:rFonts w:ascii="Arial" w:hAnsi="Arial" w:cs="Arial"/>
                <w:bCs/>
                <w:iCs/>
              </w:rPr>
              <w:t>ERCOT supports approval of NPRR12</w:t>
            </w:r>
            <w:r>
              <w:rPr>
                <w:rFonts w:ascii="Arial" w:hAnsi="Arial" w:cs="Arial"/>
                <w:bCs/>
                <w:iCs/>
              </w:rPr>
              <w:t>41</w:t>
            </w:r>
            <w:r w:rsidRPr="00F07FC8">
              <w:rPr>
                <w:rFonts w:ascii="Arial" w:hAnsi="Arial" w:cs="Arial"/>
                <w:bCs/>
                <w:iCs/>
              </w:rPr>
              <w:t>.</w:t>
            </w:r>
          </w:p>
          <w:p w14:paraId="5F24D8F2" w14:textId="7CFCC10B" w:rsidR="00CF5DF7" w:rsidRDefault="00CF5DF7" w:rsidP="00CF5DF7">
            <w:pPr>
              <w:ind w:left="360"/>
              <w:rPr>
                <w:rFonts w:ascii="Arial" w:hAnsi="Arial" w:cs="Arial"/>
                <w:bCs/>
              </w:rPr>
            </w:pPr>
            <w:r>
              <w:rPr>
                <w:rFonts w:ascii="Arial" w:hAnsi="Arial" w:cs="Arial"/>
                <w:b/>
              </w:rPr>
              <w:t xml:space="preserve">ERCOT Market Impact Statement:  </w:t>
            </w:r>
            <w:r w:rsidR="00A063E5" w:rsidRPr="00A063E5">
              <w:rPr>
                <w:rFonts w:ascii="Arial" w:hAnsi="Arial" w:cs="Arial"/>
                <w:bCs/>
              </w:rPr>
              <w:t xml:space="preserve">ERCOT Staff has reviewed NPRR1241 and believes the market impact for NPRR1241 maintains appropriate penalties for unavailability during a Watch for winter weather while providing improved incentives for impacted </w:t>
            </w:r>
            <w:r w:rsidR="004146C4" w:rsidRPr="00A063E5">
              <w:rPr>
                <w:rFonts w:ascii="Arial" w:hAnsi="Arial" w:cs="Arial"/>
                <w:bCs/>
              </w:rPr>
              <w:t xml:space="preserve">Firm Fuel Supply Service </w:t>
            </w:r>
            <w:r w:rsidR="004146C4">
              <w:rPr>
                <w:rFonts w:ascii="Arial" w:hAnsi="Arial" w:cs="Arial"/>
                <w:bCs/>
              </w:rPr>
              <w:t>Resources (</w:t>
            </w:r>
            <w:r w:rsidR="00A063E5" w:rsidRPr="00A063E5">
              <w:rPr>
                <w:rFonts w:ascii="Arial" w:hAnsi="Arial" w:cs="Arial"/>
                <w:bCs/>
              </w:rPr>
              <w:t>FFSSRs</w:t>
            </w:r>
            <w:r w:rsidR="004146C4">
              <w:rPr>
                <w:rFonts w:ascii="Arial" w:hAnsi="Arial" w:cs="Arial"/>
                <w:bCs/>
              </w:rPr>
              <w:t>)</w:t>
            </w:r>
            <w:r w:rsidR="00A063E5" w:rsidRPr="00A063E5">
              <w:rPr>
                <w:rFonts w:ascii="Arial" w:hAnsi="Arial" w:cs="Arial"/>
                <w:bCs/>
              </w:rPr>
              <w:t xml:space="preserve"> to restore their availability as soon as possible.</w:t>
            </w:r>
          </w:p>
          <w:p w14:paraId="23A39B99" w14:textId="2024D4A9" w:rsidR="00CF5DF7" w:rsidRDefault="00CF5DF7" w:rsidP="00CF5DF7">
            <w:pPr>
              <w:ind w:left="360"/>
              <w:rPr>
                <w:rFonts w:ascii="Arial" w:hAnsi="Arial" w:cs="Arial"/>
              </w:rPr>
            </w:pPr>
            <w:r>
              <w:rPr>
                <w:rFonts w:ascii="Arial" w:hAnsi="Arial" w:cs="Arial"/>
                <w:b/>
              </w:rPr>
              <w:t>IMM Opinion:</w:t>
            </w:r>
            <w:r>
              <w:rPr>
                <w:rFonts w:ascii="Arial" w:hAnsi="Arial" w:cs="Arial"/>
              </w:rPr>
              <w:t xml:space="preserve">  </w:t>
            </w:r>
            <w:r w:rsidR="00A063E5" w:rsidRPr="00A063E5">
              <w:rPr>
                <w:rFonts w:ascii="Arial" w:hAnsi="Arial" w:cs="Arial"/>
              </w:rPr>
              <w:t>IMM supports NPRR1241.</w:t>
            </w:r>
          </w:p>
          <w:p w14:paraId="569514B2" w14:textId="40EDF0B7" w:rsidR="00CF5DF7" w:rsidRDefault="00CF5DF7" w:rsidP="00CF5DF7">
            <w:pPr>
              <w:ind w:left="360"/>
              <w:rPr>
                <w:rFonts w:ascii="Arial" w:hAnsi="Arial" w:cs="Arial"/>
                <w:b/>
              </w:rPr>
            </w:pPr>
            <w:hyperlink r:id="rId19"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1EE00C82" w14:textId="77777777" w:rsidR="00CF5DF7" w:rsidRDefault="00CF5DF7" w:rsidP="00FC0272">
            <w:pPr>
              <w:ind w:left="360"/>
              <w:rPr>
                <w:rFonts w:ascii="Arial" w:hAnsi="Arial" w:cs="Arial"/>
                <w:b/>
              </w:rPr>
            </w:pPr>
          </w:p>
          <w:p w14:paraId="3B1EC591" w14:textId="285B9B17" w:rsidR="00CF5DF7" w:rsidRDefault="00CF5DF7" w:rsidP="00CF5DF7">
            <w:pPr>
              <w:numPr>
                <w:ilvl w:val="0"/>
                <w:numId w:val="27"/>
              </w:numPr>
              <w:rPr>
                <w:rFonts w:ascii="Arial" w:hAnsi="Arial" w:cs="Arial"/>
                <w:b/>
                <w:i/>
              </w:rPr>
            </w:pPr>
            <w:hyperlink r:id="rId20" w:history="1">
              <w:r w:rsidRPr="00CF5DF7">
                <w:rPr>
                  <w:rStyle w:val="Hyperlink"/>
                  <w:rFonts w:ascii="Arial" w:hAnsi="Arial" w:cs="Arial"/>
                  <w:b/>
                  <w:i/>
                </w:rPr>
                <w:t xml:space="preserve">NPRR1256, Settlement of MRA of ESRs </w:t>
              </w:r>
            </w:hyperlink>
          </w:p>
          <w:p w14:paraId="268E103D" w14:textId="05D4D5E5" w:rsidR="00CF5DF7" w:rsidRPr="005539E3" w:rsidRDefault="00CF5DF7" w:rsidP="00CF5DF7">
            <w:pPr>
              <w:ind w:left="360"/>
              <w:rPr>
                <w:rFonts w:ascii="Arial" w:hAnsi="Arial" w:cs="Arial"/>
                <w:bCs/>
                <w:iCs/>
              </w:rPr>
            </w:pPr>
            <w:r>
              <w:rPr>
                <w:rFonts w:ascii="Arial" w:hAnsi="Arial" w:cs="Arial"/>
                <w:b/>
                <w:iCs/>
              </w:rPr>
              <w:t xml:space="preserve">Sponsor:  </w:t>
            </w:r>
            <w:r w:rsidR="00FC4603" w:rsidRPr="00FC4603">
              <w:rPr>
                <w:rFonts w:ascii="Arial" w:hAnsi="Arial" w:cs="Arial"/>
                <w:bCs/>
                <w:iCs/>
              </w:rPr>
              <w:t>ERCOT</w:t>
            </w:r>
          </w:p>
          <w:p w14:paraId="3311AF5B" w14:textId="5C1DE1A8" w:rsidR="00CF5DF7" w:rsidRPr="005539E3" w:rsidRDefault="00CF5DF7" w:rsidP="00CF5DF7">
            <w:pPr>
              <w:ind w:left="360"/>
              <w:rPr>
                <w:rFonts w:ascii="Arial" w:hAnsi="Arial" w:cs="Arial"/>
              </w:rPr>
            </w:pPr>
            <w:r w:rsidRPr="005539E3">
              <w:rPr>
                <w:rFonts w:ascii="Arial" w:hAnsi="Arial" w:cs="Arial"/>
                <w:b/>
              </w:rPr>
              <w:t xml:space="preserve">Revision Description:  </w:t>
            </w:r>
            <w:r w:rsidR="00FC4603" w:rsidRPr="00FC4603">
              <w:rPr>
                <w:rFonts w:ascii="Arial" w:hAnsi="Arial" w:cs="Arial"/>
                <w:bCs/>
              </w:rPr>
              <w:t>This NPRR changes language in select provisions in Section 6, Adjustment Period and Real-Time Operations, related to Must-Run Alternatives (MRAs) primarily in grey-boxed language from NPRR885 in order to align the terminology for Energy Storage Resources (ESRs) for the single-model era and specify how Qualified Scheduling Entities (QSEs) representing ESR MRAs would be settled for the provision of MRA Service. The Settlement changes reflect that ESR MRAs would not have fuel costs, but would have costs associated with charging.</w:t>
            </w:r>
          </w:p>
          <w:p w14:paraId="4880FC91" w14:textId="4432898E" w:rsidR="00CF5DF7" w:rsidRPr="005539E3" w:rsidRDefault="00CF5DF7" w:rsidP="00CF5DF7">
            <w:pPr>
              <w:pStyle w:val="BodyText"/>
              <w:spacing w:before="0" w:after="0"/>
              <w:ind w:left="360"/>
              <w:rPr>
                <w:rFonts w:ascii="Arial" w:hAnsi="Arial" w:cs="Arial"/>
                <w:i/>
              </w:rPr>
            </w:pPr>
            <w:hyperlink r:id="rId21" w:history="1">
              <w:r w:rsidRPr="00FC0272">
                <w:rPr>
                  <w:rStyle w:val="Hyperlink"/>
                  <w:rFonts w:ascii="Arial" w:hAnsi="Arial" w:cs="Arial"/>
                  <w:b/>
                </w:rPr>
                <w:t>Impact Analysis</w:t>
              </w:r>
            </w:hyperlink>
            <w:r w:rsidRPr="005539E3">
              <w:rPr>
                <w:rFonts w:ascii="Arial" w:hAnsi="Arial" w:cs="Arial"/>
                <w:b/>
              </w:rPr>
              <w:t xml:space="preserve">:  </w:t>
            </w:r>
            <w:r w:rsidR="00FC4603" w:rsidRPr="00FC4603">
              <w:rPr>
                <w:rFonts w:ascii="Arial" w:hAnsi="Arial" w:cs="Arial"/>
                <w:bCs/>
              </w:rPr>
              <w:t>$25K - $50K (3 – 5 months)</w:t>
            </w:r>
          </w:p>
          <w:p w14:paraId="17661D98" w14:textId="3BF5DC3C" w:rsidR="00CF5DF7" w:rsidRPr="005539E3" w:rsidRDefault="00CF5DF7" w:rsidP="00CF5DF7">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FC4603" w:rsidRPr="00FC4603">
              <w:rPr>
                <w:rFonts w:ascii="Arial" w:hAnsi="Arial" w:cs="Arial"/>
                <w:bCs/>
              </w:rPr>
              <w:t>Upon system implementation; and upon system implementation of NPRR885, Must-Run Alternative (MRA) Details and Revisions Resulting from PUCT Project No. 46369, Rulemaking Relating to Reliability Must-Run Service</w:t>
            </w:r>
          </w:p>
          <w:p w14:paraId="438A1EAB" w14:textId="1AAB24E2" w:rsidR="00CF5DF7" w:rsidRDefault="00CF5DF7" w:rsidP="00CF5DF7">
            <w:pPr>
              <w:ind w:left="360"/>
              <w:rPr>
                <w:rFonts w:ascii="Arial" w:hAnsi="Arial" w:cs="Arial"/>
              </w:rPr>
            </w:pPr>
            <w:hyperlink r:id="rId22"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FC5FEF">
              <w:t xml:space="preserve"> </w:t>
            </w:r>
            <w:r w:rsidR="00FC5FEF" w:rsidRPr="00FC5FEF">
              <w:rPr>
                <w:rFonts w:ascii="Arial" w:hAnsi="Arial" w:cs="Arial"/>
              </w:rPr>
              <w:t xml:space="preserve">On 3/26/25, TAC voted unanimously to recommend approval of NPRR1256 as recommended by PRS in the 3/12/25 PRS Report as revised by TAC.  </w:t>
            </w:r>
          </w:p>
          <w:p w14:paraId="24C766C8" w14:textId="165EB640" w:rsidR="00CF5DF7" w:rsidRDefault="00CF5DF7" w:rsidP="00CF5DF7">
            <w:pPr>
              <w:ind w:left="360"/>
              <w:rPr>
                <w:rFonts w:ascii="Arial" w:hAnsi="Arial" w:cs="Arial"/>
                <w:bCs/>
                <w:iCs/>
              </w:rPr>
            </w:pPr>
            <w:r>
              <w:rPr>
                <w:rFonts w:ascii="Arial" w:hAnsi="Arial" w:cs="Arial"/>
                <w:b/>
                <w:iCs/>
              </w:rPr>
              <w:t>ERCOT Opinion:</w:t>
            </w:r>
            <w:r>
              <w:rPr>
                <w:rFonts w:ascii="Arial" w:hAnsi="Arial" w:cs="Arial"/>
                <w:bCs/>
                <w:iCs/>
              </w:rPr>
              <w:t xml:space="preserve">  </w:t>
            </w:r>
            <w:r w:rsidRPr="00F07FC8">
              <w:rPr>
                <w:rFonts w:ascii="Arial" w:hAnsi="Arial" w:cs="Arial"/>
                <w:bCs/>
                <w:iCs/>
              </w:rPr>
              <w:t>ERCOT supports approval of NPRR12</w:t>
            </w:r>
            <w:r>
              <w:rPr>
                <w:rFonts w:ascii="Arial" w:hAnsi="Arial" w:cs="Arial"/>
                <w:bCs/>
                <w:iCs/>
              </w:rPr>
              <w:t>5</w:t>
            </w:r>
            <w:r w:rsidR="00FC4603">
              <w:rPr>
                <w:rFonts w:ascii="Arial" w:hAnsi="Arial" w:cs="Arial"/>
                <w:bCs/>
                <w:iCs/>
              </w:rPr>
              <w:t>6</w:t>
            </w:r>
            <w:r w:rsidRPr="00F07FC8">
              <w:rPr>
                <w:rFonts w:ascii="Arial" w:hAnsi="Arial" w:cs="Arial"/>
                <w:bCs/>
                <w:iCs/>
              </w:rPr>
              <w:t>.</w:t>
            </w:r>
          </w:p>
          <w:p w14:paraId="10BEC646" w14:textId="58D365EB" w:rsidR="00CF5DF7" w:rsidRDefault="00CF5DF7" w:rsidP="00CF5DF7">
            <w:pPr>
              <w:ind w:left="360"/>
              <w:rPr>
                <w:rFonts w:ascii="Arial" w:hAnsi="Arial" w:cs="Arial"/>
                <w:bCs/>
              </w:rPr>
            </w:pPr>
            <w:r>
              <w:rPr>
                <w:rFonts w:ascii="Arial" w:hAnsi="Arial" w:cs="Arial"/>
                <w:b/>
              </w:rPr>
              <w:t xml:space="preserve">ERCOT Market Impact Statement:  </w:t>
            </w:r>
            <w:r w:rsidR="00FC4603" w:rsidRPr="00FC4603">
              <w:rPr>
                <w:rFonts w:ascii="Arial" w:hAnsi="Arial" w:cs="Arial"/>
                <w:bCs/>
              </w:rPr>
              <w:t>ERCOT Staff has reviewed NPRR1256 and believes the market impact for NPRR1256 clarifies the Settlement treatment of ESR MRAs.</w:t>
            </w:r>
          </w:p>
          <w:p w14:paraId="01C92714" w14:textId="20A0682D" w:rsidR="00CF5DF7" w:rsidRDefault="00CF5DF7" w:rsidP="00FC4603">
            <w:pPr>
              <w:ind w:left="360"/>
              <w:rPr>
                <w:rFonts w:ascii="Arial" w:hAnsi="Arial" w:cs="Arial"/>
              </w:rPr>
            </w:pPr>
            <w:r>
              <w:rPr>
                <w:rFonts w:ascii="Arial" w:hAnsi="Arial" w:cs="Arial"/>
                <w:b/>
              </w:rPr>
              <w:t>IMM Opinion:</w:t>
            </w:r>
            <w:r>
              <w:rPr>
                <w:rFonts w:ascii="Arial" w:hAnsi="Arial" w:cs="Arial"/>
              </w:rPr>
              <w:t xml:space="preserve">  </w:t>
            </w:r>
            <w:r w:rsidR="00FC4603" w:rsidRPr="00FC4603">
              <w:rPr>
                <w:rFonts w:ascii="Arial" w:hAnsi="Arial" w:cs="Arial"/>
              </w:rPr>
              <w:t>IMM has no opinion on NPRR1256.</w:t>
            </w:r>
          </w:p>
          <w:p w14:paraId="1CECCDDC" w14:textId="713DE641" w:rsidR="00CF5DF7" w:rsidRDefault="00CF5DF7" w:rsidP="00CF5DF7">
            <w:pPr>
              <w:ind w:left="360"/>
              <w:rPr>
                <w:rFonts w:ascii="Arial" w:hAnsi="Arial" w:cs="Arial"/>
                <w:b/>
              </w:rPr>
            </w:pPr>
            <w:hyperlink r:id="rId23"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5314FB55" w14:textId="77777777" w:rsidR="00DF745D" w:rsidRDefault="00DF745D" w:rsidP="00FC0272">
            <w:pPr>
              <w:rPr>
                <w:rFonts w:ascii="Arial" w:hAnsi="Arial" w:cs="Arial"/>
              </w:rPr>
            </w:pPr>
          </w:p>
          <w:p w14:paraId="6BE2A441" w14:textId="42C209EB" w:rsidR="00781B5C" w:rsidRDefault="00781B5C" w:rsidP="00781B5C">
            <w:pPr>
              <w:numPr>
                <w:ilvl w:val="0"/>
                <w:numId w:val="27"/>
              </w:numPr>
              <w:rPr>
                <w:rFonts w:ascii="Arial" w:hAnsi="Arial" w:cs="Arial"/>
                <w:b/>
                <w:i/>
              </w:rPr>
            </w:pPr>
            <w:hyperlink r:id="rId24" w:history="1">
              <w:r w:rsidRPr="00781B5C">
                <w:rPr>
                  <w:rStyle w:val="Hyperlink"/>
                  <w:rFonts w:ascii="Arial" w:hAnsi="Arial" w:cs="Arial"/>
                  <w:b/>
                  <w:i/>
                </w:rPr>
                <w:t>NPRR1268, RTC – Modification of Ancillary Service Demand Curves – URGENT</w:t>
              </w:r>
              <w:r w:rsidRPr="00CF5DF7">
                <w:rPr>
                  <w:rStyle w:val="Hyperlink"/>
                  <w:rFonts w:ascii="Arial" w:hAnsi="Arial" w:cs="Arial"/>
                  <w:b/>
                  <w:i/>
                </w:rPr>
                <w:t xml:space="preserve"> </w:t>
              </w:r>
            </w:hyperlink>
          </w:p>
          <w:p w14:paraId="70C43843" w14:textId="2E22F123" w:rsidR="00781B5C" w:rsidRPr="005539E3" w:rsidRDefault="00781B5C" w:rsidP="00781B5C">
            <w:pPr>
              <w:ind w:left="360"/>
              <w:rPr>
                <w:rFonts w:ascii="Arial" w:hAnsi="Arial" w:cs="Arial"/>
                <w:bCs/>
                <w:iCs/>
              </w:rPr>
            </w:pPr>
            <w:r>
              <w:rPr>
                <w:rFonts w:ascii="Arial" w:hAnsi="Arial" w:cs="Arial"/>
                <w:b/>
                <w:iCs/>
              </w:rPr>
              <w:t xml:space="preserve">Sponsor:  </w:t>
            </w:r>
            <w:r w:rsidR="00FC4603" w:rsidRPr="00FC4603">
              <w:rPr>
                <w:rFonts w:ascii="Arial" w:hAnsi="Arial" w:cs="Arial"/>
                <w:bCs/>
                <w:iCs/>
              </w:rPr>
              <w:t>IMM</w:t>
            </w:r>
          </w:p>
          <w:p w14:paraId="32AF5CD9" w14:textId="048914DB" w:rsidR="00781B5C" w:rsidRPr="005539E3" w:rsidRDefault="00781B5C" w:rsidP="00781B5C">
            <w:pPr>
              <w:ind w:left="360"/>
              <w:rPr>
                <w:rFonts w:ascii="Arial" w:hAnsi="Arial" w:cs="Arial"/>
              </w:rPr>
            </w:pPr>
            <w:r w:rsidRPr="005539E3">
              <w:rPr>
                <w:rFonts w:ascii="Arial" w:hAnsi="Arial" w:cs="Arial"/>
                <w:b/>
              </w:rPr>
              <w:t xml:space="preserve">Revision Description:  </w:t>
            </w:r>
            <w:r w:rsidR="00D9405D" w:rsidRPr="00D9405D">
              <w:rPr>
                <w:rFonts w:ascii="Arial" w:hAnsi="Arial" w:cs="Arial"/>
                <w:bCs/>
              </w:rPr>
              <w:t>This NPRR defines a methodology for disaggregating the Operating Reserve Demand Curve (ORDC), creating “blended” Ancillary Service Demand Curves (ASDCs).</w:t>
            </w:r>
          </w:p>
          <w:p w14:paraId="0C89CA13" w14:textId="69061594" w:rsidR="00781B5C" w:rsidRPr="00D9405D" w:rsidRDefault="00781B5C" w:rsidP="00D9405D">
            <w:pPr>
              <w:pStyle w:val="BodyText"/>
              <w:spacing w:before="0" w:after="0"/>
              <w:ind w:left="360"/>
              <w:rPr>
                <w:rFonts w:ascii="Arial" w:hAnsi="Arial" w:cs="Arial"/>
                <w:bCs/>
              </w:rPr>
            </w:pPr>
            <w:hyperlink r:id="rId25" w:history="1">
              <w:r w:rsidRPr="00FC0272">
                <w:rPr>
                  <w:rStyle w:val="Hyperlink"/>
                  <w:rFonts w:ascii="Arial" w:hAnsi="Arial" w:cs="Arial"/>
                  <w:b/>
                </w:rPr>
                <w:t>Impact Analysis</w:t>
              </w:r>
            </w:hyperlink>
            <w:r w:rsidRPr="005539E3">
              <w:rPr>
                <w:rFonts w:ascii="Arial" w:hAnsi="Arial" w:cs="Arial"/>
                <w:b/>
              </w:rPr>
              <w:t xml:space="preserve">:  </w:t>
            </w:r>
            <w:r w:rsidR="00D9405D" w:rsidRPr="00D9405D">
              <w:rPr>
                <w:rFonts w:ascii="Arial" w:hAnsi="Arial" w:cs="Arial"/>
                <w:bCs/>
              </w:rPr>
              <w:t>No impact</w:t>
            </w:r>
            <w:r w:rsidR="00D9405D">
              <w:rPr>
                <w:rFonts w:ascii="Arial" w:hAnsi="Arial" w:cs="Arial"/>
                <w:bCs/>
              </w:rPr>
              <w:t xml:space="preserve"> (</w:t>
            </w:r>
            <w:r w:rsidR="00D9405D" w:rsidRPr="00D9405D">
              <w:rPr>
                <w:rFonts w:ascii="Arial" w:hAnsi="Arial" w:cs="Arial"/>
                <w:bCs/>
              </w:rPr>
              <w:t>There are no additional impacts to this NPRR beyond what was captured in PR447, Real-Time</w:t>
            </w:r>
            <w:r w:rsidR="00D9405D">
              <w:rPr>
                <w:rFonts w:ascii="Arial" w:hAnsi="Arial" w:cs="Arial"/>
                <w:bCs/>
              </w:rPr>
              <w:t xml:space="preserve"> </w:t>
            </w:r>
            <w:r w:rsidR="00D9405D" w:rsidRPr="00D9405D">
              <w:rPr>
                <w:rFonts w:ascii="Arial" w:hAnsi="Arial" w:cs="Arial"/>
                <w:bCs/>
              </w:rPr>
              <w:t>Co-optimization</w:t>
            </w:r>
            <w:r w:rsidR="00D9405D">
              <w:rPr>
                <w:rFonts w:ascii="Arial" w:hAnsi="Arial" w:cs="Arial"/>
                <w:bCs/>
              </w:rPr>
              <w:t>)</w:t>
            </w:r>
          </w:p>
          <w:p w14:paraId="1D19FB31" w14:textId="3E973E97" w:rsidR="00781B5C" w:rsidRPr="005539E3" w:rsidRDefault="00781B5C" w:rsidP="00781B5C">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D9405D">
              <w:rPr>
                <w:rFonts w:ascii="Arial" w:hAnsi="Arial" w:cs="Arial"/>
                <w:bCs/>
              </w:rPr>
              <w:t>U</w:t>
            </w:r>
            <w:r w:rsidR="00D9405D" w:rsidRPr="00D9405D">
              <w:rPr>
                <w:rFonts w:ascii="Arial" w:hAnsi="Arial" w:cs="Arial"/>
                <w:bCs/>
              </w:rPr>
              <w:t xml:space="preserve">pon </w:t>
            </w:r>
            <w:r w:rsidR="004146C4">
              <w:rPr>
                <w:rFonts w:ascii="Arial" w:hAnsi="Arial" w:cs="Arial"/>
                <w:bCs/>
              </w:rPr>
              <w:t xml:space="preserve">system </w:t>
            </w:r>
            <w:r w:rsidR="00D9405D" w:rsidRPr="00D9405D">
              <w:rPr>
                <w:rFonts w:ascii="Arial" w:hAnsi="Arial" w:cs="Arial"/>
                <w:bCs/>
              </w:rPr>
              <w:t>implementation of PR447, Real-Time Co-Optimization (RTC)</w:t>
            </w:r>
          </w:p>
          <w:p w14:paraId="08C65ACD" w14:textId="0E0FEA3B" w:rsidR="00781B5C" w:rsidRDefault="00781B5C" w:rsidP="00781B5C">
            <w:pPr>
              <w:ind w:left="360"/>
              <w:rPr>
                <w:rFonts w:ascii="Arial" w:hAnsi="Arial" w:cs="Arial"/>
              </w:rPr>
            </w:pPr>
            <w:hyperlink r:id="rId26"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FC5FEF">
              <w:t xml:space="preserve"> </w:t>
            </w:r>
            <w:r w:rsidR="00FC5FEF" w:rsidRPr="00FC5FEF">
              <w:rPr>
                <w:rFonts w:ascii="Arial" w:hAnsi="Arial" w:cs="Arial"/>
              </w:rPr>
              <w:t xml:space="preserve">On 3/26/25, TAC voted unanimously to recommend approval of NPRR1268 as recommended by PRS in the 3/12/25 PRS Report as amended by the 3/19/25 IMM comments; and the 3/18/25 Impact Analysis.  </w:t>
            </w:r>
          </w:p>
          <w:p w14:paraId="3C960F57" w14:textId="61AB23B5" w:rsidR="00781B5C" w:rsidRDefault="00781B5C" w:rsidP="00781B5C">
            <w:pPr>
              <w:ind w:left="360"/>
              <w:rPr>
                <w:rFonts w:ascii="Arial" w:hAnsi="Arial" w:cs="Arial"/>
                <w:bCs/>
                <w:iCs/>
              </w:rPr>
            </w:pPr>
            <w:r>
              <w:rPr>
                <w:rFonts w:ascii="Arial" w:hAnsi="Arial" w:cs="Arial"/>
                <w:b/>
                <w:iCs/>
              </w:rPr>
              <w:t>ERCOT Opinion:</w:t>
            </w:r>
            <w:r>
              <w:rPr>
                <w:rFonts w:ascii="Arial" w:hAnsi="Arial" w:cs="Arial"/>
                <w:bCs/>
                <w:iCs/>
              </w:rPr>
              <w:t xml:space="preserve">  </w:t>
            </w:r>
            <w:r w:rsidRPr="00F07FC8">
              <w:rPr>
                <w:rFonts w:ascii="Arial" w:hAnsi="Arial" w:cs="Arial"/>
                <w:bCs/>
                <w:iCs/>
              </w:rPr>
              <w:t>ERCOT supports approval of NPRR12</w:t>
            </w:r>
            <w:r>
              <w:rPr>
                <w:rFonts w:ascii="Arial" w:hAnsi="Arial" w:cs="Arial"/>
                <w:bCs/>
                <w:iCs/>
              </w:rPr>
              <w:t>68</w:t>
            </w:r>
            <w:r w:rsidRPr="00F07FC8">
              <w:rPr>
                <w:rFonts w:ascii="Arial" w:hAnsi="Arial" w:cs="Arial"/>
                <w:bCs/>
                <w:iCs/>
              </w:rPr>
              <w:t>.</w:t>
            </w:r>
          </w:p>
          <w:p w14:paraId="63D73E2A" w14:textId="32DA9D75" w:rsidR="00781B5C" w:rsidRDefault="00781B5C" w:rsidP="00781B5C">
            <w:pPr>
              <w:ind w:left="360"/>
              <w:rPr>
                <w:rFonts w:ascii="Arial" w:hAnsi="Arial" w:cs="Arial"/>
                <w:bCs/>
              </w:rPr>
            </w:pPr>
            <w:r>
              <w:rPr>
                <w:rFonts w:ascii="Arial" w:hAnsi="Arial" w:cs="Arial"/>
                <w:b/>
              </w:rPr>
              <w:t xml:space="preserve">ERCOT Market Impact Statement:  </w:t>
            </w:r>
            <w:r w:rsidR="00D9405D" w:rsidRPr="00D9405D">
              <w:rPr>
                <w:rFonts w:ascii="Arial" w:hAnsi="Arial" w:cs="Arial"/>
                <w:bCs/>
              </w:rPr>
              <w:t xml:space="preserve">ERCOT Staff has reviewed NPRR1268 and believes the market impact for NPRR1268, after extensive review with stakeholders at the </w:t>
            </w:r>
            <w:r w:rsidR="004146C4">
              <w:rPr>
                <w:rFonts w:ascii="Arial" w:hAnsi="Arial" w:cs="Arial"/>
                <w:bCs/>
              </w:rPr>
              <w:t>Real-Time Co-optimization plus Batteries Task Force (</w:t>
            </w:r>
            <w:r w:rsidR="00D9405D" w:rsidRPr="00D9405D">
              <w:rPr>
                <w:rFonts w:ascii="Arial" w:hAnsi="Arial" w:cs="Arial"/>
                <w:bCs/>
              </w:rPr>
              <w:t>RTCBTF</w:t>
            </w:r>
            <w:r w:rsidR="004146C4">
              <w:rPr>
                <w:rFonts w:ascii="Arial" w:hAnsi="Arial" w:cs="Arial"/>
                <w:bCs/>
              </w:rPr>
              <w:t>)</w:t>
            </w:r>
            <w:r w:rsidR="00D9405D" w:rsidRPr="00D9405D">
              <w:rPr>
                <w:rFonts w:ascii="Arial" w:hAnsi="Arial" w:cs="Arial"/>
                <w:bCs/>
              </w:rPr>
              <w:t xml:space="preserve">, introduces “blended” ASDCs which will improve reliability and market performance by allowing </w:t>
            </w:r>
            <w:r w:rsidR="004146C4">
              <w:rPr>
                <w:rFonts w:ascii="Arial" w:hAnsi="Arial" w:cs="Arial"/>
                <w:bCs/>
              </w:rPr>
              <w:t>Security-Constrained Economic Dispatch (</w:t>
            </w:r>
            <w:r w:rsidR="00D9405D" w:rsidRPr="00D9405D">
              <w:rPr>
                <w:rFonts w:ascii="Arial" w:hAnsi="Arial" w:cs="Arial"/>
                <w:bCs/>
              </w:rPr>
              <w:t>SCED</w:t>
            </w:r>
            <w:r w:rsidR="004146C4">
              <w:rPr>
                <w:rFonts w:ascii="Arial" w:hAnsi="Arial" w:cs="Arial"/>
                <w:bCs/>
              </w:rPr>
              <w:t>)</w:t>
            </w:r>
            <w:r w:rsidR="00D9405D" w:rsidRPr="00D9405D">
              <w:rPr>
                <w:rFonts w:ascii="Arial" w:hAnsi="Arial" w:cs="Arial"/>
                <w:bCs/>
              </w:rPr>
              <w:t xml:space="preserve"> to make more efficient tradeoffs between energy and reserves under shortage conditions while maintaining sufficient price signals to promote Resource adequacy.</w:t>
            </w:r>
          </w:p>
          <w:p w14:paraId="5378CEFD" w14:textId="214CA7DE" w:rsidR="00781B5C" w:rsidRDefault="00781B5C" w:rsidP="00781B5C">
            <w:pPr>
              <w:ind w:left="360"/>
              <w:rPr>
                <w:rFonts w:ascii="Arial" w:hAnsi="Arial" w:cs="Arial"/>
              </w:rPr>
            </w:pPr>
            <w:r>
              <w:rPr>
                <w:rFonts w:ascii="Arial" w:hAnsi="Arial" w:cs="Arial"/>
                <w:b/>
              </w:rPr>
              <w:t>IMM Opinion:</w:t>
            </w:r>
            <w:r>
              <w:rPr>
                <w:rFonts w:ascii="Arial" w:hAnsi="Arial" w:cs="Arial"/>
              </w:rPr>
              <w:t xml:space="preserve">  </w:t>
            </w:r>
            <w:r w:rsidR="00D9405D">
              <w:rPr>
                <w:rFonts w:ascii="Arial" w:hAnsi="Arial" w:cs="Arial"/>
              </w:rPr>
              <w:t>IMM supports approval of NPRR1268</w:t>
            </w:r>
          </w:p>
          <w:p w14:paraId="5CA991CE" w14:textId="3C2C1AA3" w:rsidR="00781B5C" w:rsidRDefault="00781B5C" w:rsidP="00781B5C">
            <w:pPr>
              <w:ind w:left="360"/>
              <w:rPr>
                <w:rFonts w:ascii="Arial" w:hAnsi="Arial" w:cs="Arial"/>
                <w:b/>
              </w:rPr>
            </w:pPr>
            <w:hyperlink r:id="rId27"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794A86B5" w14:textId="77777777" w:rsidR="00CF5DF7" w:rsidRDefault="00CF5DF7" w:rsidP="00FC0272">
            <w:pPr>
              <w:rPr>
                <w:rFonts w:ascii="Arial" w:hAnsi="Arial" w:cs="Arial"/>
              </w:rPr>
            </w:pPr>
          </w:p>
          <w:p w14:paraId="10937561" w14:textId="7CCA7EE7" w:rsidR="00781B5C" w:rsidRDefault="00781B5C" w:rsidP="00781B5C">
            <w:pPr>
              <w:numPr>
                <w:ilvl w:val="0"/>
                <w:numId w:val="27"/>
              </w:numPr>
              <w:rPr>
                <w:rFonts w:ascii="Arial" w:hAnsi="Arial" w:cs="Arial"/>
                <w:b/>
                <w:i/>
              </w:rPr>
            </w:pPr>
            <w:hyperlink r:id="rId28" w:history="1">
              <w:r>
                <w:t xml:space="preserve"> </w:t>
              </w:r>
              <w:r w:rsidRPr="00781B5C">
                <w:rPr>
                  <w:rStyle w:val="Hyperlink"/>
                  <w:rFonts w:ascii="Arial" w:hAnsi="Arial" w:cs="Arial"/>
                  <w:b/>
                  <w:i/>
                </w:rPr>
                <w:t>NPRR1270, Additional Revisions Required for Implementation of RTC – URGENT</w:t>
              </w:r>
              <w:r w:rsidRPr="00CF5DF7">
                <w:rPr>
                  <w:rStyle w:val="Hyperlink"/>
                  <w:rFonts w:ascii="Arial" w:hAnsi="Arial" w:cs="Arial"/>
                  <w:b/>
                  <w:i/>
                </w:rPr>
                <w:t xml:space="preserve"> </w:t>
              </w:r>
            </w:hyperlink>
          </w:p>
          <w:p w14:paraId="040AC848" w14:textId="278DC41C" w:rsidR="00781B5C" w:rsidRPr="005539E3" w:rsidRDefault="00781B5C" w:rsidP="00781B5C">
            <w:pPr>
              <w:ind w:left="360"/>
              <w:rPr>
                <w:rFonts w:ascii="Arial" w:hAnsi="Arial" w:cs="Arial"/>
                <w:bCs/>
                <w:iCs/>
              </w:rPr>
            </w:pPr>
            <w:r>
              <w:rPr>
                <w:rFonts w:ascii="Arial" w:hAnsi="Arial" w:cs="Arial"/>
                <w:b/>
                <w:iCs/>
              </w:rPr>
              <w:t xml:space="preserve">Sponsor:  </w:t>
            </w:r>
            <w:r w:rsidR="00283640" w:rsidRPr="00283640">
              <w:rPr>
                <w:rFonts w:ascii="Arial" w:hAnsi="Arial" w:cs="Arial"/>
                <w:bCs/>
                <w:iCs/>
              </w:rPr>
              <w:t>ERCOT</w:t>
            </w:r>
          </w:p>
          <w:p w14:paraId="2CB234EB" w14:textId="1A7A613C" w:rsidR="00781B5C" w:rsidRPr="00283640" w:rsidRDefault="00781B5C" w:rsidP="00283640">
            <w:pPr>
              <w:ind w:left="360"/>
              <w:rPr>
                <w:rFonts w:ascii="Arial" w:hAnsi="Arial" w:cs="Arial"/>
                <w:bCs/>
              </w:rPr>
            </w:pPr>
            <w:r w:rsidRPr="005539E3">
              <w:rPr>
                <w:rFonts w:ascii="Arial" w:hAnsi="Arial" w:cs="Arial"/>
                <w:b/>
              </w:rPr>
              <w:t xml:space="preserve">Revision Description:  </w:t>
            </w:r>
            <w:r w:rsidR="00283640" w:rsidRPr="00283640">
              <w:rPr>
                <w:rFonts w:ascii="Arial" w:hAnsi="Arial" w:cs="Arial"/>
                <w:bCs/>
              </w:rPr>
              <w:t xml:space="preserve">This NPRR </w:t>
            </w:r>
            <w:r w:rsidR="00283640">
              <w:rPr>
                <w:rFonts w:ascii="Arial" w:hAnsi="Arial" w:cs="Arial"/>
                <w:bCs/>
              </w:rPr>
              <w:t>u</w:t>
            </w:r>
            <w:r w:rsidR="00283640" w:rsidRPr="00283640">
              <w:rPr>
                <w:rFonts w:ascii="Arial" w:hAnsi="Arial" w:cs="Arial"/>
                <w:bCs/>
              </w:rPr>
              <w:t xml:space="preserve">pdates requirements for Load Resources that are changing under RTC and were not updated in earlier revisions; </w:t>
            </w:r>
            <w:r w:rsidR="00283640">
              <w:rPr>
                <w:rFonts w:ascii="Arial" w:hAnsi="Arial" w:cs="Arial"/>
                <w:bCs/>
              </w:rPr>
              <w:t>r</w:t>
            </w:r>
            <w:r w:rsidR="00283640" w:rsidRPr="00283640">
              <w:rPr>
                <w:rFonts w:ascii="Arial" w:hAnsi="Arial" w:cs="Arial"/>
                <w:bCs/>
              </w:rPr>
              <w:t>emoves language associated with group assignments in the Day-Ahead Market (DAM); deployments are Resource-specific based on Real-Time awards; no requirement to return to service in three hours as that capacity will be replaced with awarded capacity in Real-Time;</w:t>
            </w:r>
            <w:r w:rsidR="00950342">
              <w:rPr>
                <w:rFonts w:ascii="Arial" w:hAnsi="Arial" w:cs="Arial"/>
                <w:bCs/>
              </w:rPr>
              <w:t xml:space="preserve"> e</w:t>
            </w:r>
            <w:r w:rsidR="00283640" w:rsidRPr="00283640">
              <w:rPr>
                <w:rFonts w:ascii="Arial" w:hAnsi="Arial" w:cs="Arial"/>
                <w:bCs/>
              </w:rPr>
              <w:t xml:space="preserve">liminates the automatic qualification of all Resources to provide On-Line Non-Spinning Reserve (Non-Spin) and SCED-dispatchable ERCOT Contingency Reserve Service (ECRS). </w:t>
            </w:r>
            <w:r w:rsidR="00950342">
              <w:rPr>
                <w:rFonts w:ascii="Arial" w:hAnsi="Arial" w:cs="Arial"/>
                <w:bCs/>
              </w:rPr>
              <w:t xml:space="preserve"> </w:t>
            </w:r>
            <w:r w:rsidR="00283640" w:rsidRPr="00283640">
              <w:rPr>
                <w:rFonts w:ascii="Arial" w:hAnsi="Arial" w:cs="Arial"/>
                <w:bCs/>
              </w:rPr>
              <w:t>Resources will be required to undergo a qualification test to provide each of these services; and</w:t>
            </w:r>
            <w:r w:rsidR="00283640">
              <w:rPr>
                <w:rFonts w:ascii="Arial" w:hAnsi="Arial" w:cs="Arial"/>
                <w:bCs/>
              </w:rPr>
              <w:t xml:space="preserve"> a</w:t>
            </w:r>
            <w:r w:rsidR="00283640" w:rsidRPr="00283640">
              <w:rPr>
                <w:rFonts w:ascii="Arial" w:hAnsi="Arial" w:cs="Arial"/>
                <w:bCs/>
              </w:rPr>
              <w:t>dds additional pre-processing checks in the SCED process to validate Ancillary Service capability telemetry that are sent by QSEs.</w:t>
            </w:r>
          </w:p>
          <w:p w14:paraId="4BA4EF24" w14:textId="45440D46" w:rsidR="00781B5C" w:rsidRPr="00950342" w:rsidRDefault="00781B5C" w:rsidP="00781B5C">
            <w:pPr>
              <w:pStyle w:val="BodyText"/>
              <w:spacing w:before="0" w:after="0"/>
              <w:ind w:left="360"/>
              <w:rPr>
                <w:rFonts w:ascii="Arial" w:hAnsi="Arial" w:cs="Arial"/>
                <w:bCs/>
                <w:i/>
              </w:rPr>
            </w:pPr>
            <w:hyperlink r:id="rId29" w:history="1">
              <w:r w:rsidRPr="00FC0272">
                <w:rPr>
                  <w:rStyle w:val="Hyperlink"/>
                  <w:rFonts w:ascii="Arial" w:hAnsi="Arial" w:cs="Arial"/>
                  <w:b/>
                </w:rPr>
                <w:t>Impact Analysis</w:t>
              </w:r>
            </w:hyperlink>
            <w:r w:rsidRPr="005539E3">
              <w:rPr>
                <w:rFonts w:ascii="Arial" w:hAnsi="Arial" w:cs="Arial"/>
                <w:b/>
              </w:rPr>
              <w:t xml:space="preserve">:  </w:t>
            </w:r>
            <w:r w:rsidR="00950342" w:rsidRPr="00D9405D">
              <w:rPr>
                <w:rFonts w:ascii="Arial" w:hAnsi="Arial" w:cs="Arial"/>
                <w:bCs/>
              </w:rPr>
              <w:t>No impact</w:t>
            </w:r>
            <w:r w:rsidR="00950342">
              <w:rPr>
                <w:rFonts w:ascii="Arial" w:hAnsi="Arial" w:cs="Arial"/>
                <w:bCs/>
              </w:rPr>
              <w:t xml:space="preserve"> (</w:t>
            </w:r>
            <w:r w:rsidR="00950342" w:rsidRPr="00D9405D">
              <w:rPr>
                <w:rFonts w:ascii="Arial" w:hAnsi="Arial" w:cs="Arial"/>
                <w:bCs/>
              </w:rPr>
              <w:t>There are no additional impacts to this NPRR beyond what was captured in PR447, Real-Time</w:t>
            </w:r>
            <w:r w:rsidR="00950342">
              <w:rPr>
                <w:rFonts w:ascii="Arial" w:hAnsi="Arial" w:cs="Arial"/>
                <w:bCs/>
              </w:rPr>
              <w:t xml:space="preserve"> </w:t>
            </w:r>
            <w:r w:rsidR="00950342" w:rsidRPr="00D9405D">
              <w:rPr>
                <w:rFonts w:ascii="Arial" w:hAnsi="Arial" w:cs="Arial"/>
                <w:bCs/>
              </w:rPr>
              <w:t>Co-optimization</w:t>
            </w:r>
            <w:r w:rsidR="00950342">
              <w:rPr>
                <w:rFonts w:ascii="Arial" w:hAnsi="Arial" w:cs="Arial"/>
                <w:bCs/>
              </w:rPr>
              <w:t>)</w:t>
            </w:r>
          </w:p>
          <w:p w14:paraId="117714C5" w14:textId="74667250" w:rsidR="00781B5C" w:rsidRPr="005539E3" w:rsidRDefault="00781B5C" w:rsidP="00781B5C">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283640" w:rsidRPr="00283640">
              <w:rPr>
                <w:rFonts w:ascii="Arial" w:hAnsi="Arial" w:cs="Arial"/>
                <w:bCs/>
              </w:rPr>
              <w:t>Upon system implementation of PR447, Real-Time Co-Optimization (RTC)</w:t>
            </w:r>
          </w:p>
          <w:p w14:paraId="20647121" w14:textId="57692E27" w:rsidR="00781B5C" w:rsidRDefault="00781B5C" w:rsidP="00781B5C">
            <w:pPr>
              <w:ind w:left="360"/>
              <w:rPr>
                <w:rFonts w:ascii="Arial" w:hAnsi="Arial" w:cs="Arial"/>
              </w:rPr>
            </w:pPr>
            <w:hyperlink r:id="rId30"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483FF7">
              <w:t xml:space="preserve"> </w:t>
            </w:r>
            <w:r w:rsidR="00483FF7" w:rsidRPr="00483FF7">
              <w:rPr>
                <w:rFonts w:ascii="Arial" w:hAnsi="Arial" w:cs="Arial"/>
              </w:rPr>
              <w:t xml:space="preserve">On 3/26/25, TAC voted unanimously to recommend approval of NPRR1270 as recommended by PRS in the 3/12/25 PRS Report.  </w:t>
            </w:r>
          </w:p>
          <w:p w14:paraId="4854D53B" w14:textId="3490BEF2" w:rsidR="00781B5C" w:rsidRDefault="00781B5C" w:rsidP="00781B5C">
            <w:pPr>
              <w:ind w:left="360"/>
              <w:rPr>
                <w:rFonts w:ascii="Arial" w:hAnsi="Arial" w:cs="Arial"/>
                <w:bCs/>
                <w:iCs/>
              </w:rPr>
            </w:pPr>
            <w:r>
              <w:rPr>
                <w:rFonts w:ascii="Arial" w:hAnsi="Arial" w:cs="Arial"/>
                <w:b/>
                <w:iCs/>
              </w:rPr>
              <w:t>ERCOT Opinion:</w:t>
            </w:r>
            <w:r>
              <w:rPr>
                <w:rFonts w:ascii="Arial" w:hAnsi="Arial" w:cs="Arial"/>
                <w:bCs/>
                <w:iCs/>
              </w:rPr>
              <w:t xml:space="preserve">  </w:t>
            </w:r>
            <w:r w:rsidRPr="00F07FC8">
              <w:rPr>
                <w:rFonts w:ascii="Arial" w:hAnsi="Arial" w:cs="Arial"/>
                <w:bCs/>
                <w:iCs/>
              </w:rPr>
              <w:t>ERCOT supports approval of NPRR12</w:t>
            </w:r>
            <w:r>
              <w:rPr>
                <w:rFonts w:ascii="Arial" w:hAnsi="Arial" w:cs="Arial"/>
                <w:bCs/>
                <w:iCs/>
              </w:rPr>
              <w:t>70</w:t>
            </w:r>
            <w:r w:rsidRPr="00F07FC8">
              <w:rPr>
                <w:rFonts w:ascii="Arial" w:hAnsi="Arial" w:cs="Arial"/>
                <w:bCs/>
                <w:iCs/>
              </w:rPr>
              <w:t>.</w:t>
            </w:r>
          </w:p>
          <w:p w14:paraId="798514E4" w14:textId="22CA0FCB" w:rsidR="00781B5C" w:rsidRDefault="00781B5C" w:rsidP="00781B5C">
            <w:pPr>
              <w:ind w:left="360"/>
              <w:rPr>
                <w:rFonts w:ascii="Arial" w:hAnsi="Arial" w:cs="Arial"/>
                <w:bCs/>
              </w:rPr>
            </w:pPr>
            <w:r>
              <w:rPr>
                <w:rFonts w:ascii="Arial" w:hAnsi="Arial" w:cs="Arial"/>
                <w:b/>
              </w:rPr>
              <w:t xml:space="preserve">ERCOT Market Impact Statement:  </w:t>
            </w:r>
            <w:r w:rsidR="00283640" w:rsidRPr="00283640">
              <w:rPr>
                <w:rFonts w:ascii="Arial" w:hAnsi="Arial" w:cs="Arial"/>
                <w:bCs/>
              </w:rPr>
              <w:t>ERCOT Staff has reviewed NPRR1270 and believes the market impact for NPRR1270, after extensive review with stakeholders at the RTCBTF, provides improvements and clarifications to RTC requirements ahead of the upcoming RTC market trials.</w:t>
            </w:r>
          </w:p>
          <w:p w14:paraId="017F7494" w14:textId="202FCCA6" w:rsidR="00781B5C" w:rsidRDefault="00781B5C" w:rsidP="00781B5C">
            <w:pPr>
              <w:ind w:left="360"/>
              <w:rPr>
                <w:rFonts w:ascii="Arial" w:hAnsi="Arial" w:cs="Arial"/>
              </w:rPr>
            </w:pPr>
            <w:r>
              <w:rPr>
                <w:rFonts w:ascii="Arial" w:hAnsi="Arial" w:cs="Arial"/>
                <w:b/>
              </w:rPr>
              <w:t>IMM Opinion:</w:t>
            </w:r>
            <w:r>
              <w:rPr>
                <w:rFonts w:ascii="Arial" w:hAnsi="Arial" w:cs="Arial"/>
              </w:rPr>
              <w:t xml:space="preserve">  </w:t>
            </w:r>
            <w:r w:rsidR="00283640">
              <w:rPr>
                <w:rFonts w:ascii="Arial" w:hAnsi="Arial" w:cs="Arial"/>
              </w:rPr>
              <w:t>IMM supports approval of NPRR1270.</w:t>
            </w:r>
          </w:p>
          <w:p w14:paraId="11A80E16" w14:textId="244B7538" w:rsidR="00781B5C" w:rsidRDefault="00781B5C" w:rsidP="00781B5C">
            <w:pPr>
              <w:ind w:left="360"/>
              <w:rPr>
                <w:rFonts w:ascii="Arial" w:hAnsi="Arial" w:cs="Arial"/>
                <w:b/>
              </w:rPr>
            </w:pPr>
            <w:hyperlink r:id="rId31"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58A425B2" w14:textId="77777777" w:rsidR="00781B5C" w:rsidRDefault="00781B5C" w:rsidP="00781B5C">
            <w:pPr>
              <w:ind w:left="360"/>
              <w:rPr>
                <w:rFonts w:ascii="Arial" w:hAnsi="Arial" w:cs="Arial"/>
                <w:b/>
              </w:rPr>
            </w:pPr>
          </w:p>
          <w:p w14:paraId="3E209729" w14:textId="3EF7F597" w:rsidR="00781B5C" w:rsidRDefault="00781B5C" w:rsidP="00781B5C">
            <w:pPr>
              <w:numPr>
                <w:ilvl w:val="0"/>
                <w:numId w:val="27"/>
              </w:numPr>
              <w:rPr>
                <w:rFonts w:ascii="Arial" w:hAnsi="Arial" w:cs="Arial"/>
                <w:b/>
                <w:i/>
              </w:rPr>
            </w:pPr>
            <w:hyperlink r:id="rId32" w:history="1">
              <w:r w:rsidRPr="00781B5C">
                <w:rPr>
                  <w:rStyle w:val="Hyperlink"/>
                  <w:rFonts w:ascii="Arial" w:hAnsi="Arial" w:cs="Arial"/>
                  <w:b/>
                  <w:i/>
                </w:rPr>
                <w:t>NPRR1273, Appropriate Accounting for ESRs in PRC Calculation – URGENT</w:t>
              </w:r>
              <w:r w:rsidRPr="00CF5DF7">
                <w:rPr>
                  <w:rStyle w:val="Hyperlink"/>
                  <w:rFonts w:ascii="Arial" w:hAnsi="Arial" w:cs="Arial"/>
                  <w:b/>
                  <w:i/>
                </w:rPr>
                <w:t xml:space="preserve"> </w:t>
              </w:r>
            </w:hyperlink>
          </w:p>
          <w:p w14:paraId="0353E61A" w14:textId="052B5593" w:rsidR="00781B5C" w:rsidRPr="005539E3" w:rsidRDefault="00781B5C" w:rsidP="00781B5C">
            <w:pPr>
              <w:ind w:left="360"/>
              <w:rPr>
                <w:rFonts w:ascii="Arial" w:hAnsi="Arial" w:cs="Arial"/>
                <w:bCs/>
                <w:iCs/>
              </w:rPr>
            </w:pPr>
            <w:r>
              <w:rPr>
                <w:rFonts w:ascii="Arial" w:hAnsi="Arial" w:cs="Arial"/>
                <w:b/>
                <w:iCs/>
              </w:rPr>
              <w:t xml:space="preserve">Sponsor:  </w:t>
            </w:r>
            <w:r w:rsidR="00283640" w:rsidRPr="00283640">
              <w:rPr>
                <w:rFonts w:ascii="Arial" w:hAnsi="Arial" w:cs="Arial"/>
                <w:bCs/>
                <w:iCs/>
              </w:rPr>
              <w:t>ERCOT</w:t>
            </w:r>
          </w:p>
          <w:p w14:paraId="44AF1DA1" w14:textId="49DB0E73" w:rsidR="00781B5C" w:rsidRPr="005539E3" w:rsidRDefault="00781B5C" w:rsidP="00781B5C">
            <w:pPr>
              <w:ind w:left="360"/>
              <w:rPr>
                <w:rFonts w:ascii="Arial" w:hAnsi="Arial" w:cs="Arial"/>
              </w:rPr>
            </w:pPr>
            <w:r w:rsidRPr="005539E3">
              <w:rPr>
                <w:rFonts w:ascii="Arial" w:hAnsi="Arial" w:cs="Arial"/>
                <w:b/>
              </w:rPr>
              <w:t xml:space="preserve">Revision Description:  </w:t>
            </w:r>
            <w:r w:rsidR="00283640" w:rsidRPr="00283640">
              <w:rPr>
                <w:rFonts w:ascii="Arial" w:hAnsi="Arial" w:cs="Arial"/>
                <w:bCs/>
              </w:rPr>
              <w:t xml:space="preserve">This NPRR modifies the capacity from ESRs included in the calculation of </w:t>
            </w:r>
            <w:r w:rsidR="00283640">
              <w:rPr>
                <w:rFonts w:ascii="Arial" w:hAnsi="Arial" w:cs="Arial"/>
                <w:bCs/>
              </w:rPr>
              <w:t>Physical Responsive Capability (</w:t>
            </w:r>
            <w:r w:rsidR="00283640" w:rsidRPr="00283640">
              <w:rPr>
                <w:rFonts w:ascii="Arial" w:hAnsi="Arial" w:cs="Arial"/>
                <w:bCs/>
              </w:rPr>
              <w:t>PRC</w:t>
            </w:r>
            <w:r w:rsidR="00283640">
              <w:rPr>
                <w:rFonts w:ascii="Arial" w:hAnsi="Arial" w:cs="Arial"/>
                <w:bCs/>
              </w:rPr>
              <w:t>)</w:t>
            </w:r>
            <w:r w:rsidR="00283640" w:rsidRPr="00283640">
              <w:rPr>
                <w:rFonts w:ascii="Arial" w:hAnsi="Arial" w:cs="Arial"/>
                <w:bCs/>
              </w:rPr>
              <w:t xml:space="preserve"> to be the amount that can be sustained for 45 minutes.</w:t>
            </w:r>
          </w:p>
          <w:p w14:paraId="0D108D73" w14:textId="1A193047" w:rsidR="00781B5C" w:rsidRPr="005539E3" w:rsidRDefault="00781B5C" w:rsidP="00781B5C">
            <w:pPr>
              <w:pStyle w:val="BodyText"/>
              <w:spacing w:before="0" w:after="0"/>
              <w:ind w:left="360"/>
              <w:rPr>
                <w:rFonts w:ascii="Arial" w:hAnsi="Arial" w:cs="Arial"/>
                <w:i/>
              </w:rPr>
            </w:pPr>
            <w:hyperlink r:id="rId33" w:history="1">
              <w:r w:rsidRPr="00FC0272">
                <w:rPr>
                  <w:rStyle w:val="Hyperlink"/>
                  <w:rFonts w:ascii="Arial" w:hAnsi="Arial" w:cs="Arial"/>
                  <w:b/>
                </w:rPr>
                <w:t>Impact Analysis</w:t>
              </w:r>
            </w:hyperlink>
            <w:r w:rsidRPr="005539E3">
              <w:rPr>
                <w:rFonts w:ascii="Arial" w:hAnsi="Arial" w:cs="Arial"/>
                <w:b/>
              </w:rPr>
              <w:t xml:space="preserve">:  </w:t>
            </w:r>
            <w:r w:rsidR="00283640" w:rsidRPr="00283640">
              <w:rPr>
                <w:rFonts w:ascii="Arial" w:hAnsi="Arial" w:cs="Arial"/>
                <w:bCs/>
              </w:rPr>
              <w:t>No impact</w:t>
            </w:r>
          </w:p>
          <w:p w14:paraId="4F0F24BB" w14:textId="7A0D9908" w:rsidR="00781B5C" w:rsidRPr="005539E3" w:rsidRDefault="00781B5C" w:rsidP="00781B5C">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283640" w:rsidRPr="00283640">
              <w:rPr>
                <w:rFonts w:ascii="Arial" w:hAnsi="Arial" w:cs="Arial"/>
                <w:bCs/>
              </w:rPr>
              <w:t>First of the month following Public Utility Commission of Texas (PUCT) approval</w:t>
            </w:r>
          </w:p>
          <w:p w14:paraId="1300FD5E" w14:textId="409563A4" w:rsidR="00781B5C" w:rsidRDefault="00781B5C" w:rsidP="00781B5C">
            <w:pPr>
              <w:ind w:left="360"/>
              <w:rPr>
                <w:rFonts w:ascii="Arial" w:hAnsi="Arial" w:cs="Arial"/>
              </w:rPr>
            </w:pPr>
            <w:hyperlink r:id="rId34"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483FF7">
              <w:rPr>
                <w:rFonts w:ascii="Arial" w:hAnsi="Arial" w:cs="Arial"/>
              </w:rPr>
              <w:t>On 3/26/25, TAC voted unanimously to</w:t>
            </w:r>
            <w:r w:rsidR="00483FF7" w:rsidRPr="00483FF7">
              <w:rPr>
                <w:rFonts w:ascii="Arial" w:hAnsi="Arial" w:cs="Arial"/>
              </w:rPr>
              <w:t xml:space="preserve"> recommend approval of NPRR1273 as recommended by PRS in the 3/12/25 PRS Report</w:t>
            </w:r>
            <w:r w:rsidR="00483FF7">
              <w:rPr>
                <w:rFonts w:ascii="Arial" w:hAnsi="Arial" w:cs="Arial"/>
              </w:rPr>
              <w:t>.</w:t>
            </w:r>
          </w:p>
          <w:p w14:paraId="2804B40D" w14:textId="06AE8DBA" w:rsidR="00781B5C" w:rsidRDefault="00781B5C" w:rsidP="00781B5C">
            <w:pPr>
              <w:ind w:left="360"/>
              <w:rPr>
                <w:rFonts w:ascii="Arial" w:hAnsi="Arial" w:cs="Arial"/>
                <w:bCs/>
                <w:iCs/>
              </w:rPr>
            </w:pPr>
            <w:r>
              <w:rPr>
                <w:rFonts w:ascii="Arial" w:hAnsi="Arial" w:cs="Arial"/>
                <w:b/>
                <w:iCs/>
              </w:rPr>
              <w:t>ERCOT Opinion:</w:t>
            </w:r>
            <w:r>
              <w:rPr>
                <w:rFonts w:ascii="Arial" w:hAnsi="Arial" w:cs="Arial"/>
                <w:bCs/>
                <w:iCs/>
              </w:rPr>
              <w:t xml:space="preserve">  </w:t>
            </w:r>
            <w:r w:rsidRPr="00F07FC8">
              <w:rPr>
                <w:rFonts w:ascii="Arial" w:hAnsi="Arial" w:cs="Arial"/>
                <w:bCs/>
                <w:iCs/>
              </w:rPr>
              <w:t>ERCOT supports approval of NPRR12</w:t>
            </w:r>
            <w:r>
              <w:rPr>
                <w:rFonts w:ascii="Arial" w:hAnsi="Arial" w:cs="Arial"/>
                <w:bCs/>
                <w:iCs/>
              </w:rPr>
              <w:t>73</w:t>
            </w:r>
            <w:r w:rsidRPr="00F07FC8">
              <w:rPr>
                <w:rFonts w:ascii="Arial" w:hAnsi="Arial" w:cs="Arial"/>
                <w:bCs/>
                <w:iCs/>
              </w:rPr>
              <w:t>.</w:t>
            </w:r>
          </w:p>
          <w:p w14:paraId="577C1357" w14:textId="753915E5" w:rsidR="00781B5C" w:rsidRDefault="00781B5C" w:rsidP="00781B5C">
            <w:pPr>
              <w:ind w:left="360"/>
              <w:rPr>
                <w:rFonts w:ascii="Arial" w:hAnsi="Arial" w:cs="Arial"/>
                <w:bCs/>
              </w:rPr>
            </w:pPr>
            <w:r>
              <w:rPr>
                <w:rFonts w:ascii="Arial" w:hAnsi="Arial" w:cs="Arial"/>
                <w:b/>
              </w:rPr>
              <w:t xml:space="preserve">ERCOT Market Impact Statement:  </w:t>
            </w:r>
            <w:r w:rsidR="00283640" w:rsidRPr="00283640">
              <w:rPr>
                <w:rFonts w:ascii="Arial" w:hAnsi="Arial" w:cs="Arial"/>
                <w:bCs/>
              </w:rPr>
              <w:t>ERCOT Staff has reviewed NPRR1273 and changing the PRC calculation to include the capacity that can be sustained for 45 minutes rather than 15 minutes will better ensure that PRC is an accurate indicator of the amount of capacity that currently has sufficient energy to support the grid until any needed load shed could be implemented.  This change has a positive market impact by allowing ERCOT to meet its reliability obligations and by informing the market more accurately about grid conditions during scarcity.</w:t>
            </w:r>
          </w:p>
          <w:p w14:paraId="4DFEC86C" w14:textId="69ECB621" w:rsidR="00781B5C" w:rsidRDefault="00781B5C" w:rsidP="00781B5C">
            <w:pPr>
              <w:ind w:left="360"/>
              <w:rPr>
                <w:rFonts w:ascii="Arial" w:hAnsi="Arial" w:cs="Arial"/>
              </w:rPr>
            </w:pPr>
            <w:r>
              <w:rPr>
                <w:rFonts w:ascii="Arial" w:hAnsi="Arial" w:cs="Arial"/>
                <w:b/>
              </w:rPr>
              <w:t>IMM Opinion:</w:t>
            </w:r>
            <w:r>
              <w:rPr>
                <w:rFonts w:ascii="Arial" w:hAnsi="Arial" w:cs="Arial"/>
              </w:rPr>
              <w:t xml:space="preserve">  </w:t>
            </w:r>
            <w:r w:rsidR="00283640">
              <w:rPr>
                <w:rFonts w:ascii="Arial" w:hAnsi="Arial" w:cs="Arial"/>
              </w:rPr>
              <w:t>IMM has no opinion on NPRR1273.</w:t>
            </w:r>
          </w:p>
          <w:p w14:paraId="425BAC94" w14:textId="045B5B8F" w:rsidR="00781B5C" w:rsidRDefault="00781B5C" w:rsidP="00781B5C">
            <w:pPr>
              <w:ind w:left="360"/>
              <w:rPr>
                <w:rFonts w:ascii="Arial" w:hAnsi="Arial" w:cs="Arial"/>
                <w:b/>
              </w:rPr>
            </w:pPr>
            <w:hyperlink r:id="rId35"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3A49D942" w14:textId="77777777" w:rsidR="00781B5C" w:rsidRDefault="00781B5C" w:rsidP="00781B5C">
            <w:pPr>
              <w:ind w:left="360"/>
              <w:rPr>
                <w:rFonts w:ascii="Arial" w:hAnsi="Arial" w:cs="Arial"/>
                <w:b/>
              </w:rPr>
            </w:pPr>
          </w:p>
          <w:p w14:paraId="7F301E9D" w14:textId="0C03257F" w:rsidR="00781B5C" w:rsidRDefault="00781B5C" w:rsidP="00781B5C">
            <w:pPr>
              <w:numPr>
                <w:ilvl w:val="0"/>
                <w:numId w:val="27"/>
              </w:numPr>
              <w:rPr>
                <w:rFonts w:ascii="Arial" w:hAnsi="Arial" w:cs="Arial"/>
                <w:b/>
                <w:i/>
              </w:rPr>
            </w:pPr>
            <w:hyperlink r:id="rId36" w:history="1">
              <w:r w:rsidRPr="00781B5C">
                <w:rPr>
                  <w:rStyle w:val="Hyperlink"/>
                  <w:rFonts w:ascii="Arial" w:hAnsi="Arial" w:cs="Arial"/>
                  <w:b/>
                  <w:i/>
                </w:rPr>
                <w:t>NOGRR274, Conform Nodal Operating Guide to Revisions Implemented for NPRR1217, Remove Verbal Dispatch Instruction (VDI) Requirement for Deployment and Recall of Load Resources and Emergency Response Service (ERS) Resources – URGENT</w:t>
              </w:r>
              <w:r w:rsidRPr="00CF5DF7">
                <w:rPr>
                  <w:rStyle w:val="Hyperlink"/>
                  <w:rFonts w:ascii="Arial" w:hAnsi="Arial" w:cs="Arial"/>
                  <w:b/>
                  <w:i/>
                </w:rPr>
                <w:t xml:space="preserve"> </w:t>
              </w:r>
            </w:hyperlink>
          </w:p>
          <w:p w14:paraId="741370C2" w14:textId="7F03AB88" w:rsidR="00781B5C" w:rsidRPr="005539E3" w:rsidRDefault="00781B5C" w:rsidP="00781B5C">
            <w:pPr>
              <w:ind w:left="360"/>
              <w:rPr>
                <w:rFonts w:ascii="Arial" w:hAnsi="Arial" w:cs="Arial"/>
                <w:bCs/>
                <w:iCs/>
              </w:rPr>
            </w:pPr>
            <w:r>
              <w:rPr>
                <w:rFonts w:ascii="Arial" w:hAnsi="Arial" w:cs="Arial"/>
                <w:b/>
                <w:iCs/>
              </w:rPr>
              <w:t xml:space="preserve">Sponsor:  </w:t>
            </w:r>
            <w:r w:rsidR="008A61CF">
              <w:rPr>
                <w:rFonts w:ascii="Arial" w:hAnsi="Arial" w:cs="Arial"/>
                <w:b/>
                <w:iCs/>
              </w:rPr>
              <w:t xml:space="preserve"> </w:t>
            </w:r>
            <w:r w:rsidR="008A61CF" w:rsidRPr="008A61CF">
              <w:rPr>
                <w:rFonts w:ascii="Arial" w:hAnsi="Arial" w:cs="Arial"/>
                <w:bCs/>
                <w:iCs/>
              </w:rPr>
              <w:t>ERCOT</w:t>
            </w:r>
          </w:p>
          <w:p w14:paraId="28D9A8E8" w14:textId="4E7929B8" w:rsidR="00781B5C" w:rsidRPr="005539E3" w:rsidRDefault="00781B5C" w:rsidP="00781B5C">
            <w:pPr>
              <w:ind w:left="360"/>
              <w:rPr>
                <w:rFonts w:ascii="Arial" w:hAnsi="Arial" w:cs="Arial"/>
              </w:rPr>
            </w:pPr>
            <w:r w:rsidRPr="005539E3">
              <w:rPr>
                <w:rFonts w:ascii="Arial" w:hAnsi="Arial" w:cs="Arial"/>
                <w:b/>
              </w:rPr>
              <w:t xml:space="preserve">Revision Description: </w:t>
            </w:r>
            <w:r w:rsidRPr="004146C4">
              <w:rPr>
                <w:rFonts w:ascii="Arial" w:hAnsi="Arial" w:cs="Arial"/>
                <w:bCs/>
              </w:rPr>
              <w:t xml:space="preserve"> </w:t>
            </w:r>
            <w:r w:rsidR="008A61CF" w:rsidRPr="004146C4">
              <w:rPr>
                <w:rFonts w:ascii="Arial" w:hAnsi="Arial" w:cs="Arial"/>
                <w:bCs/>
              </w:rPr>
              <w:t>This</w:t>
            </w:r>
            <w:r w:rsidR="008A61CF" w:rsidRPr="008A61CF">
              <w:rPr>
                <w:rFonts w:ascii="Arial" w:hAnsi="Arial" w:cs="Arial"/>
                <w:bCs/>
              </w:rPr>
              <w:t xml:space="preserve"> NOGRR conforms the Nodal Operating Guide to Protocol changes made by NPRR1217.</w:t>
            </w:r>
          </w:p>
          <w:p w14:paraId="41318B72" w14:textId="0D5FFA03" w:rsidR="00781B5C" w:rsidRPr="005539E3" w:rsidRDefault="00781B5C" w:rsidP="00781B5C">
            <w:pPr>
              <w:pStyle w:val="BodyText"/>
              <w:spacing w:before="0" w:after="0"/>
              <w:ind w:left="360"/>
              <w:rPr>
                <w:rFonts w:ascii="Arial" w:hAnsi="Arial" w:cs="Arial"/>
                <w:i/>
              </w:rPr>
            </w:pPr>
            <w:hyperlink r:id="rId37" w:history="1">
              <w:r w:rsidRPr="00FC0272">
                <w:rPr>
                  <w:rStyle w:val="Hyperlink"/>
                  <w:rFonts w:ascii="Arial" w:hAnsi="Arial" w:cs="Arial"/>
                  <w:b/>
                </w:rPr>
                <w:t>Impact Analysis</w:t>
              </w:r>
            </w:hyperlink>
            <w:r w:rsidRPr="005539E3">
              <w:rPr>
                <w:rFonts w:ascii="Arial" w:hAnsi="Arial" w:cs="Arial"/>
                <w:b/>
              </w:rPr>
              <w:t xml:space="preserve">:  </w:t>
            </w:r>
            <w:r w:rsidR="008A61CF" w:rsidRPr="008A61CF">
              <w:rPr>
                <w:rFonts w:ascii="Arial" w:hAnsi="Arial" w:cs="Arial"/>
                <w:bCs/>
              </w:rPr>
              <w:t>No impact</w:t>
            </w:r>
          </w:p>
          <w:p w14:paraId="24BF72FA" w14:textId="4A3C17F8" w:rsidR="00781B5C" w:rsidRPr="005539E3" w:rsidRDefault="00781B5C" w:rsidP="00781B5C">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8A61CF" w:rsidRPr="008A61CF">
              <w:rPr>
                <w:rFonts w:ascii="Arial" w:hAnsi="Arial" w:cs="Arial"/>
                <w:bCs/>
              </w:rPr>
              <w:t>The first of the month following Public Utility Commission of Texas (PUCT) approval</w:t>
            </w:r>
          </w:p>
          <w:p w14:paraId="5FAA9D23" w14:textId="021AB075" w:rsidR="00781B5C" w:rsidRDefault="00781B5C" w:rsidP="00781B5C">
            <w:pPr>
              <w:ind w:left="360"/>
              <w:rPr>
                <w:rFonts w:ascii="Arial" w:hAnsi="Arial" w:cs="Arial"/>
              </w:rPr>
            </w:pPr>
            <w:hyperlink r:id="rId38"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483FF7">
              <w:rPr>
                <w:rFonts w:ascii="Arial" w:hAnsi="Arial" w:cs="Arial"/>
              </w:rPr>
              <w:t>On 3/26/25, TAC voted unanimously to</w:t>
            </w:r>
            <w:r w:rsidR="00483FF7" w:rsidRPr="00483FF7">
              <w:rPr>
                <w:rFonts w:ascii="Arial" w:hAnsi="Arial" w:cs="Arial"/>
              </w:rPr>
              <w:t xml:space="preserve"> recommend approval of NOGRR274 as recommended by ROS in the 3/6/25 ROS Report</w:t>
            </w:r>
          </w:p>
          <w:p w14:paraId="2F5B2A06" w14:textId="1D85753D" w:rsidR="00781B5C" w:rsidRDefault="00781B5C" w:rsidP="00781B5C">
            <w:pPr>
              <w:ind w:left="360"/>
              <w:rPr>
                <w:rFonts w:ascii="Arial" w:hAnsi="Arial" w:cs="Arial"/>
                <w:bCs/>
                <w:iCs/>
              </w:rPr>
            </w:pPr>
            <w:r>
              <w:rPr>
                <w:rFonts w:ascii="Arial" w:hAnsi="Arial" w:cs="Arial"/>
                <w:b/>
                <w:iCs/>
              </w:rPr>
              <w:t>ERCOT Opinion:</w:t>
            </w:r>
            <w:r>
              <w:rPr>
                <w:rFonts w:ascii="Arial" w:hAnsi="Arial" w:cs="Arial"/>
                <w:bCs/>
                <w:iCs/>
              </w:rPr>
              <w:t xml:space="preserve">  </w:t>
            </w:r>
            <w:r w:rsidRPr="00F07FC8">
              <w:rPr>
                <w:rFonts w:ascii="Arial" w:hAnsi="Arial" w:cs="Arial"/>
                <w:bCs/>
                <w:iCs/>
              </w:rPr>
              <w:t xml:space="preserve">ERCOT supports approval of </w:t>
            </w:r>
            <w:r>
              <w:rPr>
                <w:rFonts w:ascii="Arial" w:hAnsi="Arial" w:cs="Arial"/>
                <w:bCs/>
                <w:iCs/>
              </w:rPr>
              <w:t>NOGRR274</w:t>
            </w:r>
            <w:r w:rsidRPr="00F07FC8">
              <w:rPr>
                <w:rFonts w:ascii="Arial" w:hAnsi="Arial" w:cs="Arial"/>
                <w:bCs/>
                <w:iCs/>
              </w:rPr>
              <w:t>.</w:t>
            </w:r>
          </w:p>
          <w:p w14:paraId="5767E7A5" w14:textId="0FAA1514" w:rsidR="00781B5C" w:rsidRDefault="00781B5C" w:rsidP="00781B5C">
            <w:pPr>
              <w:ind w:left="360"/>
              <w:rPr>
                <w:rFonts w:ascii="Arial" w:hAnsi="Arial" w:cs="Arial"/>
                <w:bCs/>
              </w:rPr>
            </w:pPr>
            <w:r>
              <w:rPr>
                <w:rFonts w:ascii="Arial" w:hAnsi="Arial" w:cs="Arial"/>
                <w:b/>
              </w:rPr>
              <w:t xml:space="preserve">ERCOT Market Impact Statement:  </w:t>
            </w:r>
            <w:r w:rsidR="008A61CF" w:rsidRPr="008A61CF">
              <w:rPr>
                <w:rFonts w:ascii="Arial" w:hAnsi="Arial" w:cs="Arial"/>
                <w:bCs/>
              </w:rPr>
              <w:t>ERCOT Staff has reviewed NOGRR274 and confirms the revisions appropriately conform the Nodal Operating Guide with the Protocol language implemented from NPRR1217.  There are no impacts to the ERCOT market beyond those associated with NPRR1217.</w:t>
            </w:r>
          </w:p>
          <w:p w14:paraId="482E7903" w14:textId="3E86B509" w:rsidR="00781B5C" w:rsidRDefault="00781B5C" w:rsidP="00781B5C">
            <w:pPr>
              <w:ind w:left="360"/>
              <w:rPr>
                <w:rFonts w:ascii="Arial" w:hAnsi="Arial" w:cs="Arial"/>
              </w:rPr>
            </w:pPr>
            <w:r>
              <w:rPr>
                <w:rFonts w:ascii="Arial" w:hAnsi="Arial" w:cs="Arial"/>
                <w:b/>
              </w:rPr>
              <w:t>IMM Opinion:</w:t>
            </w:r>
            <w:r>
              <w:rPr>
                <w:rFonts w:ascii="Arial" w:hAnsi="Arial" w:cs="Arial"/>
              </w:rPr>
              <w:t xml:space="preserve">  </w:t>
            </w:r>
            <w:r w:rsidR="008A61CF" w:rsidRPr="008A61CF">
              <w:rPr>
                <w:rFonts w:ascii="Arial" w:hAnsi="Arial" w:cs="Arial"/>
              </w:rPr>
              <w:t xml:space="preserve">IMM has no opinion on </w:t>
            </w:r>
            <w:r w:rsidR="008A61CF">
              <w:rPr>
                <w:rFonts w:ascii="Arial" w:hAnsi="Arial" w:cs="Arial"/>
              </w:rPr>
              <w:t>NOGRR274</w:t>
            </w:r>
            <w:r w:rsidR="008A61CF" w:rsidRPr="008A61CF">
              <w:rPr>
                <w:rFonts w:ascii="Arial" w:hAnsi="Arial" w:cs="Arial"/>
              </w:rPr>
              <w:t>.</w:t>
            </w:r>
          </w:p>
          <w:p w14:paraId="39E53A49" w14:textId="7C0DDDD3" w:rsidR="00781B5C" w:rsidRDefault="00781B5C" w:rsidP="00781B5C">
            <w:pPr>
              <w:ind w:left="360"/>
              <w:rPr>
                <w:rFonts w:ascii="Arial" w:hAnsi="Arial" w:cs="Arial"/>
                <w:b/>
              </w:rPr>
            </w:pPr>
            <w:hyperlink r:id="rId39"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4A3BB36F" w14:textId="77777777" w:rsidR="00781B5C" w:rsidRDefault="00781B5C" w:rsidP="00781B5C">
            <w:pPr>
              <w:ind w:left="360"/>
              <w:rPr>
                <w:rFonts w:ascii="Arial" w:hAnsi="Arial" w:cs="Arial"/>
                <w:b/>
              </w:rPr>
            </w:pPr>
          </w:p>
          <w:p w14:paraId="430A0191" w14:textId="69E58726" w:rsidR="00781B5C" w:rsidRPr="00781B5C" w:rsidRDefault="00781B5C" w:rsidP="00781B5C">
            <w:pPr>
              <w:pStyle w:val="ListParagraph"/>
              <w:numPr>
                <w:ilvl w:val="0"/>
                <w:numId w:val="27"/>
              </w:numPr>
              <w:rPr>
                <w:rFonts w:ascii="Arial" w:hAnsi="Arial" w:cs="Arial"/>
                <w:b/>
                <w:i/>
                <w:color w:val="0000FF"/>
                <w:u w:val="single"/>
              </w:rPr>
            </w:pPr>
            <w:hyperlink r:id="rId40" w:history="1">
              <w:r>
                <w:t xml:space="preserve"> </w:t>
              </w:r>
              <w:r w:rsidRPr="00781B5C">
                <w:rPr>
                  <w:rStyle w:val="Hyperlink"/>
                  <w:rFonts w:ascii="Arial" w:hAnsi="Arial" w:cs="Arial"/>
                  <w:b/>
                  <w:i/>
                </w:rPr>
                <w:t xml:space="preserve">PGRR115, Related to NPRR1234, Interconnection Requirements for Large Loads and Modeling Standards for Loads 25 MW or Greater; </w:t>
              </w:r>
            </w:hyperlink>
          </w:p>
          <w:p w14:paraId="71EAE78C" w14:textId="7EA3575F" w:rsidR="00781B5C" w:rsidRPr="005539E3" w:rsidRDefault="00781B5C" w:rsidP="00781B5C">
            <w:pPr>
              <w:ind w:left="360"/>
              <w:rPr>
                <w:rFonts w:ascii="Arial" w:hAnsi="Arial" w:cs="Arial"/>
                <w:bCs/>
                <w:iCs/>
              </w:rPr>
            </w:pPr>
            <w:r>
              <w:rPr>
                <w:rFonts w:ascii="Arial" w:hAnsi="Arial" w:cs="Arial"/>
                <w:b/>
                <w:iCs/>
              </w:rPr>
              <w:lastRenderedPageBreak/>
              <w:t xml:space="preserve">Sponsor:  </w:t>
            </w:r>
            <w:r w:rsidR="008A61CF" w:rsidRPr="008A61CF">
              <w:rPr>
                <w:rFonts w:ascii="Arial" w:hAnsi="Arial" w:cs="Arial"/>
                <w:bCs/>
                <w:iCs/>
              </w:rPr>
              <w:t>ERCOT</w:t>
            </w:r>
          </w:p>
          <w:p w14:paraId="5BC1D7D3" w14:textId="4C071AA2" w:rsidR="00781B5C" w:rsidRPr="005539E3" w:rsidRDefault="00781B5C" w:rsidP="00781B5C">
            <w:pPr>
              <w:ind w:left="360"/>
              <w:rPr>
                <w:rFonts w:ascii="Arial" w:hAnsi="Arial" w:cs="Arial"/>
              </w:rPr>
            </w:pPr>
            <w:r w:rsidRPr="005539E3">
              <w:rPr>
                <w:rFonts w:ascii="Arial" w:hAnsi="Arial" w:cs="Arial"/>
                <w:b/>
              </w:rPr>
              <w:t xml:space="preserve">Revision Description:  </w:t>
            </w:r>
            <w:r w:rsidR="008A61CF" w:rsidRPr="008A61CF">
              <w:rPr>
                <w:rFonts w:ascii="Arial" w:hAnsi="Arial" w:cs="Arial"/>
                <w:bCs/>
              </w:rPr>
              <w:t>This PGRR creates a new process for studying the reliability impacts of all Large Loads (as defined in the accompanying NPRR1234) seeking to interconnect to the ERCOT System. As with the Full Interconnection Study (FIS) required for proposed Generation Resources, this PGRR requires a LLIS</w:t>
            </w:r>
            <w:r w:rsidR="004146C4">
              <w:rPr>
                <w:rFonts w:ascii="Arial" w:hAnsi="Arial" w:cs="Arial"/>
                <w:bCs/>
              </w:rPr>
              <w:t xml:space="preserve"> </w:t>
            </w:r>
            <w:r w:rsidR="008A61CF" w:rsidRPr="008A61CF">
              <w:rPr>
                <w:rFonts w:ascii="Arial" w:hAnsi="Arial" w:cs="Arial"/>
                <w:bCs/>
              </w:rPr>
              <w:t>for each new Large Load meeting applicability requirements that is proposed to interconnect to the ERCOT System. Like the FIS, the LLIS will consist of a similar suite of studies conducted by one or more affected Transmission Service Providers (TSPs). This PGRR describes these studies in detail and establishes timelines for the review of these studies and the completion of other steps in the interconnection process.</w:t>
            </w:r>
          </w:p>
          <w:p w14:paraId="37AB4BD1" w14:textId="4BCB8D5C" w:rsidR="008A61CF" w:rsidRPr="008A61CF" w:rsidRDefault="00781B5C" w:rsidP="008A61CF">
            <w:pPr>
              <w:pStyle w:val="BodyText"/>
              <w:spacing w:before="0" w:after="0"/>
              <w:ind w:left="360"/>
              <w:rPr>
                <w:rFonts w:ascii="Arial" w:hAnsi="Arial" w:cs="Arial"/>
                <w:bCs/>
              </w:rPr>
            </w:pPr>
            <w:hyperlink r:id="rId41" w:history="1">
              <w:r w:rsidRPr="00FC0272">
                <w:rPr>
                  <w:rStyle w:val="Hyperlink"/>
                  <w:rFonts w:ascii="Arial" w:hAnsi="Arial" w:cs="Arial"/>
                  <w:b/>
                </w:rPr>
                <w:t>Impact Analysis</w:t>
              </w:r>
            </w:hyperlink>
            <w:r w:rsidRPr="005539E3">
              <w:rPr>
                <w:rFonts w:ascii="Arial" w:hAnsi="Arial" w:cs="Arial"/>
                <w:b/>
              </w:rPr>
              <w:t xml:space="preserve">:  </w:t>
            </w:r>
            <w:r w:rsidR="008A61CF" w:rsidRPr="008A61CF">
              <w:rPr>
                <w:rFonts w:ascii="Arial" w:hAnsi="Arial" w:cs="Arial"/>
                <w:bCs/>
              </w:rPr>
              <w:t>No impact (There are no additional impacts to this PGRR beyond what was captured in the Impact Analysis</w:t>
            </w:r>
          </w:p>
          <w:p w14:paraId="36819E22" w14:textId="291E9338" w:rsidR="00781B5C" w:rsidRPr="008A61CF" w:rsidRDefault="008A61CF" w:rsidP="008A61CF">
            <w:pPr>
              <w:pStyle w:val="BodyText"/>
              <w:spacing w:before="0" w:after="0"/>
              <w:ind w:left="360"/>
              <w:rPr>
                <w:rFonts w:ascii="Arial" w:hAnsi="Arial" w:cs="Arial"/>
                <w:bCs/>
              </w:rPr>
            </w:pPr>
            <w:r w:rsidRPr="008A61CF">
              <w:rPr>
                <w:rFonts w:ascii="Arial" w:hAnsi="Arial" w:cs="Arial"/>
                <w:bCs/>
              </w:rPr>
              <w:t>for NPRR1234.)</w:t>
            </w:r>
          </w:p>
          <w:p w14:paraId="259C4815" w14:textId="4A60FC26" w:rsidR="00781B5C" w:rsidRPr="005539E3" w:rsidRDefault="00781B5C" w:rsidP="00781B5C">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8A61CF" w:rsidRPr="008A61CF">
              <w:rPr>
                <w:rFonts w:ascii="Arial" w:hAnsi="Arial" w:cs="Arial"/>
                <w:bCs/>
              </w:rPr>
              <w:t xml:space="preserve">Upon implementation of </w:t>
            </w:r>
            <w:r w:rsidR="004146C4">
              <w:rPr>
                <w:rFonts w:ascii="Arial" w:hAnsi="Arial" w:cs="Arial"/>
                <w:bCs/>
              </w:rPr>
              <w:t>NPRR1234</w:t>
            </w:r>
            <w:r w:rsidR="008A61CF" w:rsidRPr="008A61CF">
              <w:rPr>
                <w:rFonts w:ascii="Arial" w:hAnsi="Arial" w:cs="Arial"/>
                <w:bCs/>
              </w:rPr>
              <w:t>, Interconnection Requirements for Large Loads and Modeling Standards for Loads 25 MW or Greater</w:t>
            </w:r>
          </w:p>
          <w:p w14:paraId="77861D46" w14:textId="5C6F467C" w:rsidR="00781B5C" w:rsidRDefault="00781B5C" w:rsidP="00781B5C">
            <w:pPr>
              <w:ind w:left="360"/>
              <w:rPr>
                <w:rFonts w:ascii="Arial" w:hAnsi="Arial" w:cs="Arial"/>
              </w:rPr>
            </w:pPr>
            <w:hyperlink r:id="rId42"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FC5FEF">
              <w:t xml:space="preserve"> </w:t>
            </w:r>
            <w:r w:rsidR="00FC5FEF" w:rsidRPr="00FC5FEF">
              <w:rPr>
                <w:rFonts w:ascii="Arial" w:hAnsi="Arial" w:cs="Arial"/>
              </w:rPr>
              <w:t xml:space="preserve">On 3/26/25, TAC voted to recommend approval of PGRR115 as recommended by ROS in the 3/6/25 ROS Report as revised by TAC.  There were three abstentions from the Consumer (2) (CMC Steel, Lyondell Chemical) and Independent Generator (Calpine) Market Segments.  </w:t>
            </w:r>
          </w:p>
          <w:p w14:paraId="6F1E09DA" w14:textId="34FD4BF1" w:rsidR="00781B5C" w:rsidRDefault="00781B5C" w:rsidP="00781B5C">
            <w:pPr>
              <w:ind w:left="360"/>
              <w:rPr>
                <w:rFonts w:ascii="Arial" w:hAnsi="Arial" w:cs="Arial"/>
                <w:bCs/>
                <w:iCs/>
              </w:rPr>
            </w:pPr>
            <w:r>
              <w:rPr>
                <w:rFonts w:ascii="Arial" w:hAnsi="Arial" w:cs="Arial"/>
                <w:b/>
                <w:iCs/>
              </w:rPr>
              <w:t>ERCOT Opinion:</w:t>
            </w:r>
            <w:r>
              <w:rPr>
                <w:rFonts w:ascii="Arial" w:hAnsi="Arial" w:cs="Arial"/>
                <w:bCs/>
                <w:iCs/>
              </w:rPr>
              <w:t xml:space="preserve">  </w:t>
            </w:r>
            <w:r w:rsidRPr="00F07FC8">
              <w:rPr>
                <w:rFonts w:ascii="Arial" w:hAnsi="Arial" w:cs="Arial"/>
                <w:bCs/>
                <w:iCs/>
              </w:rPr>
              <w:t xml:space="preserve">ERCOT supports approval of </w:t>
            </w:r>
            <w:r>
              <w:rPr>
                <w:rFonts w:ascii="Arial" w:hAnsi="Arial" w:cs="Arial"/>
                <w:bCs/>
                <w:iCs/>
              </w:rPr>
              <w:t>PGRR115</w:t>
            </w:r>
            <w:r w:rsidRPr="00F07FC8">
              <w:rPr>
                <w:rFonts w:ascii="Arial" w:hAnsi="Arial" w:cs="Arial"/>
                <w:bCs/>
                <w:iCs/>
              </w:rPr>
              <w:t>.</w:t>
            </w:r>
          </w:p>
          <w:p w14:paraId="6E6CE11C" w14:textId="260640B7" w:rsidR="00781B5C" w:rsidRDefault="00781B5C" w:rsidP="00781B5C">
            <w:pPr>
              <w:ind w:left="360"/>
              <w:rPr>
                <w:rFonts w:ascii="Arial" w:hAnsi="Arial" w:cs="Arial"/>
                <w:bCs/>
              </w:rPr>
            </w:pPr>
            <w:r>
              <w:rPr>
                <w:rFonts w:ascii="Arial" w:hAnsi="Arial" w:cs="Arial"/>
                <w:b/>
              </w:rPr>
              <w:t xml:space="preserve">ERCOT Market Impact Statement:  </w:t>
            </w:r>
            <w:r w:rsidR="008A61CF" w:rsidRPr="008A61CF">
              <w:rPr>
                <w:rFonts w:ascii="Arial" w:hAnsi="Arial" w:cs="Arial"/>
                <w:bCs/>
              </w:rPr>
              <w:t>ERCOT Staff has reviewed PGRR115 and believes the market impact for PGRR115, along with NPRR1234, provides necessary structure and clarification to the interconnection requirements for Large Loads.</w:t>
            </w:r>
          </w:p>
          <w:p w14:paraId="6204E52F" w14:textId="4FA19D29" w:rsidR="00781B5C" w:rsidRDefault="00781B5C" w:rsidP="00781B5C">
            <w:pPr>
              <w:ind w:left="360"/>
              <w:rPr>
                <w:rFonts w:ascii="Arial" w:hAnsi="Arial" w:cs="Arial"/>
              </w:rPr>
            </w:pPr>
            <w:r>
              <w:rPr>
                <w:rFonts w:ascii="Arial" w:hAnsi="Arial" w:cs="Arial"/>
                <w:b/>
              </w:rPr>
              <w:t>IMM Opinion:</w:t>
            </w:r>
            <w:r>
              <w:rPr>
                <w:rFonts w:ascii="Arial" w:hAnsi="Arial" w:cs="Arial"/>
              </w:rPr>
              <w:t xml:space="preserve">  </w:t>
            </w:r>
            <w:r w:rsidR="008A61CF" w:rsidRPr="008A61CF">
              <w:rPr>
                <w:rFonts w:ascii="Arial" w:hAnsi="Arial" w:cs="Arial"/>
              </w:rPr>
              <w:t>IMM has no opinion on PGRR115.</w:t>
            </w:r>
          </w:p>
          <w:p w14:paraId="70D91935" w14:textId="3FA67842" w:rsidR="00781B5C" w:rsidRDefault="00781B5C" w:rsidP="00781B5C">
            <w:pPr>
              <w:ind w:left="360"/>
              <w:rPr>
                <w:rFonts w:ascii="Arial" w:hAnsi="Arial" w:cs="Arial"/>
                <w:b/>
              </w:rPr>
            </w:pPr>
            <w:hyperlink r:id="rId43"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3D1E009B" w14:textId="77777777" w:rsidR="00781B5C" w:rsidRDefault="00781B5C" w:rsidP="00781B5C">
            <w:pPr>
              <w:ind w:left="360"/>
              <w:rPr>
                <w:rFonts w:ascii="Arial" w:hAnsi="Arial" w:cs="Arial"/>
                <w:b/>
              </w:rPr>
            </w:pPr>
          </w:p>
          <w:p w14:paraId="1523D550" w14:textId="4ADE56B4" w:rsidR="00781B5C" w:rsidRDefault="00781B5C" w:rsidP="00781B5C">
            <w:pPr>
              <w:numPr>
                <w:ilvl w:val="0"/>
                <w:numId w:val="27"/>
              </w:numPr>
              <w:rPr>
                <w:rFonts w:ascii="Arial" w:hAnsi="Arial" w:cs="Arial"/>
                <w:b/>
                <w:i/>
              </w:rPr>
            </w:pPr>
            <w:hyperlink r:id="rId44" w:history="1">
              <w:r>
                <w:t xml:space="preserve"> </w:t>
              </w:r>
              <w:r w:rsidRPr="00781B5C">
                <w:rPr>
                  <w:rStyle w:val="Hyperlink"/>
                  <w:rFonts w:ascii="Arial" w:hAnsi="Arial" w:cs="Arial"/>
                  <w:b/>
                  <w:i/>
                </w:rPr>
                <w:t>PGRR119, Stability Constraint Modeling Assumptions in the Regional Transmission Plan</w:t>
              </w:r>
              <w:r w:rsidRPr="00CF5DF7">
                <w:rPr>
                  <w:rStyle w:val="Hyperlink"/>
                  <w:rFonts w:ascii="Arial" w:hAnsi="Arial" w:cs="Arial"/>
                  <w:b/>
                  <w:i/>
                </w:rPr>
                <w:t xml:space="preserve"> </w:t>
              </w:r>
            </w:hyperlink>
          </w:p>
          <w:p w14:paraId="1ABB0B66" w14:textId="3290231B" w:rsidR="00781B5C" w:rsidRPr="005539E3" w:rsidRDefault="00781B5C" w:rsidP="00781B5C">
            <w:pPr>
              <w:ind w:left="360"/>
              <w:rPr>
                <w:rFonts w:ascii="Arial" w:hAnsi="Arial" w:cs="Arial"/>
                <w:bCs/>
                <w:iCs/>
              </w:rPr>
            </w:pPr>
            <w:r>
              <w:rPr>
                <w:rFonts w:ascii="Arial" w:hAnsi="Arial" w:cs="Arial"/>
                <w:b/>
                <w:iCs/>
              </w:rPr>
              <w:t xml:space="preserve">Sponsor: </w:t>
            </w:r>
            <w:r w:rsidRPr="00F3044B">
              <w:rPr>
                <w:rFonts w:ascii="Arial" w:hAnsi="Arial" w:cs="Arial"/>
                <w:bCs/>
                <w:iCs/>
              </w:rPr>
              <w:t xml:space="preserve"> </w:t>
            </w:r>
            <w:r w:rsidR="00F3044B" w:rsidRPr="00F3044B">
              <w:rPr>
                <w:rFonts w:ascii="Arial" w:hAnsi="Arial" w:cs="Arial"/>
                <w:bCs/>
                <w:iCs/>
              </w:rPr>
              <w:t>ERCOT</w:t>
            </w:r>
          </w:p>
          <w:p w14:paraId="14B0F76A" w14:textId="16C10883" w:rsidR="00781B5C" w:rsidRPr="005539E3" w:rsidRDefault="00781B5C" w:rsidP="00781B5C">
            <w:pPr>
              <w:ind w:left="360"/>
              <w:rPr>
                <w:rFonts w:ascii="Arial" w:hAnsi="Arial" w:cs="Arial"/>
              </w:rPr>
            </w:pPr>
            <w:r w:rsidRPr="005539E3">
              <w:rPr>
                <w:rFonts w:ascii="Arial" w:hAnsi="Arial" w:cs="Arial"/>
                <w:b/>
              </w:rPr>
              <w:t xml:space="preserve">Revision Description:  </w:t>
            </w:r>
            <w:r w:rsidR="00F3044B" w:rsidRPr="00F3044B">
              <w:rPr>
                <w:rFonts w:ascii="Arial" w:hAnsi="Arial" w:cs="Arial"/>
                <w:bCs/>
              </w:rPr>
              <w:t>This</w:t>
            </w:r>
            <w:r w:rsidR="004146C4">
              <w:rPr>
                <w:rFonts w:ascii="Arial" w:hAnsi="Arial" w:cs="Arial"/>
                <w:bCs/>
              </w:rPr>
              <w:t xml:space="preserve"> PGRR</w:t>
            </w:r>
            <w:r w:rsidR="00F3044B" w:rsidRPr="00F3044B">
              <w:rPr>
                <w:rFonts w:ascii="Arial" w:hAnsi="Arial" w:cs="Arial"/>
                <w:bCs/>
              </w:rPr>
              <w:t xml:space="preserve"> revises the Planning Guide to codify that a reliability margin consistent with expected operations procedures for the study period will be utilized when limits associated with a stability constraint are modeled in the Regional Transmission Plan reliability and economic base cases.</w:t>
            </w:r>
          </w:p>
          <w:p w14:paraId="64104930" w14:textId="6E9F3646" w:rsidR="00781B5C" w:rsidRPr="005539E3" w:rsidRDefault="00781B5C" w:rsidP="00781B5C">
            <w:pPr>
              <w:pStyle w:val="BodyText"/>
              <w:spacing w:before="0" w:after="0"/>
              <w:ind w:left="360"/>
              <w:rPr>
                <w:rFonts w:ascii="Arial" w:hAnsi="Arial" w:cs="Arial"/>
                <w:i/>
              </w:rPr>
            </w:pPr>
            <w:hyperlink r:id="rId45" w:history="1">
              <w:r w:rsidRPr="00FC0272">
                <w:rPr>
                  <w:rStyle w:val="Hyperlink"/>
                  <w:rFonts w:ascii="Arial" w:hAnsi="Arial" w:cs="Arial"/>
                  <w:b/>
                </w:rPr>
                <w:t>Impact Analysis</w:t>
              </w:r>
            </w:hyperlink>
            <w:r w:rsidRPr="005539E3">
              <w:rPr>
                <w:rFonts w:ascii="Arial" w:hAnsi="Arial" w:cs="Arial"/>
                <w:b/>
              </w:rPr>
              <w:t xml:space="preserve">:  </w:t>
            </w:r>
            <w:r w:rsidR="00F3044B" w:rsidRPr="00F3044B">
              <w:rPr>
                <w:rFonts w:ascii="Arial" w:hAnsi="Arial" w:cs="Arial"/>
                <w:bCs/>
              </w:rPr>
              <w:t>No impact</w:t>
            </w:r>
          </w:p>
          <w:p w14:paraId="5FD4B2AB" w14:textId="39330577" w:rsidR="00781B5C" w:rsidRPr="005539E3" w:rsidRDefault="00781B5C" w:rsidP="00781B5C">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F3044B" w:rsidRPr="00F3044B">
              <w:rPr>
                <w:rFonts w:ascii="Arial" w:hAnsi="Arial" w:cs="Arial"/>
                <w:bCs/>
              </w:rPr>
              <w:t>The first of the month following Public Utility Commission of Texas (PUCT) approval</w:t>
            </w:r>
          </w:p>
          <w:p w14:paraId="7DD72A1A" w14:textId="178C93FE" w:rsidR="00781B5C" w:rsidRDefault="00781B5C" w:rsidP="00781B5C">
            <w:pPr>
              <w:ind w:left="360"/>
              <w:rPr>
                <w:rFonts w:ascii="Arial" w:hAnsi="Arial" w:cs="Arial"/>
              </w:rPr>
            </w:pPr>
            <w:hyperlink r:id="rId46"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483FF7">
              <w:rPr>
                <w:rFonts w:ascii="Arial" w:hAnsi="Arial" w:cs="Arial"/>
              </w:rPr>
              <w:t xml:space="preserve">On 3/26/25, TAC voted unanimously to </w:t>
            </w:r>
            <w:r w:rsidR="00483FF7" w:rsidRPr="00483FF7">
              <w:rPr>
                <w:rFonts w:ascii="Arial" w:hAnsi="Arial" w:cs="Arial"/>
              </w:rPr>
              <w:t>recommend approval of PGRR119 as recommended by ROS in the 3/6/25 ROS Report</w:t>
            </w:r>
            <w:r w:rsidR="00483FF7">
              <w:rPr>
                <w:rFonts w:ascii="Arial" w:hAnsi="Arial" w:cs="Arial"/>
              </w:rPr>
              <w:t>.</w:t>
            </w:r>
          </w:p>
          <w:p w14:paraId="42771B6F" w14:textId="46012AAE" w:rsidR="00781B5C" w:rsidRDefault="00781B5C" w:rsidP="00781B5C">
            <w:pPr>
              <w:ind w:left="360"/>
              <w:rPr>
                <w:rFonts w:ascii="Arial" w:hAnsi="Arial" w:cs="Arial"/>
                <w:bCs/>
                <w:iCs/>
              </w:rPr>
            </w:pPr>
            <w:r>
              <w:rPr>
                <w:rFonts w:ascii="Arial" w:hAnsi="Arial" w:cs="Arial"/>
                <w:b/>
                <w:iCs/>
              </w:rPr>
              <w:t>ERCOT Opinion:</w:t>
            </w:r>
            <w:r>
              <w:rPr>
                <w:rFonts w:ascii="Arial" w:hAnsi="Arial" w:cs="Arial"/>
                <w:bCs/>
                <w:iCs/>
              </w:rPr>
              <w:t xml:space="preserve">  </w:t>
            </w:r>
            <w:r w:rsidRPr="00F07FC8">
              <w:rPr>
                <w:rFonts w:ascii="Arial" w:hAnsi="Arial" w:cs="Arial"/>
                <w:bCs/>
                <w:iCs/>
              </w:rPr>
              <w:t>ERCOT supports approval of</w:t>
            </w:r>
            <w:r>
              <w:rPr>
                <w:rFonts w:ascii="Arial" w:hAnsi="Arial" w:cs="Arial"/>
                <w:bCs/>
                <w:iCs/>
              </w:rPr>
              <w:t xml:space="preserve"> PGRR119</w:t>
            </w:r>
            <w:r w:rsidRPr="00F07FC8">
              <w:rPr>
                <w:rFonts w:ascii="Arial" w:hAnsi="Arial" w:cs="Arial"/>
                <w:bCs/>
                <w:iCs/>
              </w:rPr>
              <w:t>.</w:t>
            </w:r>
          </w:p>
          <w:p w14:paraId="6E64520E" w14:textId="3098BC73" w:rsidR="00781B5C" w:rsidRDefault="00781B5C" w:rsidP="00781B5C">
            <w:pPr>
              <w:ind w:left="360"/>
              <w:rPr>
                <w:rFonts w:ascii="Arial" w:hAnsi="Arial" w:cs="Arial"/>
                <w:bCs/>
              </w:rPr>
            </w:pPr>
            <w:r>
              <w:rPr>
                <w:rFonts w:ascii="Arial" w:hAnsi="Arial" w:cs="Arial"/>
                <w:b/>
              </w:rPr>
              <w:t xml:space="preserve">ERCOT Market Impact Statement:  </w:t>
            </w:r>
            <w:r w:rsidR="00F3044B" w:rsidRPr="00F3044B">
              <w:rPr>
                <w:rFonts w:ascii="Arial" w:hAnsi="Arial" w:cs="Arial"/>
                <w:bCs/>
              </w:rPr>
              <w:t xml:space="preserve">ERCOT Staff has reviewed PGRR119 and believes it provides a positive market impact by clarifying and codifying the </w:t>
            </w:r>
            <w:r w:rsidR="00F3044B" w:rsidRPr="00F3044B">
              <w:rPr>
                <w:rFonts w:ascii="Arial" w:hAnsi="Arial" w:cs="Arial"/>
                <w:bCs/>
              </w:rPr>
              <w:lastRenderedPageBreak/>
              <w:t>transmission planning assumptions related to the modeling of stability constraints in the Regional Transmission Plan base case.</w:t>
            </w:r>
          </w:p>
          <w:p w14:paraId="19ACD009" w14:textId="6E588312" w:rsidR="00781B5C" w:rsidRDefault="00781B5C" w:rsidP="00781B5C">
            <w:pPr>
              <w:ind w:left="360"/>
              <w:rPr>
                <w:rFonts w:ascii="Arial" w:hAnsi="Arial" w:cs="Arial"/>
              </w:rPr>
            </w:pPr>
            <w:r>
              <w:rPr>
                <w:rFonts w:ascii="Arial" w:hAnsi="Arial" w:cs="Arial"/>
                <w:b/>
              </w:rPr>
              <w:t>IMM Opinion:</w:t>
            </w:r>
            <w:r>
              <w:rPr>
                <w:rFonts w:ascii="Arial" w:hAnsi="Arial" w:cs="Arial"/>
              </w:rPr>
              <w:t xml:space="preserve">  </w:t>
            </w:r>
            <w:r w:rsidR="00F3044B" w:rsidRPr="00F3044B">
              <w:rPr>
                <w:rFonts w:ascii="Arial" w:hAnsi="Arial" w:cs="Arial"/>
              </w:rPr>
              <w:t>IMM has no opinion on PGRR119.</w:t>
            </w:r>
          </w:p>
          <w:p w14:paraId="15B5A0F2" w14:textId="04159DA5" w:rsidR="00781B5C" w:rsidRDefault="00781B5C" w:rsidP="00781B5C">
            <w:pPr>
              <w:ind w:left="360"/>
              <w:rPr>
                <w:rFonts w:ascii="Arial" w:hAnsi="Arial" w:cs="Arial"/>
                <w:b/>
              </w:rPr>
            </w:pPr>
            <w:hyperlink r:id="rId47"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12A19E68" w14:textId="77777777" w:rsidR="00F832D5" w:rsidRDefault="00F832D5" w:rsidP="00781B5C">
            <w:pPr>
              <w:ind w:left="360"/>
              <w:rPr>
                <w:rFonts w:ascii="Arial" w:hAnsi="Arial" w:cs="Arial"/>
                <w:b/>
              </w:rPr>
            </w:pPr>
          </w:p>
          <w:p w14:paraId="2E6F9AB6" w14:textId="13CD56A7" w:rsidR="00F832D5" w:rsidRDefault="00F832D5" w:rsidP="00F832D5">
            <w:pPr>
              <w:numPr>
                <w:ilvl w:val="0"/>
                <w:numId w:val="27"/>
              </w:numPr>
              <w:rPr>
                <w:rFonts w:ascii="Arial" w:hAnsi="Arial" w:cs="Arial"/>
                <w:b/>
                <w:i/>
              </w:rPr>
            </w:pPr>
            <w:hyperlink r:id="rId48" w:history="1">
              <w:r w:rsidRPr="008C49E2">
                <w:rPr>
                  <w:rStyle w:val="Hyperlink"/>
                  <w:rFonts w:ascii="Arial" w:hAnsi="Arial" w:cs="Arial"/>
                  <w:b/>
                  <w:i/>
                </w:rPr>
                <w:t>SCR829, API for the NDCRC Application</w:t>
              </w:r>
              <w:r w:rsidRPr="00CF5DF7">
                <w:rPr>
                  <w:rStyle w:val="Hyperlink"/>
                  <w:rFonts w:ascii="Arial" w:hAnsi="Arial" w:cs="Arial"/>
                  <w:b/>
                  <w:i/>
                </w:rPr>
                <w:t xml:space="preserve"> </w:t>
              </w:r>
            </w:hyperlink>
          </w:p>
          <w:p w14:paraId="0A8F09DE" w14:textId="4046A51C" w:rsidR="00F832D5" w:rsidRPr="005539E3" w:rsidRDefault="00F832D5" w:rsidP="00F832D5">
            <w:pPr>
              <w:ind w:left="360"/>
              <w:rPr>
                <w:rFonts w:ascii="Arial" w:hAnsi="Arial" w:cs="Arial"/>
                <w:bCs/>
                <w:iCs/>
              </w:rPr>
            </w:pPr>
            <w:r>
              <w:rPr>
                <w:rFonts w:ascii="Arial" w:hAnsi="Arial" w:cs="Arial"/>
                <w:b/>
                <w:iCs/>
              </w:rPr>
              <w:t xml:space="preserve">Sponsor:  </w:t>
            </w:r>
            <w:r w:rsidR="00F3044B" w:rsidRPr="00F3044B">
              <w:rPr>
                <w:rFonts w:ascii="Arial" w:hAnsi="Arial" w:cs="Arial"/>
                <w:b/>
                <w:iCs/>
              </w:rPr>
              <w:t>Constellation Energy Generation, Tenaska Power Services, NRG Texas Power LLC, Lower Colorado Review Authority</w:t>
            </w:r>
            <w:r w:rsidR="00F3044B">
              <w:rPr>
                <w:rFonts w:ascii="Arial" w:hAnsi="Arial" w:cs="Arial"/>
                <w:b/>
                <w:iCs/>
              </w:rPr>
              <w:t xml:space="preserve"> (Joint Sponsors)</w:t>
            </w:r>
          </w:p>
          <w:p w14:paraId="2C7A43A5" w14:textId="6ACE025C" w:rsidR="00F832D5" w:rsidRPr="005539E3" w:rsidRDefault="00F832D5" w:rsidP="00F832D5">
            <w:pPr>
              <w:ind w:left="360"/>
              <w:rPr>
                <w:rFonts w:ascii="Arial" w:hAnsi="Arial" w:cs="Arial"/>
              </w:rPr>
            </w:pPr>
            <w:r w:rsidRPr="005539E3">
              <w:rPr>
                <w:rFonts w:ascii="Arial" w:hAnsi="Arial" w:cs="Arial"/>
                <w:b/>
              </w:rPr>
              <w:t>Revision Description:</w:t>
            </w:r>
            <w:r w:rsidR="00C21739">
              <w:t xml:space="preserve">  </w:t>
            </w:r>
            <w:r w:rsidR="00C21739" w:rsidRPr="00C21739">
              <w:rPr>
                <w:rFonts w:ascii="Arial" w:hAnsi="Arial" w:cs="Arial"/>
                <w:bCs/>
              </w:rPr>
              <w:t>This SCR adds an Application Programming Interface (API) to upload unit testing data and download unit testing data from the Net Dependable Capability and Reactive Capability (NDCRC) application.</w:t>
            </w:r>
            <w:r w:rsidRPr="005539E3">
              <w:rPr>
                <w:rFonts w:ascii="Arial" w:hAnsi="Arial" w:cs="Arial"/>
                <w:b/>
              </w:rPr>
              <w:t xml:space="preserve">  </w:t>
            </w:r>
          </w:p>
          <w:p w14:paraId="6981DB0B" w14:textId="63066685" w:rsidR="00F832D5" w:rsidRPr="00C21739" w:rsidRDefault="00F832D5" w:rsidP="00F832D5">
            <w:pPr>
              <w:pStyle w:val="BodyText"/>
              <w:spacing w:before="0" w:after="0"/>
              <w:ind w:left="360"/>
              <w:rPr>
                <w:rFonts w:ascii="Arial" w:hAnsi="Arial" w:cs="Arial"/>
                <w:bCs/>
                <w:i/>
              </w:rPr>
            </w:pPr>
            <w:hyperlink r:id="rId49" w:history="1">
              <w:r w:rsidRPr="00FC0272">
                <w:rPr>
                  <w:rStyle w:val="Hyperlink"/>
                  <w:rFonts w:ascii="Arial" w:hAnsi="Arial" w:cs="Arial"/>
                  <w:b/>
                </w:rPr>
                <w:t>Impact Analysis</w:t>
              </w:r>
            </w:hyperlink>
            <w:r w:rsidRPr="005539E3">
              <w:rPr>
                <w:rFonts w:ascii="Arial" w:hAnsi="Arial" w:cs="Arial"/>
                <w:b/>
              </w:rPr>
              <w:t xml:space="preserve">:  </w:t>
            </w:r>
            <w:r w:rsidR="00C21739" w:rsidRPr="00C21739">
              <w:rPr>
                <w:rFonts w:ascii="Arial" w:hAnsi="Arial" w:cs="Arial"/>
                <w:bCs/>
              </w:rPr>
              <w:t>Between $100K and $200K (7 – 10 months)</w:t>
            </w:r>
          </w:p>
          <w:p w14:paraId="35BD277D" w14:textId="4E61A36A" w:rsidR="00F832D5" w:rsidRPr="005539E3" w:rsidRDefault="00F832D5" w:rsidP="00F832D5">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C21739" w:rsidRPr="00C21739">
              <w:rPr>
                <w:rFonts w:ascii="Arial" w:hAnsi="Arial" w:cs="Arial"/>
                <w:bCs/>
              </w:rPr>
              <w:t>Upon system implementation – Priority 2025; Rank 4560</w:t>
            </w:r>
          </w:p>
          <w:p w14:paraId="34A0AEDE" w14:textId="4B5B43D2" w:rsidR="00F832D5" w:rsidRDefault="00F832D5" w:rsidP="00F832D5">
            <w:pPr>
              <w:ind w:left="360"/>
              <w:rPr>
                <w:rFonts w:ascii="Arial" w:hAnsi="Arial" w:cs="Arial"/>
              </w:rPr>
            </w:pPr>
            <w:hyperlink r:id="rId50"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483FF7">
              <w:rPr>
                <w:rFonts w:ascii="Arial" w:hAnsi="Arial" w:cs="Arial"/>
              </w:rPr>
              <w:t xml:space="preserve">On 3/26/25, TAC voted unanimously to </w:t>
            </w:r>
            <w:r w:rsidR="00483FF7" w:rsidRPr="00483FF7">
              <w:rPr>
                <w:rFonts w:ascii="Arial" w:hAnsi="Arial" w:cs="Arial"/>
              </w:rPr>
              <w:t>recommend approval of SCR829 as recommended by PRS in the 3/12/25 PRS Report</w:t>
            </w:r>
            <w:r w:rsidR="00483FF7">
              <w:rPr>
                <w:rFonts w:ascii="Arial" w:hAnsi="Arial" w:cs="Arial"/>
              </w:rPr>
              <w:t>.</w:t>
            </w:r>
          </w:p>
          <w:p w14:paraId="136146EE" w14:textId="77777777" w:rsidR="00F832D5" w:rsidRDefault="00F832D5" w:rsidP="00F832D5">
            <w:pPr>
              <w:ind w:left="360"/>
              <w:rPr>
                <w:rFonts w:ascii="Arial" w:hAnsi="Arial" w:cs="Arial"/>
                <w:bCs/>
                <w:iCs/>
              </w:rPr>
            </w:pPr>
            <w:r>
              <w:rPr>
                <w:rFonts w:ascii="Arial" w:hAnsi="Arial" w:cs="Arial"/>
                <w:b/>
                <w:iCs/>
              </w:rPr>
              <w:t>ERCOT Opinion:</w:t>
            </w:r>
            <w:r>
              <w:rPr>
                <w:rFonts w:ascii="Arial" w:hAnsi="Arial" w:cs="Arial"/>
                <w:bCs/>
                <w:iCs/>
              </w:rPr>
              <w:t xml:space="preserve">  </w:t>
            </w:r>
            <w:r w:rsidRPr="00F07FC8">
              <w:rPr>
                <w:rFonts w:ascii="Arial" w:hAnsi="Arial" w:cs="Arial"/>
                <w:bCs/>
                <w:iCs/>
              </w:rPr>
              <w:t>ERCOT supports approval of</w:t>
            </w:r>
            <w:r>
              <w:rPr>
                <w:rFonts w:ascii="Arial" w:hAnsi="Arial" w:cs="Arial"/>
                <w:bCs/>
                <w:iCs/>
              </w:rPr>
              <w:t xml:space="preserve"> SCR829</w:t>
            </w:r>
            <w:r w:rsidRPr="00F07FC8">
              <w:rPr>
                <w:rFonts w:ascii="Arial" w:hAnsi="Arial" w:cs="Arial"/>
                <w:bCs/>
                <w:iCs/>
              </w:rPr>
              <w:t>.</w:t>
            </w:r>
          </w:p>
          <w:p w14:paraId="15EAC87E" w14:textId="154BAAE6" w:rsidR="00F832D5" w:rsidRDefault="00F832D5" w:rsidP="00F832D5">
            <w:pPr>
              <w:ind w:left="360"/>
              <w:rPr>
                <w:rFonts w:ascii="Arial" w:hAnsi="Arial" w:cs="Arial"/>
                <w:bCs/>
              </w:rPr>
            </w:pPr>
            <w:r>
              <w:rPr>
                <w:rFonts w:ascii="Arial" w:hAnsi="Arial" w:cs="Arial"/>
                <w:b/>
              </w:rPr>
              <w:t xml:space="preserve">ERCOT Market Impact Statement:  </w:t>
            </w:r>
            <w:r w:rsidR="00C21739" w:rsidRPr="00C21739">
              <w:rPr>
                <w:rFonts w:ascii="Arial" w:hAnsi="Arial" w:cs="Arial"/>
                <w:bCs/>
              </w:rPr>
              <w:t>ERCOT Staff has reviewed SCR829 and believes it provides a positive market impact by enabling QSEs to upload and download unit testing data from the NDCRC application, reducing manual demands and opportunities for error.</w:t>
            </w:r>
          </w:p>
          <w:p w14:paraId="6B1A4DCE" w14:textId="224D22F4" w:rsidR="00F832D5" w:rsidRDefault="00F832D5" w:rsidP="00F832D5">
            <w:pPr>
              <w:ind w:left="360"/>
              <w:rPr>
                <w:rFonts w:ascii="Arial" w:hAnsi="Arial" w:cs="Arial"/>
              </w:rPr>
            </w:pPr>
            <w:r>
              <w:rPr>
                <w:rFonts w:ascii="Arial" w:hAnsi="Arial" w:cs="Arial"/>
                <w:b/>
              </w:rPr>
              <w:t>IMM Opinion:</w:t>
            </w:r>
            <w:r>
              <w:rPr>
                <w:rFonts w:ascii="Arial" w:hAnsi="Arial" w:cs="Arial"/>
              </w:rPr>
              <w:t xml:space="preserve">  </w:t>
            </w:r>
            <w:r w:rsidR="00C21739" w:rsidRPr="00C21739">
              <w:rPr>
                <w:rFonts w:ascii="Arial" w:hAnsi="Arial" w:cs="Arial"/>
              </w:rPr>
              <w:t>IMM has no opinion on SCR829.</w:t>
            </w:r>
          </w:p>
          <w:p w14:paraId="7BD8277B" w14:textId="72304E08" w:rsidR="00F832D5" w:rsidRDefault="00F832D5" w:rsidP="00F832D5">
            <w:pPr>
              <w:ind w:left="360"/>
              <w:rPr>
                <w:rFonts w:ascii="Arial" w:hAnsi="Arial" w:cs="Arial"/>
                <w:b/>
              </w:rPr>
            </w:pPr>
            <w:hyperlink r:id="rId51"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44F4AC4C" w14:textId="77777777" w:rsidR="00781B5C" w:rsidRDefault="00781B5C" w:rsidP="00FC0272">
            <w:pPr>
              <w:rPr>
                <w:rFonts w:ascii="Arial" w:hAnsi="Arial" w:cs="Arial"/>
              </w:rPr>
            </w:pPr>
          </w:p>
          <w:p w14:paraId="1E4D1CBF" w14:textId="3076B3B5" w:rsidR="00781B5C" w:rsidRDefault="00781B5C" w:rsidP="00781B5C">
            <w:pPr>
              <w:numPr>
                <w:ilvl w:val="0"/>
                <w:numId w:val="27"/>
              </w:numPr>
              <w:rPr>
                <w:rFonts w:ascii="Arial" w:hAnsi="Arial" w:cs="Arial"/>
                <w:b/>
                <w:i/>
              </w:rPr>
            </w:pPr>
            <w:hyperlink r:id="rId52" w:history="1">
              <w:r w:rsidRPr="00781B5C">
                <w:rPr>
                  <w:rStyle w:val="Hyperlink"/>
                  <w:rFonts w:ascii="Arial" w:hAnsi="Arial" w:cs="Arial"/>
                  <w:b/>
                  <w:i/>
                </w:rPr>
                <w:t>SMOGRR028, Add Series Reactor Compensation Factors</w:t>
              </w:r>
              <w:r w:rsidRPr="00CF5DF7">
                <w:rPr>
                  <w:rStyle w:val="Hyperlink"/>
                  <w:rFonts w:ascii="Arial" w:hAnsi="Arial" w:cs="Arial"/>
                  <w:b/>
                  <w:i/>
                </w:rPr>
                <w:t xml:space="preserve"> </w:t>
              </w:r>
            </w:hyperlink>
          </w:p>
          <w:p w14:paraId="0F549605" w14:textId="1CBB7589" w:rsidR="00781B5C" w:rsidRPr="005539E3" w:rsidRDefault="00781B5C" w:rsidP="00781B5C">
            <w:pPr>
              <w:ind w:left="360"/>
              <w:rPr>
                <w:rFonts w:ascii="Arial" w:hAnsi="Arial" w:cs="Arial"/>
                <w:bCs/>
                <w:iCs/>
              </w:rPr>
            </w:pPr>
            <w:r>
              <w:rPr>
                <w:rFonts w:ascii="Arial" w:hAnsi="Arial" w:cs="Arial"/>
                <w:b/>
                <w:iCs/>
              </w:rPr>
              <w:t xml:space="preserve">Sponsor: </w:t>
            </w:r>
            <w:r w:rsidRPr="009867A5">
              <w:rPr>
                <w:rFonts w:ascii="Arial" w:hAnsi="Arial" w:cs="Arial"/>
                <w:bCs/>
                <w:iCs/>
              </w:rPr>
              <w:t xml:space="preserve"> </w:t>
            </w:r>
            <w:r w:rsidR="009867A5" w:rsidRPr="009867A5">
              <w:rPr>
                <w:rFonts w:ascii="Arial" w:hAnsi="Arial" w:cs="Arial"/>
                <w:bCs/>
                <w:iCs/>
              </w:rPr>
              <w:t>ERCOT</w:t>
            </w:r>
          </w:p>
          <w:p w14:paraId="3B0BEDFF" w14:textId="5C79DF1E" w:rsidR="00781B5C" w:rsidRPr="005539E3" w:rsidRDefault="00781B5C" w:rsidP="00781B5C">
            <w:pPr>
              <w:ind w:left="360"/>
              <w:rPr>
                <w:rFonts w:ascii="Arial" w:hAnsi="Arial" w:cs="Arial"/>
              </w:rPr>
            </w:pPr>
            <w:r w:rsidRPr="005539E3">
              <w:rPr>
                <w:rFonts w:ascii="Arial" w:hAnsi="Arial" w:cs="Arial"/>
                <w:b/>
              </w:rPr>
              <w:t xml:space="preserve">Revision Description:  </w:t>
            </w:r>
            <w:r w:rsidR="009867A5" w:rsidRPr="009867A5">
              <w:rPr>
                <w:rFonts w:ascii="Arial" w:hAnsi="Arial" w:cs="Arial"/>
                <w:bCs/>
              </w:rPr>
              <w:t>This SMOGRR gives guidance for allowing loss compensation for current limiting reactors.</w:t>
            </w:r>
          </w:p>
          <w:p w14:paraId="53B6219B" w14:textId="7F8EFF22" w:rsidR="00781B5C" w:rsidRPr="005539E3" w:rsidRDefault="00781B5C" w:rsidP="00781B5C">
            <w:pPr>
              <w:pStyle w:val="BodyText"/>
              <w:spacing w:before="0" w:after="0"/>
              <w:ind w:left="360"/>
              <w:rPr>
                <w:rFonts w:ascii="Arial" w:hAnsi="Arial" w:cs="Arial"/>
                <w:i/>
              </w:rPr>
            </w:pPr>
            <w:hyperlink r:id="rId53" w:history="1">
              <w:r w:rsidRPr="00FC0272">
                <w:rPr>
                  <w:rStyle w:val="Hyperlink"/>
                  <w:rFonts w:ascii="Arial" w:hAnsi="Arial" w:cs="Arial"/>
                  <w:b/>
                </w:rPr>
                <w:t>Impact Analysis</w:t>
              </w:r>
            </w:hyperlink>
            <w:r w:rsidRPr="005539E3">
              <w:rPr>
                <w:rFonts w:ascii="Arial" w:hAnsi="Arial" w:cs="Arial"/>
                <w:b/>
              </w:rPr>
              <w:t xml:space="preserve">:  </w:t>
            </w:r>
            <w:r w:rsidR="009867A5" w:rsidRPr="009867A5">
              <w:rPr>
                <w:rFonts w:ascii="Arial" w:hAnsi="Arial" w:cs="Arial"/>
                <w:bCs/>
              </w:rPr>
              <w:t>No impact</w:t>
            </w:r>
          </w:p>
          <w:p w14:paraId="0D342C93" w14:textId="7CD01130" w:rsidR="00781B5C" w:rsidRPr="005539E3" w:rsidRDefault="00781B5C" w:rsidP="00781B5C">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9867A5" w:rsidRPr="009867A5">
              <w:rPr>
                <w:rFonts w:ascii="Arial" w:hAnsi="Arial" w:cs="Arial"/>
                <w:bCs/>
              </w:rPr>
              <w:t>First of the month following PUCT approval</w:t>
            </w:r>
          </w:p>
          <w:p w14:paraId="259EC125" w14:textId="5AC286B0" w:rsidR="00781B5C" w:rsidRDefault="00781B5C" w:rsidP="00781B5C">
            <w:pPr>
              <w:ind w:left="360"/>
              <w:rPr>
                <w:rFonts w:ascii="Arial" w:hAnsi="Arial" w:cs="Arial"/>
              </w:rPr>
            </w:pPr>
            <w:hyperlink r:id="rId54"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483FF7">
              <w:rPr>
                <w:rFonts w:ascii="Arial" w:hAnsi="Arial" w:cs="Arial"/>
              </w:rPr>
              <w:t xml:space="preserve">On 3/26/25, TAC voted unanimously to </w:t>
            </w:r>
            <w:r w:rsidR="00483FF7" w:rsidRPr="00483FF7">
              <w:rPr>
                <w:rFonts w:ascii="Arial" w:hAnsi="Arial" w:cs="Arial"/>
              </w:rPr>
              <w:t>recommend approval of SMOGRR028 as recommended by WMS in the 3/5/25 WMS Report</w:t>
            </w:r>
          </w:p>
          <w:p w14:paraId="566475B1" w14:textId="726F9766" w:rsidR="00781B5C" w:rsidRDefault="00781B5C" w:rsidP="00781B5C">
            <w:pPr>
              <w:ind w:left="360"/>
              <w:rPr>
                <w:rFonts w:ascii="Arial" w:hAnsi="Arial" w:cs="Arial"/>
                <w:bCs/>
                <w:iCs/>
              </w:rPr>
            </w:pPr>
            <w:r>
              <w:rPr>
                <w:rFonts w:ascii="Arial" w:hAnsi="Arial" w:cs="Arial"/>
                <w:b/>
                <w:iCs/>
              </w:rPr>
              <w:t>ERCOT Opinion:</w:t>
            </w:r>
            <w:r>
              <w:rPr>
                <w:rFonts w:ascii="Arial" w:hAnsi="Arial" w:cs="Arial"/>
                <w:bCs/>
                <w:iCs/>
              </w:rPr>
              <w:t xml:space="preserve">  </w:t>
            </w:r>
            <w:r w:rsidRPr="00F07FC8">
              <w:rPr>
                <w:rFonts w:ascii="Arial" w:hAnsi="Arial" w:cs="Arial"/>
                <w:bCs/>
                <w:iCs/>
              </w:rPr>
              <w:t>ERCOT supports approval of</w:t>
            </w:r>
            <w:r>
              <w:rPr>
                <w:rFonts w:ascii="Arial" w:hAnsi="Arial" w:cs="Arial"/>
                <w:bCs/>
                <w:iCs/>
              </w:rPr>
              <w:t xml:space="preserve"> SMOGRR028</w:t>
            </w:r>
            <w:r w:rsidRPr="00F07FC8">
              <w:rPr>
                <w:rFonts w:ascii="Arial" w:hAnsi="Arial" w:cs="Arial"/>
                <w:bCs/>
                <w:iCs/>
              </w:rPr>
              <w:t>.</w:t>
            </w:r>
          </w:p>
          <w:p w14:paraId="6703EB8E" w14:textId="4DD95514" w:rsidR="00781B5C" w:rsidRDefault="00781B5C" w:rsidP="00781B5C">
            <w:pPr>
              <w:ind w:left="360"/>
              <w:rPr>
                <w:rFonts w:ascii="Arial" w:hAnsi="Arial" w:cs="Arial"/>
                <w:bCs/>
              </w:rPr>
            </w:pPr>
            <w:r>
              <w:rPr>
                <w:rFonts w:ascii="Arial" w:hAnsi="Arial" w:cs="Arial"/>
                <w:b/>
              </w:rPr>
              <w:t xml:space="preserve">ERCOT Market Impact Statement:  </w:t>
            </w:r>
            <w:r w:rsidR="009867A5" w:rsidRPr="009867A5">
              <w:rPr>
                <w:rFonts w:ascii="Arial" w:hAnsi="Arial" w:cs="Arial"/>
                <w:bCs/>
              </w:rPr>
              <w:t>ERCOT Staff has reviewed SMOGRR028 and believes it provides a positive market impact by extending the guidelines for loss compensation to include current limiting reactors, which may be identified as needed later in the design process, the use of which allowing greater flexibility in meter installation location without requiring additional metering structures.</w:t>
            </w:r>
          </w:p>
          <w:p w14:paraId="1C7081C7" w14:textId="5A80CD22" w:rsidR="00781B5C" w:rsidRDefault="00781B5C" w:rsidP="00781B5C">
            <w:pPr>
              <w:ind w:left="360"/>
              <w:rPr>
                <w:rFonts w:ascii="Arial" w:hAnsi="Arial" w:cs="Arial"/>
              </w:rPr>
            </w:pPr>
            <w:r>
              <w:rPr>
                <w:rFonts w:ascii="Arial" w:hAnsi="Arial" w:cs="Arial"/>
                <w:b/>
              </w:rPr>
              <w:t>IMM Opinion:</w:t>
            </w:r>
            <w:r>
              <w:rPr>
                <w:rFonts w:ascii="Arial" w:hAnsi="Arial" w:cs="Arial"/>
              </w:rPr>
              <w:t xml:space="preserve">  </w:t>
            </w:r>
            <w:r w:rsidR="009867A5" w:rsidRPr="009867A5">
              <w:rPr>
                <w:rFonts w:ascii="Arial" w:hAnsi="Arial" w:cs="Arial"/>
              </w:rPr>
              <w:t>IMM has no opinion on SMOGRR028.</w:t>
            </w:r>
          </w:p>
          <w:p w14:paraId="232F64F2" w14:textId="13C613D0" w:rsidR="00781B5C" w:rsidRDefault="00781B5C" w:rsidP="00781B5C">
            <w:pPr>
              <w:ind w:left="360"/>
              <w:rPr>
                <w:rFonts w:ascii="Arial" w:hAnsi="Arial" w:cs="Arial"/>
                <w:b/>
              </w:rPr>
            </w:pPr>
            <w:hyperlink r:id="rId55"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4ECF3A27" w14:textId="77777777" w:rsidR="00EF437D" w:rsidRDefault="00EF437D" w:rsidP="00781B5C">
            <w:pPr>
              <w:ind w:left="360"/>
              <w:rPr>
                <w:rFonts w:ascii="Arial" w:hAnsi="Arial" w:cs="Arial"/>
                <w:b/>
              </w:rPr>
            </w:pPr>
          </w:p>
          <w:p w14:paraId="6198FA7B" w14:textId="79CF1AF4" w:rsidR="00EF437D" w:rsidRDefault="00EF437D" w:rsidP="00EF437D">
            <w:pPr>
              <w:numPr>
                <w:ilvl w:val="0"/>
                <w:numId w:val="27"/>
              </w:numPr>
              <w:rPr>
                <w:rFonts w:ascii="Arial" w:hAnsi="Arial" w:cs="Arial"/>
                <w:b/>
                <w:i/>
              </w:rPr>
            </w:pPr>
            <w:hyperlink r:id="rId56" w:history="1">
              <w:r>
                <w:rPr>
                  <w:rStyle w:val="Hyperlink"/>
                  <w:rFonts w:ascii="Arial" w:hAnsi="Arial" w:cs="Arial"/>
                  <w:b/>
                  <w:i/>
                </w:rPr>
                <w:t xml:space="preserve">VCMRR042, </w:t>
              </w:r>
              <w:r w:rsidRPr="00EF437D">
                <w:rPr>
                  <w:rStyle w:val="Hyperlink"/>
                  <w:rFonts w:ascii="Arial" w:hAnsi="Arial" w:cs="Arial"/>
                  <w:b/>
                  <w:i/>
                </w:rPr>
                <w:t>SO2 and NOx Emission Index Prices Used in Verifiable Cost Calculations</w:t>
              </w:r>
              <w:r w:rsidRPr="00CF5DF7">
                <w:rPr>
                  <w:rStyle w:val="Hyperlink"/>
                  <w:rFonts w:ascii="Arial" w:hAnsi="Arial" w:cs="Arial"/>
                  <w:b/>
                  <w:i/>
                </w:rPr>
                <w:t xml:space="preserve"> </w:t>
              </w:r>
            </w:hyperlink>
          </w:p>
          <w:p w14:paraId="44CE1EA5" w14:textId="77777777" w:rsidR="00EF437D" w:rsidRPr="005539E3" w:rsidRDefault="00EF437D" w:rsidP="00EF437D">
            <w:pPr>
              <w:ind w:left="360"/>
              <w:rPr>
                <w:rFonts w:ascii="Arial" w:hAnsi="Arial" w:cs="Arial"/>
                <w:bCs/>
                <w:iCs/>
              </w:rPr>
            </w:pPr>
            <w:r>
              <w:rPr>
                <w:rFonts w:ascii="Arial" w:hAnsi="Arial" w:cs="Arial"/>
                <w:b/>
                <w:iCs/>
              </w:rPr>
              <w:t xml:space="preserve">Sponsor: </w:t>
            </w:r>
            <w:r w:rsidRPr="009867A5">
              <w:rPr>
                <w:rFonts w:ascii="Arial" w:hAnsi="Arial" w:cs="Arial"/>
                <w:bCs/>
                <w:iCs/>
              </w:rPr>
              <w:t xml:space="preserve"> ERCOT</w:t>
            </w:r>
          </w:p>
          <w:p w14:paraId="327A713D" w14:textId="72C87C12" w:rsidR="00EF437D" w:rsidRPr="005539E3" w:rsidRDefault="00EF437D" w:rsidP="00EF437D">
            <w:pPr>
              <w:ind w:left="360"/>
              <w:rPr>
                <w:rFonts w:ascii="Arial" w:hAnsi="Arial" w:cs="Arial"/>
              </w:rPr>
            </w:pPr>
            <w:r w:rsidRPr="005539E3">
              <w:rPr>
                <w:rFonts w:ascii="Arial" w:hAnsi="Arial" w:cs="Arial"/>
                <w:b/>
              </w:rPr>
              <w:lastRenderedPageBreak/>
              <w:t xml:space="preserve">Revision Description:  </w:t>
            </w:r>
            <w:r w:rsidRPr="00EF437D">
              <w:rPr>
                <w:rFonts w:ascii="Arial" w:hAnsi="Arial" w:cs="Arial"/>
              </w:rPr>
              <w:t>This Verifiable Cost Manual Revision Request (VCMRR) adds the use of seasonal nitrogen oxide (NOX) prices obtained from indices to calculate emission costs from May through September. Annual index prices would continue to be used for SO2 from January through December.</w:t>
            </w:r>
          </w:p>
          <w:p w14:paraId="1E570E13" w14:textId="2736EBA5" w:rsidR="00EF437D" w:rsidRPr="005539E3" w:rsidRDefault="00EF437D" w:rsidP="00EF437D">
            <w:pPr>
              <w:pStyle w:val="BodyText"/>
              <w:spacing w:before="0" w:after="0"/>
              <w:ind w:left="360"/>
              <w:rPr>
                <w:rFonts w:ascii="Arial" w:hAnsi="Arial" w:cs="Arial"/>
                <w:i/>
              </w:rPr>
            </w:pPr>
            <w:hyperlink r:id="rId57" w:history="1">
              <w:r w:rsidRPr="00FC0272">
                <w:rPr>
                  <w:rStyle w:val="Hyperlink"/>
                  <w:rFonts w:ascii="Arial" w:hAnsi="Arial" w:cs="Arial"/>
                  <w:b/>
                </w:rPr>
                <w:t>Impact Analysis</w:t>
              </w:r>
            </w:hyperlink>
            <w:r w:rsidRPr="005539E3">
              <w:rPr>
                <w:rFonts w:ascii="Arial" w:hAnsi="Arial" w:cs="Arial"/>
                <w:b/>
              </w:rPr>
              <w:t xml:space="preserve">:  </w:t>
            </w:r>
            <w:r>
              <w:rPr>
                <w:rFonts w:ascii="Arial" w:hAnsi="Arial" w:cs="Arial"/>
                <w:bCs/>
              </w:rPr>
              <w:t>$</w:t>
            </w:r>
            <w:r w:rsidR="007B1817">
              <w:rPr>
                <w:rFonts w:ascii="Arial" w:hAnsi="Arial" w:cs="Arial"/>
                <w:bCs/>
              </w:rPr>
              <w:t>90</w:t>
            </w:r>
            <w:r>
              <w:rPr>
                <w:rFonts w:ascii="Arial" w:hAnsi="Arial" w:cs="Arial"/>
                <w:bCs/>
              </w:rPr>
              <w:t>K - $</w:t>
            </w:r>
            <w:r w:rsidR="007B1817">
              <w:rPr>
                <w:rFonts w:ascii="Arial" w:hAnsi="Arial" w:cs="Arial"/>
                <w:bCs/>
              </w:rPr>
              <w:t>140</w:t>
            </w:r>
            <w:r>
              <w:rPr>
                <w:rFonts w:ascii="Arial" w:hAnsi="Arial" w:cs="Arial"/>
                <w:bCs/>
              </w:rPr>
              <w:t>K (6 – 9 months)</w:t>
            </w:r>
          </w:p>
          <w:p w14:paraId="0CC3AB5F" w14:textId="5CCEC0E5" w:rsidR="00EF437D" w:rsidRPr="005539E3" w:rsidRDefault="00EF437D" w:rsidP="00EF437D">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bCs/>
              </w:rPr>
              <w:t>Upon system implementation – Priority 2026; Rank 4720</w:t>
            </w:r>
          </w:p>
          <w:p w14:paraId="634449E0" w14:textId="208B3724" w:rsidR="00EF437D" w:rsidRDefault="00EF437D" w:rsidP="00EF437D">
            <w:pPr>
              <w:ind w:left="360"/>
              <w:rPr>
                <w:rFonts w:ascii="Arial" w:hAnsi="Arial" w:cs="Arial"/>
              </w:rPr>
            </w:pPr>
            <w:hyperlink r:id="rId58"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Pr="00EF437D">
              <w:rPr>
                <w:rFonts w:ascii="Arial" w:hAnsi="Arial" w:cs="Arial"/>
              </w:rPr>
              <w:t>On 2/27/25, TAC voted unanimously to recommend approval of VCMRR042 as recommended by WMS in the 2/5/25 WMS Report.</w:t>
            </w:r>
          </w:p>
          <w:p w14:paraId="72136E9F" w14:textId="28F170AA" w:rsidR="00EF437D" w:rsidRDefault="00EF437D" w:rsidP="00EF437D">
            <w:pPr>
              <w:ind w:left="360"/>
              <w:rPr>
                <w:rFonts w:ascii="Arial" w:hAnsi="Arial" w:cs="Arial"/>
                <w:bCs/>
              </w:rPr>
            </w:pPr>
            <w:r>
              <w:rPr>
                <w:rFonts w:ascii="Arial" w:hAnsi="Arial" w:cs="Arial"/>
                <w:b/>
              </w:rPr>
              <w:t xml:space="preserve">ERCOT Market Impact Statement:  </w:t>
            </w:r>
            <w:r w:rsidRPr="00EF437D">
              <w:rPr>
                <w:rFonts w:ascii="Arial" w:hAnsi="Arial" w:cs="Arial"/>
                <w:bCs/>
              </w:rPr>
              <w:t xml:space="preserve">ERCOT Staff has reviewed VCMRR042 and agrees that seasonal NOx emissions prices are a better valuation of NOx emissions costs than annual NOx emissions prices currently used. Also, when automated, this </w:t>
            </w:r>
            <w:r>
              <w:rPr>
                <w:rFonts w:ascii="Arial" w:hAnsi="Arial" w:cs="Arial"/>
                <w:bCs/>
              </w:rPr>
              <w:t>VCMRR</w:t>
            </w:r>
            <w:r w:rsidRPr="00EF437D">
              <w:rPr>
                <w:rFonts w:ascii="Arial" w:hAnsi="Arial" w:cs="Arial"/>
                <w:bCs/>
              </w:rPr>
              <w:t xml:space="preserve"> will enable daily SO2 and NOx prices to be included in the verifiable Operations and Maintenance (O&amp;M) costs,</w:t>
            </w:r>
            <w:r>
              <w:rPr>
                <w:rFonts w:ascii="Arial" w:hAnsi="Arial" w:cs="Arial"/>
                <w:bCs/>
              </w:rPr>
              <w:t xml:space="preserve"> </w:t>
            </w:r>
            <w:r w:rsidRPr="00EF437D">
              <w:rPr>
                <w:rFonts w:ascii="Arial" w:hAnsi="Arial" w:cs="Arial"/>
                <w:bCs/>
              </w:rPr>
              <w:t>capturing price changes more promptly than the current use of monthly averages.</w:t>
            </w:r>
          </w:p>
          <w:p w14:paraId="67E09722" w14:textId="63880D88" w:rsidR="00EF437D" w:rsidRDefault="00EF437D" w:rsidP="00EF437D">
            <w:pPr>
              <w:ind w:left="360"/>
              <w:rPr>
                <w:rFonts w:ascii="Arial" w:hAnsi="Arial" w:cs="Arial"/>
                <w:bCs/>
              </w:rPr>
            </w:pPr>
            <w:r>
              <w:rPr>
                <w:rFonts w:ascii="Arial" w:hAnsi="Arial" w:cs="Arial"/>
                <w:b/>
              </w:rPr>
              <w:t>IMM Opinion:</w:t>
            </w:r>
            <w:r>
              <w:rPr>
                <w:rFonts w:ascii="Arial" w:hAnsi="Arial" w:cs="Arial"/>
                <w:bCs/>
              </w:rPr>
              <w:t xml:space="preserve"> </w:t>
            </w:r>
            <w:r w:rsidRPr="00EF437D">
              <w:rPr>
                <w:rFonts w:ascii="Arial" w:hAnsi="Arial" w:cs="Arial"/>
                <w:bCs/>
              </w:rPr>
              <w:t xml:space="preserve">IMM supports </w:t>
            </w:r>
            <w:r>
              <w:rPr>
                <w:rFonts w:ascii="Arial" w:hAnsi="Arial" w:cs="Arial"/>
                <w:bCs/>
              </w:rPr>
              <w:t xml:space="preserve">approval of </w:t>
            </w:r>
            <w:r w:rsidRPr="00EF437D">
              <w:rPr>
                <w:rFonts w:ascii="Arial" w:hAnsi="Arial" w:cs="Arial"/>
                <w:bCs/>
              </w:rPr>
              <w:t>VCMRR042.</w:t>
            </w:r>
            <w:r>
              <w:rPr>
                <w:rFonts w:ascii="Arial" w:hAnsi="Arial" w:cs="Arial"/>
                <w:bCs/>
              </w:rPr>
              <w:t xml:space="preserve"> </w:t>
            </w:r>
          </w:p>
          <w:p w14:paraId="5F4B2A0C" w14:textId="35064619" w:rsidR="00EF437D" w:rsidRPr="00EF437D" w:rsidRDefault="00EF437D" w:rsidP="00EF437D">
            <w:pPr>
              <w:ind w:left="360"/>
              <w:rPr>
                <w:rFonts w:ascii="Arial" w:hAnsi="Arial" w:cs="Arial"/>
                <w:bCs/>
              </w:rPr>
            </w:pPr>
            <w:hyperlink r:id="rId59"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0F7D1522" w14:textId="77777777" w:rsidR="00B60803" w:rsidRPr="005E3961" w:rsidRDefault="00B60803" w:rsidP="001F1D16">
            <w:pPr>
              <w:jc w:val="both"/>
              <w:rPr>
                <w:rFonts w:ascii="Arial" w:hAnsi="Arial" w:cs="Arial"/>
                <w:b/>
                <w:i/>
              </w:rPr>
            </w:pPr>
          </w:p>
          <w:p w14:paraId="4EF91F7C" w14:textId="22E67763" w:rsidR="009C6BA6" w:rsidRPr="005E3961" w:rsidRDefault="009C6BA6" w:rsidP="00703060">
            <w:pPr>
              <w:jc w:val="both"/>
              <w:rPr>
                <w:rFonts w:ascii="Arial" w:hAnsi="Arial" w:cs="Arial"/>
                <w:bCs/>
              </w:rPr>
            </w:pPr>
            <w:r w:rsidRPr="005E3961">
              <w:rPr>
                <w:rFonts w:ascii="Arial" w:hAnsi="Arial" w:cs="Arial"/>
                <w:bCs/>
              </w:rPr>
              <w:t xml:space="preserve">The TAC Reports and Impact Analyses for these Revision Requests are included in the </w:t>
            </w:r>
            <w:hyperlink r:id="rId60" w:history="1">
              <w:r w:rsidRPr="005E3961">
                <w:rPr>
                  <w:rStyle w:val="Hyperlink"/>
                  <w:rFonts w:ascii="Arial" w:hAnsi="Arial" w:cs="Arial"/>
                  <w:bCs/>
                </w:rPr>
                <w:t>ERCOT Board meeting materials</w:t>
              </w:r>
            </w:hyperlink>
            <w:r w:rsidR="0042169B" w:rsidRPr="005E3961">
              <w:rPr>
                <w:rFonts w:ascii="Arial" w:hAnsi="Arial" w:cs="Arial"/>
                <w:bCs/>
              </w:rPr>
              <w:t>.</w:t>
            </w:r>
          </w:p>
          <w:p w14:paraId="4639C5BE" w14:textId="74675491" w:rsidR="00250349" w:rsidRPr="005E3961" w:rsidRDefault="00250349" w:rsidP="00703060">
            <w:pPr>
              <w:jc w:val="both"/>
              <w:rPr>
                <w:rFonts w:ascii="Arial" w:hAnsi="Arial" w:cs="Arial"/>
              </w:rPr>
            </w:pPr>
          </w:p>
          <w:p w14:paraId="3163E0DE" w14:textId="14A1A630" w:rsidR="0042169B" w:rsidRPr="005E3961" w:rsidRDefault="009C6BA6" w:rsidP="00703060">
            <w:pPr>
              <w:jc w:val="both"/>
              <w:rPr>
                <w:rFonts w:ascii="Arial" w:hAnsi="Arial" w:cs="Arial"/>
                <w:bCs/>
              </w:rPr>
            </w:pPr>
            <w:r w:rsidRPr="005E3961">
              <w:rPr>
                <w:rFonts w:ascii="Arial" w:hAnsi="Arial" w:cs="Arial"/>
                <w:bCs/>
              </w:rPr>
              <w:t>In addition, these Revision Requests</w:t>
            </w:r>
            <w:r w:rsidR="0042169B" w:rsidRPr="005E3961">
              <w:rPr>
                <w:rFonts w:ascii="Arial" w:hAnsi="Arial" w:cs="Arial"/>
                <w:bCs/>
              </w:rPr>
              <w:t xml:space="preserve"> </w:t>
            </w:r>
            <w:r w:rsidRPr="005E3961">
              <w:rPr>
                <w:rFonts w:ascii="Arial" w:hAnsi="Arial" w:cs="Arial"/>
                <w:bCs/>
              </w:rPr>
              <w:t>and supporting materials are posted on the ERCOT website</w:t>
            </w:r>
            <w:r w:rsidR="0042169B" w:rsidRPr="005E3961">
              <w:rPr>
                <w:rFonts w:ascii="Arial" w:hAnsi="Arial" w:cs="Arial"/>
                <w:bCs/>
              </w:rPr>
              <w:t>.</w:t>
            </w:r>
          </w:p>
          <w:p w14:paraId="3C8D9A5D" w14:textId="2EFF0FEA" w:rsidR="0042169B" w:rsidRPr="005E3961" w:rsidRDefault="0042169B" w:rsidP="005E3961">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7BD28DDB" w14:textId="67F336EC" w:rsidR="00CB6134" w:rsidRDefault="00DA79E3" w:rsidP="00874727">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874727">
              <w:rPr>
                <w:rFonts w:ascii="Arial" w:hAnsi="Arial" w:cs="Arial"/>
                <w:bCs/>
              </w:rPr>
              <w:t>NPRR</w:t>
            </w:r>
            <w:r w:rsidR="000B0783">
              <w:rPr>
                <w:rFonts w:ascii="Arial" w:hAnsi="Arial" w:cs="Arial"/>
                <w:bCs/>
              </w:rPr>
              <w:t xml:space="preserve">s </w:t>
            </w:r>
            <w:r w:rsidR="002F75F4">
              <w:rPr>
                <w:rFonts w:ascii="Arial" w:hAnsi="Arial" w:cs="Arial"/>
                <w:bCs/>
              </w:rPr>
              <w:t>1234, 1241, 1256, 1268, 1270, 1273</w:t>
            </w:r>
            <w:r w:rsidR="0042502E">
              <w:rPr>
                <w:rFonts w:ascii="Arial" w:hAnsi="Arial" w:cs="Arial"/>
                <w:bCs/>
              </w:rPr>
              <w:t>; and SCR82</w:t>
            </w:r>
            <w:r w:rsidR="002F75F4">
              <w:rPr>
                <w:rFonts w:ascii="Arial" w:hAnsi="Arial" w:cs="Arial"/>
                <w:bCs/>
              </w:rPr>
              <w:t>9</w:t>
            </w:r>
            <w:r w:rsidR="0042502E">
              <w:rPr>
                <w:rFonts w:ascii="Arial" w:hAnsi="Arial" w:cs="Arial"/>
                <w:bCs/>
              </w:rPr>
              <w:t>.</w:t>
            </w:r>
          </w:p>
          <w:p w14:paraId="6B8786C7" w14:textId="77777777" w:rsidR="00563CB2" w:rsidRDefault="00563CB2" w:rsidP="00874727">
            <w:pPr>
              <w:jc w:val="both"/>
              <w:rPr>
                <w:rFonts w:ascii="Arial" w:hAnsi="Arial" w:cs="Arial"/>
                <w:bCs/>
              </w:rPr>
            </w:pPr>
          </w:p>
          <w:p w14:paraId="48A3ABBB" w14:textId="13FE7203" w:rsidR="00563CB2" w:rsidRDefault="00563CB2" w:rsidP="00874727">
            <w:pPr>
              <w:jc w:val="both"/>
              <w:rPr>
                <w:rFonts w:ascii="Arial" w:hAnsi="Arial" w:cs="Arial"/>
                <w:bCs/>
              </w:rPr>
            </w:pPr>
            <w:r w:rsidRPr="00F47DEE">
              <w:rPr>
                <w:rFonts w:ascii="Arial" w:hAnsi="Arial" w:cs="Arial"/>
                <w:bCs/>
              </w:rPr>
              <w:t xml:space="preserve">The </w:t>
            </w:r>
            <w:r>
              <w:rPr>
                <w:rFonts w:ascii="Arial" w:hAnsi="Arial" w:cs="Arial"/>
                <w:bCs/>
              </w:rPr>
              <w:t xml:space="preserve">ROS met, </w:t>
            </w:r>
            <w:r w:rsidRPr="00F47DEE">
              <w:rPr>
                <w:rFonts w:ascii="Arial" w:hAnsi="Arial" w:cs="Arial"/>
                <w:bCs/>
              </w:rPr>
              <w:t>discussed the issues, and submitted report</w:t>
            </w:r>
            <w:r w:rsidR="005207B8">
              <w:rPr>
                <w:rFonts w:ascii="Arial" w:hAnsi="Arial" w:cs="Arial"/>
                <w:bCs/>
              </w:rPr>
              <w:t>s</w:t>
            </w:r>
            <w:r w:rsidRPr="00F47DEE">
              <w:rPr>
                <w:rFonts w:ascii="Arial" w:hAnsi="Arial" w:cs="Arial"/>
                <w:bCs/>
              </w:rPr>
              <w:t xml:space="preserve"> to TAC regarding </w:t>
            </w:r>
            <w:r>
              <w:rPr>
                <w:rFonts w:ascii="Arial" w:hAnsi="Arial" w:cs="Arial"/>
                <w:bCs/>
              </w:rPr>
              <w:t>NOGRR</w:t>
            </w:r>
            <w:r w:rsidR="002F75F4">
              <w:rPr>
                <w:rFonts w:ascii="Arial" w:hAnsi="Arial" w:cs="Arial"/>
                <w:bCs/>
              </w:rPr>
              <w:t xml:space="preserve">274; and PGRRs 115 and 119. </w:t>
            </w:r>
          </w:p>
          <w:p w14:paraId="57F811B2" w14:textId="77777777" w:rsidR="002F75F4" w:rsidRDefault="002F75F4" w:rsidP="00874727">
            <w:pPr>
              <w:jc w:val="both"/>
              <w:rPr>
                <w:rFonts w:ascii="Arial" w:hAnsi="Arial" w:cs="Arial"/>
                <w:bCs/>
              </w:rPr>
            </w:pPr>
          </w:p>
          <w:p w14:paraId="3F1346E7" w14:textId="77D2D810" w:rsidR="002F75F4" w:rsidRDefault="002F75F4" w:rsidP="002F75F4">
            <w:pPr>
              <w:jc w:val="both"/>
              <w:rPr>
                <w:rFonts w:ascii="Arial" w:hAnsi="Arial" w:cs="Arial"/>
                <w:bCs/>
              </w:rPr>
            </w:pPr>
            <w:r w:rsidRPr="00F47DEE">
              <w:rPr>
                <w:rFonts w:ascii="Arial" w:hAnsi="Arial" w:cs="Arial"/>
                <w:bCs/>
              </w:rPr>
              <w:t xml:space="preserve">The </w:t>
            </w:r>
            <w:r>
              <w:rPr>
                <w:rFonts w:ascii="Arial" w:hAnsi="Arial" w:cs="Arial"/>
                <w:bCs/>
              </w:rPr>
              <w:t xml:space="preserve">WMS met, </w:t>
            </w:r>
            <w:r w:rsidRPr="00F47DEE">
              <w:rPr>
                <w:rFonts w:ascii="Arial" w:hAnsi="Arial" w:cs="Arial"/>
                <w:bCs/>
              </w:rPr>
              <w:t>discussed the issues, and submitted report</w:t>
            </w:r>
            <w:r w:rsidR="00EF437D">
              <w:rPr>
                <w:rFonts w:ascii="Arial" w:hAnsi="Arial" w:cs="Arial"/>
                <w:bCs/>
              </w:rPr>
              <w:t>s</w:t>
            </w:r>
            <w:r w:rsidRPr="00F47DEE">
              <w:rPr>
                <w:rFonts w:ascii="Arial" w:hAnsi="Arial" w:cs="Arial"/>
                <w:bCs/>
              </w:rPr>
              <w:t xml:space="preserve"> to TAC regarding </w:t>
            </w:r>
            <w:r>
              <w:rPr>
                <w:rFonts w:ascii="Arial" w:hAnsi="Arial" w:cs="Arial"/>
                <w:bCs/>
              </w:rPr>
              <w:t>SMOGRR028</w:t>
            </w:r>
            <w:r w:rsidR="00EF437D">
              <w:rPr>
                <w:rFonts w:ascii="Arial" w:hAnsi="Arial" w:cs="Arial"/>
                <w:bCs/>
              </w:rPr>
              <w:t xml:space="preserve"> and VCMRR042</w:t>
            </w:r>
            <w:r>
              <w:rPr>
                <w:rFonts w:ascii="Arial" w:hAnsi="Arial" w:cs="Arial"/>
                <w:bCs/>
              </w:rPr>
              <w:t xml:space="preserve">. </w:t>
            </w:r>
          </w:p>
          <w:p w14:paraId="6CB7B3F0" w14:textId="5798FF25" w:rsidR="00874727" w:rsidRPr="00F47DEE" w:rsidRDefault="00874727" w:rsidP="002F75F4">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4CF950E0" w14:textId="0E9BB51B" w:rsidR="00424C42" w:rsidRDefault="009C6BA6" w:rsidP="00424C42">
            <w:pPr>
              <w:jc w:val="both"/>
              <w:rPr>
                <w:rFonts w:ascii="Arial" w:hAnsi="Arial" w:cs="Arial"/>
                <w:bCs/>
              </w:rPr>
            </w:pPr>
            <w:r w:rsidRPr="00F47DEE">
              <w:rPr>
                <w:rFonts w:ascii="Arial" w:hAnsi="Arial" w:cs="Arial"/>
                <w:bCs/>
              </w:rPr>
              <w:t xml:space="preserve">As more specifically described above, TAC recommends that the Board </w:t>
            </w:r>
            <w:r w:rsidR="00C43D1F">
              <w:rPr>
                <w:rFonts w:ascii="Arial" w:hAnsi="Arial" w:cs="Arial"/>
                <w:bCs/>
              </w:rPr>
              <w:t>recommend approval of</w:t>
            </w:r>
            <w:r w:rsidR="000B0783">
              <w:rPr>
                <w:rFonts w:ascii="Arial" w:hAnsi="Arial" w:cs="Arial"/>
                <w:bCs/>
              </w:rPr>
              <w:t xml:space="preserve"> </w:t>
            </w:r>
            <w:r w:rsidR="0042502E">
              <w:rPr>
                <w:rFonts w:ascii="Arial" w:hAnsi="Arial" w:cs="Arial"/>
                <w:bCs/>
              </w:rPr>
              <w:t xml:space="preserve">NPRRs </w:t>
            </w:r>
            <w:r w:rsidR="002F75F4">
              <w:rPr>
                <w:rFonts w:ascii="Arial" w:hAnsi="Arial" w:cs="Arial"/>
                <w:bCs/>
              </w:rPr>
              <w:t>1234, 1241, 1256, 1268, 1270, and 1273</w:t>
            </w:r>
            <w:r w:rsidR="0042502E">
              <w:rPr>
                <w:rFonts w:ascii="Arial" w:hAnsi="Arial" w:cs="Arial"/>
                <w:bCs/>
              </w:rPr>
              <w:t xml:space="preserve">; </w:t>
            </w:r>
            <w:r w:rsidR="002F75F4">
              <w:rPr>
                <w:rFonts w:ascii="Arial" w:hAnsi="Arial" w:cs="Arial"/>
                <w:bCs/>
              </w:rPr>
              <w:t>NOGRR274</w:t>
            </w:r>
            <w:r w:rsidR="0042502E">
              <w:rPr>
                <w:rFonts w:ascii="Arial" w:hAnsi="Arial" w:cs="Arial"/>
                <w:bCs/>
              </w:rPr>
              <w:t>; PGRRs 11</w:t>
            </w:r>
            <w:r w:rsidR="002F75F4">
              <w:rPr>
                <w:rFonts w:ascii="Arial" w:hAnsi="Arial" w:cs="Arial"/>
                <w:bCs/>
              </w:rPr>
              <w:t>5</w:t>
            </w:r>
            <w:r w:rsidR="0042502E">
              <w:rPr>
                <w:rFonts w:ascii="Arial" w:hAnsi="Arial" w:cs="Arial"/>
                <w:bCs/>
              </w:rPr>
              <w:t xml:space="preserve"> and 11</w:t>
            </w:r>
            <w:r w:rsidR="002F75F4">
              <w:rPr>
                <w:rFonts w:ascii="Arial" w:hAnsi="Arial" w:cs="Arial"/>
                <w:bCs/>
              </w:rPr>
              <w:t>9</w:t>
            </w:r>
            <w:r w:rsidR="0042502E">
              <w:rPr>
                <w:rFonts w:ascii="Arial" w:hAnsi="Arial" w:cs="Arial"/>
                <w:bCs/>
              </w:rPr>
              <w:t>; SCR82</w:t>
            </w:r>
            <w:r w:rsidR="002F75F4">
              <w:rPr>
                <w:rFonts w:ascii="Arial" w:hAnsi="Arial" w:cs="Arial"/>
                <w:bCs/>
              </w:rPr>
              <w:t>9</w:t>
            </w:r>
            <w:r w:rsidR="00EF437D">
              <w:rPr>
                <w:rFonts w:ascii="Arial" w:hAnsi="Arial" w:cs="Arial"/>
                <w:bCs/>
              </w:rPr>
              <w:t xml:space="preserve">; </w:t>
            </w:r>
            <w:r w:rsidR="002F75F4">
              <w:rPr>
                <w:rFonts w:ascii="Arial" w:hAnsi="Arial" w:cs="Arial"/>
                <w:bCs/>
              </w:rPr>
              <w:t>SMOGRR028</w:t>
            </w:r>
            <w:r w:rsidR="00EF437D">
              <w:rPr>
                <w:rFonts w:ascii="Arial" w:hAnsi="Arial" w:cs="Arial"/>
                <w:bCs/>
              </w:rPr>
              <w:t>; and VCMRR042</w:t>
            </w:r>
            <w:r w:rsidR="0042502E">
              <w:rPr>
                <w:rFonts w:ascii="Arial" w:hAnsi="Arial" w:cs="Arial"/>
                <w:bCs/>
              </w:rPr>
              <w:t>.</w:t>
            </w:r>
          </w:p>
          <w:p w14:paraId="5802F134" w14:textId="77777777" w:rsidR="001A2306" w:rsidRPr="00F47DEE" w:rsidRDefault="001A2306" w:rsidP="00FA19B6">
            <w:pPr>
              <w:jc w:val="both"/>
              <w:rPr>
                <w:rFonts w:ascii="Arial" w:hAnsi="Arial" w:cs="Arial"/>
              </w:rPr>
            </w:pPr>
          </w:p>
        </w:tc>
      </w:tr>
    </w:tbl>
    <w:p w14:paraId="5CC9227B" w14:textId="77777777" w:rsidR="00424C42" w:rsidRDefault="00424C42" w:rsidP="00D01ADD">
      <w:pPr>
        <w:jc w:val="center"/>
        <w:rPr>
          <w:rFonts w:ascii="Arial" w:hAnsi="Arial" w:cs="Arial"/>
          <w:b/>
          <w:u w:val="single"/>
        </w:rPr>
      </w:pPr>
    </w:p>
    <w:p w14:paraId="5250280A" w14:textId="77777777" w:rsidR="00424C42" w:rsidRDefault="00424C42" w:rsidP="00D01ADD">
      <w:pPr>
        <w:jc w:val="center"/>
        <w:rPr>
          <w:rFonts w:ascii="Arial" w:hAnsi="Arial" w:cs="Arial"/>
          <w:b/>
          <w:u w:val="single"/>
        </w:rPr>
      </w:pPr>
    </w:p>
    <w:p w14:paraId="35D1FE57" w14:textId="77777777" w:rsidR="00424C42" w:rsidRDefault="00424C42" w:rsidP="00D01ADD">
      <w:pPr>
        <w:jc w:val="center"/>
        <w:rPr>
          <w:rFonts w:ascii="Arial" w:hAnsi="Arial" w:cs="Arial"/>
          <w:b/>
          <w:u w:val="single"/>
        </w:rPr>
      </w:pPr>
    </w:p>
    <w:p w14:paraId="1405F579" w14:textId="77777777" w:rsidR="00424C42" w:rsidRDefault="00424C42" w:rsidP="00D01ADD">
      <w:pPr>
        <w:jc w:val="center"/>
        <w:rPr>
          <w:rFonts w:ascii="Arial" w:hAnsi="Arial" w:cs="Arial"/>
          <w:b/>
          <w:u w:val="single"/>
        </w:rPr>
      </w:pPr>
    </w:p>
    <w:p w14:paraId="7493D9F0" w14:textId="77777777" w:rsidR="00424C42" w:rsidRDefault="00424C42" w:rsidP="00D01ADD">
      <w:pPr>
        <w:jc w:val="center"/>
        <w:rPr>
          <w:rFonts w:ascii="Arial" w:hAnsi="Arial" w:cs="Arial"/>
          <w:b/>
          <w:u w:val="single"/>
        </w:rPr>
      </w:pPr>
    </w:p>
    <w:p w14:paraId="532C83E5" w14:textId="77777777" w:rsidR="00563CB2" w:rsidRDefault="00563CB2" w:rsidP="00D01ADD">
      <w:pPr>
        <w:jc w:val="center"/>
        <w:rPr>
          <w:rFonts w:ascii="Arial" w:hAnsi="Arial" w:cs="Arial"/>
          <w:b/>
          <w:u w:val="single"/>
        </w:rPr>
      </w:pPr>
    </w:p>
    <w:p w14:paraId="70CB28D7" w14:textId="55305067" w:rsidR="00307699" w:rsidRPr="00F47DEE" w:rsidRDefault="00307699" w:rsidP="00D01ADD">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13697042" w14:textId="29D40604" w:rsidR="00F4416F" w:rsidRPr="00A8165F" w:rsidRDefault="00307699" w:rsidP="00F4416F">
      <w:pPr>
        <w:pStyle w:val="Heading5"/>
        <w:keepNext w:val="0"/>
        <w:jc w:val="both"/>
        <w:rPr>
          <w:rFonts w:ascii="Arial" w:hAnsi="Arial" w:cs="Arial"/>
          <w:bCs/>
          <w:u w:val="none"/>
        </w:rPr>
      </w:pPr>
      <w:bookmarkStart w:id="2" w:name="_Hlk83888922"/>
      <w:bookmarkStart w:id="3" w:name="_Hlk193889377"/>
      <w:r w:rsidRPr="00F4416F">
        <w:rPr>
          <w:rFonts w:ascii="Arial" w:hAnsi="Arial" w:cs="Arial"/>
          <w:u w:val="none"/>
        </w:rPr>
        <w:t xml:space="preserve">WHEREAS, after due consideration of the alternatives, the Board of Directors (Board) of Electric Reliability Council of Texas, Inc. (ERCOT) deems it desirable and in the best interest of ERCOT to </w:t>
      </w:r>
      <w:r w:rsidR="00CD2CB1" w:rsidRPr="00F4416F">
        <w:rPr>
          <w:rFonts w:ascii="Arial" w:hAnsi="Arial" w:cs="Arial"/>
          <w:u w:val="none"/>
        </w:rPr>
        <w:t xml:space="preserve">recommend approval of </w:t>
      </w:r>
      <w:r w:rsidR="00167741" w:rsidRPr="00F4416F">
        <w:rPr>
          <w:rFonts w:ascii="Arial" w:hAnsi="Arial" w:cs="Arial"/>
          <w:u w:val="none"/>
        </w:rPr>
        <w:t xml:space="preserve">the </w:t>
      </w:r>
      <w:r w:rsidR="002E7BC5" w:rsidRPr="00F4416F">
        <w:rPr>
          <w:rFonts w:ascii="Arial" w:hAnsi="Arial" w:cs="Arial"/>
          <w:u w:val="none"/>
        </w:rPr>
        <w:t>following</w:t>
      </w:r>
      <w:r w:rsidR="002E7BC5" w:rsidRPr="00F47DEE">
        <w:rPr>
          <w:rFonts w:ascii="Arial" w:hAnsi="Arial" w:cs="Arial"/>
        </w:rPr>
        <w:t xml:space="preserve"> </w:t>
      </w:r>
      <w:bookmarkEnd w:id="2"/>
      <w:r w:rsidR="00F4416F">
        <w:rPr>
          <w:rFonts w:ascii="Arial" w:hAnsi="Arial" w:cs="Arial"/>
          <w:bCs/>
          <w:u w:val="none"/>
        </w:rPr>
        <w:t xml:space="preserve">Nodal Protocol Revision Request (NPRRs), Nodal Operating Guide Revision Request (NOGRR), Planning Guide Revision Requests (PGRRs), </w:t>
      </w:r>
      <w:r w:rsidR="00EF437D">
        <w:rPr>
          <w:rFonts w:ascii="Arial" w:hAnsi="Arial" w:cs="Arial"/>
          <w:bCs/>
          <w:u w:val="none"/>
        </w:rPr>
        <w:t xml:space="preserve">System Change Request (SCR), </w:t>
      </w:r>
      <w:r w:rsidR="00DE3988">
        <w:rPr>
          <w:rFonts w:ascii="Arial" w:hAnsi="Arial" w:cs="Arial"/>
          <w:bCs/>
          <w:u w:val="none"/>
        </w:rPr>
        <w:t xml:space="preserve">Settlement Metering Operating Guide Revision Request (SMOGRR), </w:t>
      </w:r>
      <w:r w:rsidR="00EF437D">
        <w:rPr>
          <w:rFonts w:ascii="Arial" w:hAnsi="Arial" w:cs="Arial"/>
          <w:bCs/>
          <w:u w:val="none"/>
        </w:rPr>
        <w:t xml:space="preserve">and Verifiable Cost Manual Revision Request (VCMRR) </w:t>
      </w:r>
      <w:r w:rsidR="00F4416F" w:rsidRPr="00F47DEE">
        <w:rPr>
          <w:rFonts w:ascii="Arial" w:hAnsi="Arial" w:cs="Arial"/>
          <w:bCs/>
          <w:u w:val="none"/>
        </w:rPr>
        <w:t>recommended for approval by TAC (with no opposing votes recorded):</w:t>
      </w:r>
    </w:p>
    <w:bookmarkEnd w:id="3"/>
    <w:p w14:paraId="44526D9D" w14:textId="77777777" w:rsidR="002F75F4" w:rsidRDefault="002F75F4" w:rsidP="002F75F4">
      <w:pPr>
        <w:pStyle w:val="ListParagraph"/>
        <w:numPr>
          <w:ilvl w:val="0"/>
          <w:numId w:val="6"/>
        </w:numPr>
        <w:rPr>
          <w:rFonts w:ascii="Arial" w:hAnsi="Arial" w:cs="Arial"/>
          <w:bCs/>
        </w:rPr>
      </w:pPr>
      <w:r w:rsidRPr="00F36E24">
        <w:rPr>
          <w:rFonts w:ascii="Arial" w:hAnsi="Arial" w:cs="Arial"/>
          <w:bCs/>
        </w:rPr>
        <w:t>NPRR1234, Interconnection Requirements for Large Loads and Modeling Standards for Loads 25 MW or Greater</w:t>
      </w:r>
      <w:r>
        <w:rPr>
          <w:rFonts w:ascii="Arial" w:hAnsi="Arial" w:cs="Arial"/>
          <w:bCs/>
        </w:rPr>
        <w:t>;</w:t>
      </w:r>
    </w:p>
    <w:p w14:paraId="2943E874" w14:textId="77777777" w:rsidR="002F75F4" w:rsidRDefault="002F75F4" w:rsidP="002F75F4">
      <w:pPr>
        <w:pStyle w:val="ListParagraph"/>
        <w:numPr>
          <w:ilvl w:val="0"/>
          <w:numId w:val="6"/>
        </w:numPr>
        <w:rPr>
          <w:rFonts w:ascii="Arial" w:hAnsi="Arial" w:cs="Arial"/>
          <w:bCs/>
        </w:rPr>
      </w:pPr>
      <w:r>
        <w:rPr>
          <w:rFonts w:ascii="Arial" w:hAnsi="Arial" w:cs="Arial"/>
          <w:bCs/>
        </w:rPr>
        <w:t xml:space="preserve">NPRR1241, </w:t>
      </w:r>
      <w:r w:rsidRPr="00F36E24">
        <w:rPr>
          <w:rFonts w:ascii="Arial" w:hAnsi="Arial" w:cs="Arial"/>
          <w:bCs/>
        </w:rPr>
        <w:t>Firm Fuel Supply Service (FFSS) Availability and Hourly Standby Fee</w:t>
      </w:r>
      <w:r>
        <w:rPr>
          <w:rFonts w:ascii="Arial" w:hAnsi="Arial" w:cs="Arial"/>
          <w:bCs/>
        </w:rPr>
        <w:t>;</w:t>
      </w:r>
    </w:p>
    <w:p w14:paraId="2D398627" w14:textId="77777777" w:rsidR="002F75F4" w:rsidRDefault="002F75F4" w:rsidP="002F75F4">
      <w:pPr>
        <w:pStyle w:val="ListParagraph"/>
        <w:numPr>
          <w:ilvl w:val="0"/>
          <w:numId w:val="6"/>
        </w:numPr>
        <w:rPr>
          <w:rFonts w:ascii="Arial" w:hAnsi="Arial" w:cs="Arial"/>
          <w:bCs/>
        </w:rPr>
      </w:pPr>
      <w:r w:rsidRPr="00F36E24">
        <w:rPr>
          <w:rFonts w:ascii="Arial" w:hAnsi="Arial" w:cs="Arial"/>
          <w:bCs/>
        </w:rPr>
        <w:t>NPRR1256, Settlement of MRA of ESRs</w:t>
      </w:r>
      <w:r>
        <w:rPr>
          <w:rFonts w:ascii="Arial" w:hAnsi="Arial" w:cs="Arial"/>
          <w:bCs/>
        </w:rPr>
        <w:t>;</w:t>
      </w:r>
    </w:p>
    <w:p w14:paraId="12DC621C" w14:textId="77777777" w:rsidR="002F75F4" w:rsidRDefault="002F75F4" w:rsidP="002F75F4">
      <w:pPr>
        <w:pStyle w:val="ListParagraph"/>
        <w:numPr>
          <w:ilvl w:val="0"/>
          <w:numId w:val="6"/>
        </w:numPr>
        <w:rPr>
          <w:rFonts w:ascii="Arial" w:hAnsi="Arial" w:cs="Arial"/>
          <w:bCs/>
        </w:rPr>
      </w:pPr>
      <w:r w:rsidRPr="00F36E24">
        <w:rPr>
          <w:rFonts w:ascii="Arial" w:hAnsi="Arial" w:cs="Arial"/>
          <w:bCs/>
        </w:rPr>
        <w:t>NPRR1268, RTC – Modification of Ancillary Service Demand Curves – URGENT</w:t>
      </w:r>
      <w:r>
        <w:rPr>
          <w:rFonts w:ascii="Arial" w:hAnsi="Arial" w:cs="Arial"/>
          <w:bCs/>
        </w:rPr>
        <w:t>;</w:t>
      </w:r>
    </w:p>
    <w:p w14:paraId="2BAC7AC7" w14:textId="77777777" w:rsidR="002F75F4" w:rsidRDefault="002F75F4" w:rsidP="002F75F4">
      <w:pPr>
        <w:pStyle w:val="ListParagraph"/>
        <w:numPr>
          <w:ilvl w:val="0"/>
          <w:numId w:val="6"/>
        </w:numPr>
        <w:rPr>
          <w:rFonts w:ascii="Arial" w:hAnsi="Arial" w:cs="Arial"/>
          <w:bCs/>
        </w:rPr>
      </w:pPr>
      <w:r w:rsidRPr="00F36E24">
        <w:rPr>
          <w:rFonts w:ascii="Arial" w:hAnsi="Arial" w:cs="Arial"/>
          <w:bCs/>
        </w:rPr>
        <w:t>NPRR1270, Additional Revisions Required for Implementation of RTC – URGENT</w:t>
      </w:r>
      <w:r>
        <w:rPr>
          <w:rFonts w:ascii="Arial" w:hAnsi="Arial" w:cs="Arial"/>
          <w:bCs/>
        </w:rPr>
        <w:t>;</w:t>
      </w:r>
    </w:p>
    <w:p w14:paraId="12EEFD63" w14:textId="77777777" w:rsidR="002F75F4" w:rsidRDefault="002F75F4" w:rsidP="002F75F4">
      <w:pPr>
        <w:pStyle w:val="ListParagraph"/>
        <w:numPr>
          <w:ilvl w:val="0"/>
          <w:numId w:val="6"/>
        </w:numPr>
        <w:rPr>
          <w:rFonts w:ascii="Arial" w:hAnsi="Arial" w:cs="Arial"/>
          <w:bCs/>
        </w:rPr>
      </w:pPr>
      <w:r w:rsidRPr="00F36E24">
        <w:rPr>
          <w:rFonts w:ascii="Arial" w:hAnsi="Arial" w:cs="Arial"/>
          <w:bCs/>
        </w:rPr>
        <w:t>NPRR1273, Appropriate Accounting for ESRs in PRC Calculation – URGENT</w:t>
      </w:r>
      <w:r>
        <w:rPr>
          <w:rFonts w:ascii="Arial" w:hAnsi="Arial" w:cs="Arial"/>
          <w:bCs/>
        </w:rPr>
        <w:t>;</w:t>
      </w:r>
    </w:p>
    <w:p w14:paraId="757B7150" w14:textId="77777777" w:rsidR="002F75F4" w:rsidRDefault="002F75F4" w:rsidP="002F75F4">
      <w:pPr>
        <w:pStyle w:val="ListParagraph"/>
        <w:numPr>
          <w:ilvl w:val="0"/>
          <w:numId w:val="6"/>
        </w:numPr>
        <w:rPr>
          <w:rFonts w:ascii="Arial" w:hAnsi="Arial" w:cs="Arial"/>
          <w:bCs/>
        </w:rPr>
      </w:pPr>
      <w:r w:rsidRPr="00F36E24">
        <w:rPr>
          <w:rFonts w:ascii="Arial" w:hAnsi="Arial" w:cs="Arial"/>
          <w:bCs/>
        </w:rPr>
        <w:t>NOGRR274, Conform Nodal Operating Guide to Revisions Implemented for NPRR1217, Remove Verbal Dispatch Instruction (VDI) Requirement for Deployment and Recall of Load Resources and Emergency Response Service (ERS) Resources – URGENT</w:t>
      </w:r>
      <w:r>
        <w:rPr>
          <w:rFonts w:ascii="Arial" w:hAnsi="Arial" w:cs="Arial"/>
          <w:bCs/>
        </w:rPr>
        <w:t>;</w:t>
      </w:r>
    </w:p>
    <w:p w14:paraId="1BB70CAA" w14:textId="77777777" w:rsidR="002F75F4" w:rsidRDefault="002F75F4" w:rsidP="002F75F4">
      <w:pPr>
        <w:pStyle w:val="ListParagraph"/>
        <w:numPr>
          <w:ilvl w:val="0"/>
          <w:numId w:val="6"/>
        </w:numPr>
        <w:rPr>
          <w:rFonts w:ascii="Arial" w:hAnsi="Arial" w:cs="Arial"/>
          <w:bCs/>
        </w:rPr>
      </w:pPr>
      <w:r w:rsidRPr="00F36E24">
        <w:rPr>
          <w:rFonts w:ascii="Arial" w:hAnsi="Arial" w:cs="Arial"/>
          <w:bCs/>
        </w:rPr>
        <w:t>PGRR115, Related to NPRR1234, Interconnection Requirements for Large Loads and Modeling Standards for Loads 25 MW or Greater</w:t>
      </w:r>
      <w:r>
        <w:rPr>
          <w:rFonts w:ascii="Arial" w:hAnsi="Arial" w:cs="Arial"/>
          <w:bCs/>
        </w:rPr>
        <w:t>;</w:t>
      </w:r>
    </w:p>
    <w:p w14:paraId="586DA04F" w14:textId="77777777" w:rsidR="002F75F4" w:rsidRDefault="002F75F4" w:rsidP="002F75F4">
      <w:pPr>
        <w:pStyle w:val="ListParagraph"/>
        <w:numPr>
          <w:ilvl w:val="0"/>
          <w:numId w:val="6"/>
        </w:numPr>
        <w:rPr>
          <w:rFonts w:ascii="Arial" w:hAnsi="Arial" w:cs="Arial"/>
          <w:bCs/>
        </w:rPr>
      </w:pPr>
      <w:r w:rsidRPr="00F36E24">
        <w:rPr>
          <w:rFonts w:ascii="Arial" w:hAnsi="Arial" w:cs="Arial"/>
          <w:bCs/>
        </w:rPr>
        <w:t>PGRR119, Stability Constraint Modeling Assumptions in the Regional Transmission Plan</w:t>
      </w:r>
      <w:r>
        <w:rPr>
          <w:rFonts w:ascii="Arial" w:hAnsi="Arial" w:cs="Arial"/>
          <w:bCs/>
        </w:rPr>
        <w:t>;</w:t>
      </w:r>
    </w:p>
    <w:p w14:paraId="00ABECA4" w14:textId="2326CBEB" w:rsidR="002F75F4" w:rsidRDefault="002F75F4" w:rsidP="002F75F4">
      <w:pPr>
        <w:pStyle w:val="ListParagraph"/>
        <w:numPr>
          <w:ilvl w:val="0"/>
          <w:numId w:val="6"/>
        </w:numPr>
        <w:rPr>
          <w:rFonts w:ascii="Arial" w:hAnsi="Arial" w:cs="Arial"/>
          <w:bCs/>
        </w:rPr>
      </w:pPr>
      <w:r w:rsidRPr="00F36E24">
        <w:rPr>
          <w:rFonts w:ascii="Arial" w:hAnsi="Arial" w:cs="Arial"/>
          <w:bCs/>
        </w:rPr>
        <w:t>SCR829, API for the NDCRC Application</w:t>
      </w:r>
      <w:r>
        <w:rPr>
          <w:rFonts w:ascii="Arial" w:hAnsi="Arial" w:cs="Arial"/>
          <w:bCs/>
        </w:rPr>
        <w:t xml:space="preserve">; </w:t>
      </w:r>
    </w:p>
    <w:p w14:paraId="5EA1FF4E" w14:textId="03A6D8BB" w:rsidR="002F75F4" w:rsidRDefault="002F75F4" w:rsidP="002F75F4">
      <w:pPr>
        <w:pStyle w:val="ListParagraph"/>
        <w:numPr>
          <w:ilvl w:val="0"/>
          <w:numId w:val="6"/>
        </w:numPr>
        <w:rPr>
          <w:rFonts w:ascii="Arial" w:hAnsi="Arial" w:cs="Arial"/>
          <w:bCs/>
        </w:rPr>
      </w:pPr>
      <w:r w:rsidRPr="00F36E24">
        <w:rPr>
          <w:rFonts w:ascii="Arial" w:hAnsi="Arial" w:cs="Arial"/>
          <w:bCs/>
        </w:rPr>
        <w:t>SMOGRR028, Add Series Reactor Compensation Factors</w:t>
      </w:r>
      <w:r>
        <w:rPr>
          <w:rFonts w:ascii="Arial" w:hAnsi="Arial" w:cs="Arial"/>
          <w:bCs/>
        </w:rPr>
        <w:t>;</w:t>
      </w:r>
      <w:r w:rsidR="00EF437D">
        <w:rPr>
          <w:rFonts w:ascii="Arial" w:hAnsi="Arial" w:cs="Arial"/>
          <w:bCs/>
        </w:rPr>
        <w:t xml:space="preserve"> and</w:t>
      </w:r>
    </w:p>
    <w:p w14:paraId="23063DC3" w14:textId="51795FFF" w:rsidR="00EF437D" w:rsidRPr="00EF437D" w:rsidRDefault="00EF437D" w:rsidP="00EF437D">
      <w:pPr>
        <w:pStyle w:val="ListParagraph"/>
        <w:numPr>
          <w:ilvl w:val="0"/>
          <w:numId w:val="6"/>
        </w:numPr>
        <w:rPr>
          <w:rFonts w:ascii="Arial" w:hAnsi="Arial" w:cs="Arial"/>
          <w:bCs/>
        </w:rPr>
      </w:pPr>
      <w:r w:rsidRPr="00EF437D">
        <w:rPr>
          <w:rFonts w:ascii="Arial" w:hAnsi="Arial" w:cs="Arial"/>
          <w:bCs/>
        </w:rPr>
        <w:t>VCMRR042, SO2 and NOx Emission Index Prices Used in Verifiable Cost Calculations</w:t>
      </w:r>
    </w:p>
    <w:p w14:paraId="45FA033A" w14:textId="045FA0BE" w:rsidR="000F4FDC" w:rsidRPr="00A36B23" w:rsidRDefault="000F4FDC" w:rsidP="00F4416F">
      <w:pPr>
        <w:jc w:val="both"/>
        <w:rPr>
          <w:rFonts w:ascii="Arial" w:hAnsi="Arial" w:cs="Arial"/>
          <w:bCs/>
        </w:rPr>
      </w:pPr>
    </w:p>
    <w:p w14:paraId="61D78146" w14:textId="498A271B" w:rsidR="00ED5B34" w:rsidRPr="00840B53" w:rsidRDefault="00307699" w:rsidP="00840B53">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2F75F4">
        <w:rPr>
          <w:rFonts w:ascii="Arial" w:hAnsi="Arial" w:cs="Arial"/>
          <w:bCs/>
        </w:rPr>
        <w:t>NPRRs 1234, 1241, 1256, 1268, 1270, and 1273; NOGRR274; PGRRs 115 and 119; SCR829; SMOGRR028</w:t>
      </w:r>
      <w:r w:rsidR="00EF437D">
        <w:rPr>
          <w:rFonts w:ascii="Arial" w:hAnsi="Arial" w:cs="Arial"/>
          <w:bCs/>
        </w:rPr>
        <w:t>; and VCMRR042</w:t>
      </w:r>
      <w:r w:rsidR="0042502E">
        <w:rPr>
          <w:rFonts w:ascii="Arial" w:hAnsi="Arial" w:cs="Arial"/>
          <w:bCs/>
        </w:rPr>
        <w:t>.</w:t>
      </w:r>
    </w:p>
    <w:p w14:paraId="75DA359F" w14:textId="77777777" w:rsidR="008A7900" w:rsidRDefault="008A7900" w:rsidP="00A62562">
      <w:pPr>
        <w:jc w:val="center"/>
        <w:rPr>
          <w:rFonts w:ascii="Arial" w:hAnsi="Arial" w:cs="Arial"/>
          <w:b/>
          <w:u w:val="single"/>
        </w:rPr>
      </w:pPr>
    </w:p>
    <w:p w14:paraId="686DB49C" w14:textId="77777777" w:rsidR="00307699" w:rsidRDefault="00307699" w:rsidP="00E74E4C">
      <w:pPr>
        <w:rPr>
          <w:rFonts w:ascii="Arial" w:hAnsi="Arial" w:cs="Arial"/>
          <w:b/>
          <w:u w:val="single"/>
        </w:rPr>
      </w:pPr>
    </w:p>
    <w:p w14:paraId="607E9B00" w14:textId="77777777" w:rsidR="005207B8" w:rsidRDefault="005207B8" w:rsidP="00E74E4C">
      <w:pPr>
        <w:rPr>
          <w:rFonts w:ascii="Arial" w:hAnsi="Arial" w:cs="Arial"/>
          <w:b/>
          <w:u w:val="single"/>
        </w:rPr>
      </w:pPr>
    </w:p>
    <w:p w14:paraId="37A8347E" w14:textId="77777777" w:rsidR="005207B8" w:rsidRPr="00F47DEE" w:rsidRDefault="005207B8" w:rsidP="00E74E4C">
      <w:pPr>
        <w:rPr>
          <w:rFonts w:ascii="Arial" w:hAnsi="Arial" w:cs="Arial"/>
        </w:rPr>
      </w:pPr>
    </w:p>
    <w:p w14:paraId="419C6F21" w14:textId="77777777" w:rsidR="005207B8" w:rsidRPr="00F47DEE" w:rsidRDefault="005207B8" w:rsidP="005207B8">
      <w:pPr>
        <w:jc w:val="center"/>
        <w:rPr>
          <w:rFonts w:ascii="Arial" w:hAnsi="Arial" w:cs="Arial"/>
        </w:rPr>
      </w:pPr>
      <w:r w:rsidRPr="00F47DEE">
        <w:rPr>
          <w:rFonts w:ascii="Arial" w:hAnsi="Arial" w:cs="Arial"/>
          <w:b/>
          <w:u w:val="single"/>
        </w:rPr>
        <w:t>CORPORATE SECRETARY’S CERTIFICATE</w:t>
      </w:r>
    </w:p>
    <w:p w14:paraId="296025CC" w14:textId="77777777" w:rsidR="005207B8" w:rsidRPr="00F47DEE" w:rsidRDefault="005207B8" w:rsidP="005207B8">
      <w:pPr>
        <w:rPr>
          <w:rFonts w:ascii="Arial" w:hAnsi="Arial" w:cs="Arial"/>
        </w:rPr>
      </w:pPr>
    </w:p>
    <w:p w14:paraId="6896D0A8" w14:textId="15D7F8A3" w:rsidR="005207B8" w:rsidRPr="00F47DEE" w:rsidRDefault="005207B8" w:rsidP="005207B8">
      <w:pPr>
        <w:jc w:val="both"/>
        <w:rPr>
          <w:rFonts w:ascii="Arial" w:hAnsi="Arial" w:cs="Arial"/>
        </w:rPr>
      </w:pPr>
      <w:bookmarkStart w:id="4" w:name="_Hlk83889011"/>
      <w:r w:rsidRPr="00F47DEE">
        <w:rPr>
          <w:rFonts w:ascii="Arial" w:hAnsi="Arial" w:cs="Arial"/>
        </w:rPr>
        <w:lastRenderedPageBreak/>
        <w:t xml:space="preserve">I, </w:t>
      </w:r>
      <w:r w:rsidR="00BC18A4">
        <w:rPr>
          <w:rFonts w:ascii="Arial" w:hAnsi="Arial" w:cs="Arial"/>
        </w:rPr>
        <w:t>Brandon Gleason</w:t>
      </w:r>
      <w:r w:rsidRPr="00F47DEE">
        <w:rPr>
          <w:rFonts w:ascii="Arial" w:hAnsi="Arial" w:cs="Arial"/>
        </w:rPr>
        <w:t xml:space="preserve">, </w:t>
      </w:r>
      <w:r w:rsidR="00BC18A4">
        <w:rPr>
          <w:rFonts w:ascii="Arial" w:hAnsi="Arial" w:cs="Arial"/>
        </w:rPr>
        <w:t xml:space="preserve">Assistant </w:t>
      </w:r>
      <w:r w:rsidRPr="00F47DEE">
        <w:rPr>
          <w:rFonts w:ascii="Arial" w:hAnsi="Arial" w:cs="Arial"/>
        </w:rPr>
        <w:t xml:space="preserve">Corporate Secretary of ERCOT, do hereby certify that, at its </w:t>
      </w:r>
      <w:r w:rsidR="002F75F4">
        <w:rPr>
          <w:rFonts w:ascii="Arial" w:hAnsi="Arial" w:cs="Arial"/>
        </w:rPr>
        <w:t xml:space="preserve">April </w:t>
      </w:r>
      <w:r w:rsidR="00BC18A4">
        <w:rPr>
          <w:rFonts w:ascii="Arial" w:hAnsi="Arial" w:cs="Arial"/>
        </w:rPr>
        <w:t>7-</w:t>
      </w:r>
      <w:r w:rsidR="002F75F4">
        <w:rPr>
          <w:rFonts w:ascii="Arial" w:hAnsi="Arial" w:cs="Arial"/>
        </w:rPr>
        <w:t xml:space="preserve">8, </w:t>
      </w:r>
      <w:proofErr w:type="gramStart"/>
      <w:r w:rsidR="002F75F4">
        <w:rPr>
          <w:rFonts w:ascii="Arial" w:hAnsi="Arial" w:cs="Arial"/>
        </w:rPr>
        <w:t>2025</w:t>
      </w:r>
      <w:proofErr w:type="gramEnd"/>
      <w:r w:rsidRPr="00F47DEE">
        <w:rPr>
          <w:rFonts w:ascii="Arial" w:hAnsi="Arial" w:cs="Arial"/>
        </w:rPr>
        <w:t xml:space="preserve"> meeting, the Board passed a motion approving the above Resolution by ______.</w:t>
      </w:r>
    </w:p>
    <w:p w14:paraId="7CCFBD28" w14:textId="77777777" w:rsidR="005207B8" w:rsidRPr="00F47DEE" w:rsidRDefault="005207B8" w:rsidP="005207B8">
      <w:pPr>
        <w:jc w:val="both"/>
        <w:rPr>
          <w:rFonts w:ascii="Arial" w:hAnsi="Arial" w:cs="Arial"/>
        </w:rPr>
      </w:pPr>
    </w:p>
    <w:p w14:paraId="48989899" w14:textId="48316796" w:rsidR="005207B8" w:rsidRPr="00F47DEE" w:rsidRDefault="005207B8" w:rsidP="005207B8">
      <w:pPr>
        <w:jc w:val="both"/>
        <w:rPr>
          <w:rFonts w:ascii="Arial" w:hAnsi="Arial" w:cs="Arial"/>
        </w:rPr>
      </w:pPr>
      <w:r w:rsidRPr="00F47DEE">
        <w:rPr>
          <w:rFonts w:ascii="Arial" w:hAnsi="Arial" w:cs="Arial"/>
        </w:rPr>
        <w:t>IN WITNESS WHEREOF, I have hereunto set my hand this ___ day of</w:t>
      </w:r>
      <w:r>
        <w:rPr>
          <w:rFonts w:ascii="Arial" w:hAnsi="Arial" w:cs="Arial"/>
        </w:rPr>
        <w:t xml:space="preserve"> </w:t>
      </w:r>
      <w:r w:rsidR="002F75F4">
        <w:rPr>
          <w:rFonts w:ascii="Arial" w:hAnsi="Arial" w:cs="Arial"/>
        </w:rPr>
        <w:t xml:space="preserve">April </w:t>
      </w:r>
      <w:r w:rsidR="0042502E">
        <w:rPr>
          <w:rFonts w:ascii="Arial" w:hAnsi="Arial" w:cs="Arial"/>
        </w:rPr>
        <w:t>2025</w:t>
      </w:r>
      <w:r w:rsidRPr="00F47DEE">
        <w:rPr>
          <w:rFonts w:ascii="Arial" w:hAnsi="Arial" w:cs="Arial"/>
        </w:rPr>
        <w:t>.</w:t>
      </w:r>
    </w:p>
    <w:p w14:paraId="2123032B" w14:textId="77777777" w:rsidR="005207B8" w:rsidRPr="00F47DEE" w:rsidRDefault="005207B8" w:rsidP="005207B8">
      <w:pPr>
        <w:jc w:val="both"/>
        <w:rPr>
          <w:rFonts w:ascii="Arial" w:hAnsi="Arial" w:cs="Arial"/>
        </w:rPr>
      </w:pPr>
    </w:p>
    <w:p w14:paraId="573D5D70" w14:textId="77777777" w:rsidR="005207B8" w:rsidRPr="00F47DEE" w:rsidRDefault="005207B8" w:rsidP="005207B8">
      <w:pPr>
        <w:jc w:val="both"/>
        <w:rPr>
          <w:rFonts w:ascii="Arial" w:hAnsi="Arial" w:cs="Arial"/>
        </w:rPr>
      </w:pPr>
    </w:p>
    <w:p w14:paraId="68368334" w14:textId="77777777" w:rsidR="005207B8" w:rsidRPr="00F47DEE" w:rsidRDefault="005207B8" w:rsidP="005207B8">
      <w:pPr>
        <w:jc w:val="both"/>
        <w:rPr>
          <w:rFonts w:ascii="Arial" w:hAnsi="Arial" w:cs="Arial"/>
        </w:rPr>
      </w:pPr>
      <w:r w:rsidRPr="00F47DEE">
        <w:rPr>
          <w:rFonts w:ascii="Arial" w:hAnsi="Arial" w:cs="Arial"/>
        </w:rPr>
        <w:t>______________________________</w:t>
      </w:r>
    </w:p>
    <w:p w14:paraId="0E5442DA" w14:textId="04628721" w:rsidR="005207B8" w:rsidRPr="00F47DEE" w:rsidRDefault="00BC18A4" w:rsidP="005207B8">
      <w:pPr>
        <w:jc w:val="both"/>
        <w:rPr>
          <w:rFonts w:ascii="Arial" w:hAnsi="Arial" w:cs="Arial"/>
        </w:rPr>
      </w:pPr>
      <w:r>
        <w:rPr>
          <w:rFonts w:ascii="Arial" w:hAnsi="Arial" w:cs="Arial"/>
        </w:rPr>
        <w:t>Brandon Gleason</w:t>
      </w:r>
    </w:p>
    <w:p w14:paraId="51955A52" w14:textId="09FAE6F0" w:rsidR="005207B8" w:rsidRPr="00F47DEE" w:rsidRDefault="00BC18A4" w:rsidP="005207B8">
      <w:pPr>
        <w:rPr>
          <w:rFonts w:ascii="Arial" w:hAnsi="Arial" w:cs="Arial"/>
          <w:u w:val="single"/>
        </w:rPr>
      </w:pPr>
      <w:r>
        <w:rPr>
          <w:rFonts w:ascii="Arial" w:hAnsi="Arial" w:cs="Arial"/>
        </w:rPr>
        <w:t xml:space="preserve">Assistant </w:t>
      </w:r>
      <w:r w:rsidR="005207B8" w:rsidRPr="00F47DEE">
        <w:rPr>
          <w:rFonts w:ascii="Arial" w:hAnsi="Arial" w:cs="Arial"/>
        </w:rPr>
        <w:t>Corporate Secretary</w:t>
      </w:r>
      <w:bookmarkEnd w:id="4"/>
    </w:p>
    <w:p w14:paraId="118A83C7" w14:textId="4E6CDE64" w:rsidR="00A00C66" w:rsidRPr="00F47DEE" w:rsidRDefault="00A00C66" w:rsidP="005207B8">
      <w:pPr>
        <w:jc w:val="both"/>
        <w:rPr>
          <w:rFonts w:ascii="Arial" w:hAnsi="Arial" w:cs="Arial"/>
          <w:u w:val="single"/>
        </w:rPr>
      </w:pPr>
    </w:p>
    <w:sectPr w:rsidR="00A00C66" w:rsidRPr="00F47DEE" w:rsidSect="00A02B92">
      <w:headerReference w:type="default" r:id="rId61"/>
      <w:footerReference w:type="default" r:id="rId62"/>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E7528" w14:textId="77777777" w:rsidR="00DE31FF" w:rsidRDefault="00DE31FF">
      <w:r>
        <w:separator/>
      </w:r>
    </w:p>
  </w:endnote>
  <w:endnote w:type="continuationSeparator" w:id="0">
    <w:p w14:paraId="36351148" w14:textId="77777777" w:rsidR="00DE31FF" w:rsidRDefault="00DE3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42125" w14:textId="3D906D67"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6171A1">
      <w:rPr>
        <w:rFonts w:ascii="Arial" w:hAnsi="Arial" w:cs="Arial"/>
        <w:sz w:val="20"/>
        <w:szCs w:val="20"/>
      </w:rPr>
      <w:t>6</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1DF72" w14:textId="77777777" w:rsidR="00DE31FF" w:rsidRDefault="00DE31FF">
      <w:r>
        <w:separator/>
      </w:r>
    </w:p>
  </w:footnote>
  <w:footnote w:type="continuationSeparator" w:id="0">
    <w:p w14:paraId="61649546" w14:textId="77777777" w:rsidR="00DE31FF" w:rsidRDefault="00DE3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40272"/>
    <w:multiLevelType w:val="hybridMultilevel"/>
    <w:tmpl w:val="DAC42E2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D97C86"/>
    <w:multiLevelType w:val="hybridMultilevel"/>
    <w:tmpl w:val="05CCAB42"/>
    <w:lvl w:ilvl="0" w:tplc="7FF0C106">
      <w:start w:val="1"/>
      <w:numFmt w:val="bullet"/>
      <w:lvlText w:val=""/>
      <w:lvlJc w:val="left"/>
      <w:pPr>
        <w:tabs>
          <w:tab w:val="num" w:pos="720"/>
        </w:tabs>
        <w:ind w:left="720" w:hanging="360"/>
      </w:pPr>
      <w:rPr>
        <w:rFonts w:ascii="Symbol" w:hAnsi="Symbol" w:hint="default"/>
      </w:rPr>
    </w:lvl>
    <w:lvl w:ilvl="1" w:tplc="AD701248" w:tentative="1">
      <w:start w:val="1"/>
      <w:numFmt w:val="bullet"/>
      <w:lvlText w:val=""/>
      <w:lvlJc w:val="left"/>
      <w:pPr>
        <w:tabs>
          <w:tab w:val="num" w:pos="1440"/>
        </w:tabs>
        <w:ind w:left="1440" w:hanging="360"/>
      </w:pPr>
      <w:rPr>
        <w:rFonts w:ascii="Symbol" w:hAnsi="Symbol" w:hint="default"/>
      </w:rPr>
    </w:lvl>
    <w:lvl w:ilvl="2" w:tplc="997E15D6" w:tentative="1">
      <w:start w:val="1"/>
      <w:numFmt w:val="bullet"/>
      <w:lvlText w:val=""/>
      <w:lvlJc w:val="left"/>
      <w:pPr>
        <w:tabs>
          <w:tab w:val="num" w:pos="2160"/>
        </w:tabs>
        <w:ind w:left="2160" w:hanging="360"/>
      </w:pPr>
      <w:rPr>
        <w:rFonts w:ascii="Symbol" w:hAnsi="Symbol" w:hint="default"/>
      </w:rPr>
    </w:lvl>
    <w:lvl w:ilvl="3" w:tplc="00B0CC12" w:tentative="1">
      <w:start w:val="1"/>
      <w:numFmt w:val="bullet"/>
      <w:lvlText w:val=""/>
      <w:lvlJc w:val="left"/>
      <w:pPr>
        <w:tabs>
          <w:tab w:val="num" w:pos="2880"/>
        </w:tabs>
        <w:ind w:left="2880" w:hanging="360"/>
      </w:pPr>
      <w:rPr>
        <w:rFonts w:ascii="Symbol" w:hAnsi="Symbol" w:hint="default"/>
      </w:rPr>
    </w:lvl>
    <w:lvl w:ilvl="4" w:tplc="5D9A4CD0" w:tentative="1">
      <w:start w:val="1"/>
      <w:numFmt w:val="bullet"/>
      <w:lvlText w:val=""/>
      <w:lvlJc w:val="left"/>
      <w:pPr>
        <w:tabs>
          <w:tab w:val="num" w:pos="3600"/>
        </w:tabs>
        <w:ind w:left="3600" w:hanging="360"/>
      </w:pPr>
      <w:rPr>
        <w:rFonts w:ascii="Symbol" w:hAnsi="Symbol" w:hint="default"/>
      </w:rPr>
    </w:lvl>
    <w:lvl w:ilvl="5" w:tplc="3434F84A" w:tentative="1">
      <w:start w:val="1"/>
      <w:numFmt w:val="bullet"/>
      <w:lvlText w:val=""/>
      <w:lvlJc w:val="left"/>
      <w:pPr>
        <w:tabs>
          <w:tab w:val="num" w:pos="4320"/>
        </w:tabs>
        <w:ind w:left="4320" w:hanging="360"/>
      </w:pPr>
      <w:rPr>
        <w:rFonts w:ascii="Symbol" w:hAnsi="Symbol" w:hint="default"/>
      </w:rPr>
    </w:lvl>
    <w:lvl w:ilvl="6" w:tplc="B21C7592" w:tentative="1">
      <w:start w:val="1"/>
      <w:numFmt w:val="bullet"/>
      <w:lvlText w:val=""/>
      <w:lvlJc w:val="left"/>
      <w:pPr>
        <w:tabs>
          <w:tab w:val="num" w:pos="5040"/>
        </w:tabs>
        <w:ind w:left="5040" w:hanging="360"/>
      </w:pPr>
      <w:rPr>
        <w:rFonts w:ascii="Symbol" w:hAnsi="Symbol" w:hint="default"/>
      </w:rPr>
    </w:lvl>
    <w:lvl w:ilvl="7" w:tplc="ECCCFBB8" w:tentative="1">
      <w:start w:val="1"/>
      <w:numFmt w:val="bullet"/>
      <w:lvlText w:val=""/>
      <w:lvlJc w:val="left"/>
      <w:pPr>
        <w:tabs>
          <w:tab w:val="num" w:pos="5760"/>
        </w:tabs>
        <w:ind w:left="5760" w:hanging="360"/>
      </w:pPr>
      <w:rPr>
        <w:rFonts w:ascii="Symbol" w:hAnsi="Symbol" w:hint="default"/>
      </w:rPr>
    </w:lvl>
    <w:lvl w:ilvl="8" w:tplc="8ACAD7B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C847451"/>
    <w:multiLevelType w:val="hybridMultilevel"/>
    <w:tmpl w:val="10F85FF0"/>
    <w:lvl w:ilvl="0" w:tplc="FB6AD6B6">
      <w:start w:val="1"/>
      <w:numFmt w:val="bullet"/>
      <w:lvlText w:val=""/>
      <w:lvlJc w:val="left"/>
      <w:pPr>
        <w:tabs>
          <w:tab w:val="num" w:pos="720"/>
        </w:tabs>
        <w:ind w:left="720" w:hanging="360"/>
      </w:pPr>
      <w:rPr>
        <w:rFonts w:ascii="Symbol" w:hAnsi="Symbol" w:hint="default"/>
      </w:rPr>
    </w:lvl>
    <w:lvl w:ilvl="1" w:tplc="A19A38AE" w:tentative="1">
      <w:start w:val="1"/>
      <w:numFmt w:val="bullet"/>
      <w:lvlText w:val=""/>
      <w:lvlJc w:val="left"/>
      <w:pPr>
        <w:tabs>
          <w:tab w:val="num" w:pos="1440"/>
        </w:tabs>
        <w:ind w:left="1440" w:hanging="360"/>
      </w:pPr>
      <w:rPr>
        <w:rFonts w:ascii="Symbol" w:hAnsi="Symbol" w:hint="default"/>
      </w:rPr>
    </w:lvl>
    <w:lvl w:ilvl="2" w:tplc="D7D8FEE8" w:tentative="1">
      <w:start w:val="1"/>
      <w:numFmt w:val="bullet"/>
      <w:lvlText w:val=""/>
      <w:lvlJc w:val="left"/>
      <w:pPr>
        <w:tabs>
          <w:tab w:val="num" w:pos="2160"/>
        </w:tabs>
        <w:ind w:left="2160" w:hanging="360"/>
      </w:pPr>
      <w:rPr>
        <w:rFonts w:ascii="Symbol" w:hAnsi="Symbol" w:hint="default"/>
      </w:rPr>
    </w:lvl>
    <w:lvl w:ilvl="3" w:tplc="A0B832DE" w:tentative="1">
      <w:start w:val="1"/>
      <w:numFmt w:val="bullet"/>
      <w:lvlText w:val=""/>
      <w:lvlJc w:val="left"/>
      <w:pPr>
        <w:tabs>
          <w:tab w:val="num" w:pos="2880"/>
        </w:tabs>
        <w:ind w:left="2880" w:hanging="360"/>
      </w:pPr>
      <w:rPr>
        <w:rFonts w:ascii="Symbol" w:hAnsi="Symbol" w:hint="default"/>
      </w:rPr>
    </w:lvl>
    <w:lvl w:ilvl="4" w:tplc="B43E2968" w:tentative="1">
      <w:start w:val="1"/>
      <w:numFmt w:val="bullet"/>
      <w:lvlText w:val=""/>
      <w:lvlJc w:val="left"/>
      <w:pPr>
        <w:tabs>
          <w:tab w:val="num" w:pos="3600"/>
        </w:tabs>
        <w:ind w:left="3600" w:hanging="360"/>
      </w:pPr>
      <w:rPr>
        <w:rFonts w:ascii="Symbol" w:hAnsi="Symbol" w:hint="default"/>
      </w:rPr>
    </w:lvl>
    <w:lvl w:ilvl="5" w:tplc="00CE5A26" w:tentative="1">
      <w:start w:val="1"/>
      <w:numFmt w:val="bullet"/>
      <w:lvlText w:val=""/>
      <w:lvlJc w:val="left"/>
      <w:pPr>
        <w:tabs>
          <w:tab w:val="num" w:pos="4320"/>
        </w:tabs>
        <w:ind w:left="4320" w:hanging="360"/>
      </w:pPr>
      <w:rPr>
        <w:rFonts w:ascii="Symbol" w:hAnsi="Symbol" w:hint="default"/>
      </w:rPr>
    </w:lvl>
    <w:lvl w:ilvl="6" w:tplc="C02AC0AC" w:tentative="1">
      <w:start w:val="1"/>
      <w:numFmt w:val="bullet"/>
      <w:lvlText w:val=""/>
      <w:lvlJc w:val="left"/>
      <w:pPr>
        <w:tabs>
          <w:tab w:val="num" w:pos="5040"/>
        </w:tabs>
        <w:ind w:left="5040" w:hanging="360"/>
      </w:pPr>
      <w:rPr>
        <w:rFonts w:ascii="Symbol" w:hAnsi="Symbol" w:hint="default"/>
      </w:rPr>
    </w:lvl>
    <w:lvl w:ilvl="7" w:tplc="416086FC" w:tentative="1">
      <w:start w:val="1"/>
      <w:numFmt w:val="bullet"/>
      <w:lvlText w:val=""/>
      <w:lvlJc w:val="left"/>
      <w:pPr>
        <w:tabs>
          <w:tab w:val="num" w:pos="5760"/>
        </w:tabs>
        <w:ind w:left="5760" w:hanging="360"/>
      </w:pPr>
      <w:rPr>
        <w:rFonts w:ascii="Symbol" w:hAnsi="Symbol" w:hint="default"/>
      </w:rPr>
    </w:lvl>
    <w:lvl w:ilvl="8" w:tplc="EE76B51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431878"/>
    <w:multiLevelType w:val="hybridMultilevel"/>
    <w:tmpl w:val="BA5CD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B77A9F"/>
    <w:multiLevelType w:val="hybridMultilevel"/>
    <w:tmpl w:val="D7DCA3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5D27444"/>
    <w:multiLevelType w:val="hybridMultilevel"/>
    <w:tmpl w:val="40346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7BED0B9E"/>
    <w:multiLevelType w:val="hybridMultilevel"/>
    <w:tmpl w:val="DAC8DE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5030896">
    <w:abstractNumId w:val="11"/>
  </w:num>
  <w:num w:numId="2" w16cid:durableId="2104840980">
    <w:abstractNumId w:val="7"/>
  </w:num>
  <w:num w:numId="3" w16cid:durableId="2011786840">
    <w:abstractNumId w:val="5"/>
  </w:num>
  <w:num w:numId="4" w16cid:durableId="396318308">
    <w:abstractNumId w:val="5"/>
  </w:num>
  <w:num w:numId="5" w16cid:durableId="1508405590">
    <w:abstractNumId w:val="5"/>
  </w:num>
  <w:num w:numId="6" w16cid:durableId="157112245">
    <w:abstractNumId w:val="4"/>
  </w:num>
  <w:num w:numId="7" w16cid:durableId="946497244">
    <w:abstractNumId w:val="5"/>
  </w:num>
  <w:num w:numId="8" w16cid:durableId="1730575501">
    <w:abstractNumId w:val="5"/>
  </w:num>
  <w:num w:numId="9" w16cid:durableId="674915289">
    <w:abstractNumId w:val="5"/>
  </w:num>
  <w:num w:numId="10" w16cid:durableId="553662800">
    <w:abstractNumId w:val="6"/>
  </w:num>
  <w:num w:numId="11" w16cid:durableId="418840901">
    <w:abstractNumId w:val="1"/>
  </w:num>
  <w:num w:numId="12" w16cid:durableId="1462768437">
    <w:abstractNumId w:val="8"/>
  </w:num>
  <w:num w:numId="13" w16cid:durableId="2052336043">
    <w:abstractNumId w:val="5"/>
  </w:num>
  <w:num w:numId="14" w16cid:durableId="1242907861">
    <w:abstractNumId w:val="5"/>
  </w:num>
  <w:num w:numId="15" w16cid:durableId="1213271627">
    <w:abstractNumId w:val="5"/>
  </w:num>
  <w:num w:numId="16" w16cid:durableId="279411379">
    <w:abstractNumId w:val="5"/>
  </w:num>
  <w:num w:numId="17" w16cid:durableId="886647929">
    <w:abstractNumId w:val="5"/>
  </w:num>
  <w:num w:numId="18" w16cid:durableId="642542165">
    <w:abstractNumId w:val="5"/>
  </w:num>
  <w:num w:numId="19" w16cid:durableId="2095127649">
    <w:abstractNumId w:val="5"/>
  </w:num>
  <w:num w:numId="20" w16cid:durableId="1612318296">
    <w:abstractNumId w:val="5"/>
  </w:num>
  <w:num w:numId="21" w16cid:durableId="1722745350">
    <w:abstractNumId w:val="5"/>
  </w:num>
  <w:num w:numId="22" w16cid:durableId="270356199">
    <w:abstractNumId w:val="5"/>
  </w:num>
  <w:num w:numId="23" w16cid:durableId="597323951">
    <w:abstractNumId w:val="5"/>
  </w:num>
  <w:num w:numId="24" w16cid:durableId="1772043870">
    <w:abstractNumId w:val="5"/>
  </w:num>
  <w:num w:numId="25" w16cid:durableId="1242564783">
    <w:abstractNumId w:val="5"/>
  </w:num>
  <w:num w:numId="26" w16cid:durableId="860554618">
    <w:abstractNumId w:val="5"/>
  </w:num>
  <w:num w:numId="27" w16cid:durableId="624893622">
    <w:abstractNumId w:val="5"/>
  </w:num>
  <w:num w:numId="28" w16cid:durableId="1135753094">
    <w:abstractNumId w:val="0"/>
  </w:num>
  <w:num w:numId="29" w16cid:durableId="1993631149">
    <w:abstractNumId w:val="10"/>
  </w:num>
  <w:num w:numId="30" w16cid:durableId="2082560645">
    <w:abstractNumId w:val="9"/>
  </w:num>
  <w:num w:numId="31" w16cid:durableId="636953071">
    <w:abstractNumId w:val="5"/>
  </w:num>
  <w:num w:numId="32" w16cid:durableId="1164129493">
    <w:abstractNumId w:val="12"/>
  </w:num>
  <w:num w:numId="33" w16cid:durableId="188177857">
    <w:abstractNumId w:val="2"/>
  </w:num>
  <w:num w:numId="34" w16cid:durableId="128754064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0685D"/>
    <w:rsid w:val="00011386"/>
    <w:rsid w:val="000120EB"/>
    <w:rsid w:val="000154BD"/>
    <w:rsid w:val="00015E19"/>
    <w:rsid w:val="00016A1B"/>
    <w:rsid w:val="00017A28"/>
    <w:rsid w:val="00024977"/>
    <w:rsid w:val="000256EA"/>
    <w:rsid w:val="00026241"/>
    <w:rsid w:val="00026FB9"/>
    <w:rsid w:val="00032321"/>
    <w:rsid w:val="000337B1"/>
    <w:rsid w:val="00034CF1"/>
    <w:rsid w:val="000377DE"/>
    <w:rsid w:val="00040564"/>
    <w:rsid w:val="00043293"/>
    <w:rsid w:val="00044D50"/>
    <w:rsid w:val="0004503D"/>
    <w:rsid w:val="00045831"/>
    <w:rsid w:val="00045D4C"/>
    <w:rsid w:val="00046A1D"/>
    <w:rsid w:val="00051010"/>
    <w:rsid w:val="00051197"/>
    <w:rsid w:val="00051616"/>
    <w:rsid w:val="00052530"/>
    <w:rsid w:val="00053A80"/>
    <w:rsid w:val="000548AB"/>
    <w:rsid w:val="00054C49"/>
    <w:rsid w:val="00056974"/>
    <w:rsid w:val="0005733B"/>
    <w:rsid w:val="00060E2C"/>
    <w:rsid w:val="00063292"/>
    <w:rsid w:val="000645B9"/>
    <w:rsid w:val="00065391"/>
    <w:rsid w:val="000675EE"/>
    <w:rsid w:val="0007563D"/>
    <w:rsid w:val="00075B7E"/>
    <w:rsid w:val="00077EA4"/>
    <w:rsid w:val="00082104"/>
    <w:rsid w:val="00082927"/>
    <w:rsid w:val="000855B6"/>
    <w:rsid w:val="00086F1B"/>
    <w:rsid w:val="00087484"/>
    <w:rsid w:val="0009016F"/>
    <w:rsid w:val="000911B2"/>
    <w:rsid w:val="00097D65"/>
    <w:rsid w:val="000A08B3"/>
    <w:rsid w:val="000A13A3"/>
    <w:rsid w:val="000A18AB"/>
    <w:rsid w:val="000A19DA"/>
    <w:rsid w:val="000A48DE"/>
    <w:rsid w:val="000A5BBD"/>
    <w:rsid w:val="000B0783"/>
    <w:rsid w:val="000B2034"/>
    <w:rsid w:val="000B4B47"/>
    <w:rsid w:val="000B4BAF"/>
    <w:rsid w:val="000C032F"/>
    <w:rsid w:val="000C33F5"/>
    <w:rsid w:val="000C4233"/>
    <w:rsid w:val="000C58FD"/>
    <w:rsid w:val="000C6342"/>
    <w:rsid w:val="000C75E1"/>
    <w:rsid w:val="000D0DC4"/>
    <w:rsid w:val="000D1079"/>
    <w:rsid w:val="000D342A"/>
    <w:rsid w:val="000D7300"/>
    <w:rsid w:val="000E04CB"/>
    <w:rsid w:val="000E0A9E"/>
    <w:rsid w:val="000E1721"/>
    <w:rsid w:val="000E187D"/>
    <w:rsid w:val="000E59F3"/>
    <w:rsid w:val="000E5E74"/>
    <w:rsid w:val="000E7888"/>
    <w:rsid w:val="000F0627"/>
    <w:rsid w:val="000F10BC"/>
    <w:rsid w:val="000F2CE5"/>
    <w:rsid w:val="000F4FDC"/>
    <w:rsid w:val="00101726"/>
    <w:rsid w:val="00102820"/>
    <w:rsid w:val="00105190"/>
    <w:rsid w:val="00106D03"/>
    <w:rsid w:val="001116AC"/>
    <w:rsid w:val="001126E9"/>
    <w:rsid w:val="00115A4B"/>
    <w:rsid w:val="00115CD3"/>
    <w:rsid w:val="00120276"/>
    <w:rsid w:val="00121443"/>
    <w:rsid w:val="00121DEB"/>
    <w:rsid w:val="001222DA"/>
    <w:rsid w:val="001237B5"/>
    <w:rsid w:val="00124066"/>
    <w:rsid w:val="00125C47"/>
    <w:rsid w:val="00126BEE"/>
    <w:rsid w:val="00131B05"/>
    <w:rsid w:val="00134E7B"/>
    <w:rsid w:val="00135295"/>
    <w:rsid w:val="00137034"/>
    <w:rsid w:val="001376A6"/>
    <w:rsid w:val="00137DE8"/>
    <w:rsid w:val="0014296B"/>
    <w:rsid w:val="0014324E"/>
    <w:rsid w:val="00144931"/>
    <w:rsid w:val="00144D0D"/>
    <w:rsid w:val="0014588A"/>
    <w:rsid w:val="00145967"/>
    <w:rsid w:val="00153255"/>
    <w:rsid w:val="00160B04"/>
    <w:rsid w:val="0016137C"/>
    <w:rsid w:val="0016208F"/>
    <w:rsid w:val="00162B9A"/>
    <w:rsid w:val="00162D68"/>
    <w:rsid w:val="00164F07"/>
    <w:rsid w:val="00167741"/>
    <w:rsid w:val="0016787F"/>
    <w:rsid w:val="0017040E"/>
    <w:rsid w:val="00170611"/>
    <w:rsid w:val="00175F27"/>
    <w:rsid w:val="00176B43"/>
    <w:rsid w:val="0017761E"/>
    <w:rsid w:val="00177EE8"/>
    <w:rsid w:val="001817EA"/>
    <w:rsid w:val="00181AD3"/>
    <w:rsid w:val="0019238E"/>
    <w:rsid w:val="00192D23"/>
    <w:rsid w:val="00194488"/>
    <w:rsid w:val="0019529A"/>
    <w:rsid w:val="00197003"/>
    <w:rsid w:val="001A003B"/>
    <w:rsid w:val="001A0DEC"/>
    <w:rsid w:val="001A2306"/>
    <w:rsid w:val="001A42C2"/>
    <w:rsid w:val="001A47C7"/>
    <w:rsid w:val="001A4C11"/>
    <w:rsid w:val="001A5A75"/>
    <w:rsid w:val="001B20AA"/>
    <w:rsid w:val="001B5C7C"/>
    <w:rsid w:val="001C4610"/>
    <w:rsid w:val="001C6CE7"/>
    <w:rsid w:val="001C70A7"/>
    <w:rsid w:val="001C7524"/>
    <w:rsid w:val="001D0147"/>
    <w:rsid w:val="001D02D5"/>
    <w:rsid w:val="001D07BD"/>
    <w:rsid w:val="001D2591"/>
    <w:rsid w:val="001D4A77"/>
    <w:rsid w:val="001D6482"/>
    <w:rsid w:val="001D66D1"/>
    <w:rsid w:val="001D6B9D"/>
    <w:rsid w:val="001D7379"/>
    <w:rsid w:val="001D7428"/>
    <w:rsid w:val="001D7C47"/>
    <w:rsid w:val="001E3085"/>
    <w:rsid w:val="001E458C"/>
    <w:rsid w:val="001E5BA4"/>
    <w:rsid w:val="001E5E53"/>
    <w:rsid w:val="001E62D5"/>
    <w:rsid w:val="001E75DD"/>
    <w:rsid w:val="001F1D16"/>
    <w:rsid w:val="001F28A1"/>
    <w:rsid w:val="001F5C4F"/>
    <w:rsid w:val="001F5F1E"/>
    <w:rsid w:val="001F6408"/>
    <w:rsid w:val="00201CE4"/>
    <w:rsid w:val="00201CFC"/>
    <w:rsid w:val="00202764"/>
    <w:rsid w:val="002038F8"/>
    <w:rsid w:val="00203F64"/>
    <w:rsid w:val="002061A9"/>
    <w:rsid w:val="00206775"/>
    <w:rsid w:val="002109D5"/>
    <w:rsid w:val="00211467"/>
    <w:rsid w:val="0021181A"/>
    <w:rsid w:val="00212ABB"/>
    <w:rsid w:val="002146AC"/>
    <w:rsid w:val="00214EDA"/>
    <w:rsid w:val="00216179"/>
    <w:rsid w:val="00221028"/>
    <w:rsid w:val="0022125A"/>
    <w:rsid w:val="00223C39"/>
    <w:rsid w:val="00226D1A"/>
    <w:rsid w:val="0022719A"/>
    <w:rsid w:val="00230813"/>
    <w:rsid w:val="00232BDA"/>
    <w:rsid w:val="00232F92"/>
    <w:rsid w:val="00233B14"/>
    <w:rsid w:val="00234403"/>
    <w:rsid w:val="0023477A"/>
    <w:rsid w:val="00234807"/>
    <w:rsid w:val="00234EE2"/>
    <w:rsid w:val="00236ACC"/>
    <w:rsid w:val="00236C57"/>
    <w:rsid w:val="00241738"/>
    <w:rsid w:val="002417B0"/>
    <w:rsid w:val="00242C88"/>
    <w:rsid w:val="002462CB"/>
    <w:rsid w:val="00246938"/>
    <w:rsid w:val="00250349"/>
    <w:rsid w:val="00254440"/>
    <w:rsid w:val="00254EDB"/>
    <w:rsid w:val="00255C29"/>
    <w:rsid w:val="00261280"/>
    <w:rsid w:val="00262FD5"/>
    <w:rsid w:val="00263D94"/>
    <w:rsid w:val="00264652"/>
    <w:rsid w:val="00264B42"/>
    <w:rsid w:val="00264FD8"/>
    <w:rsid w:val="00265CDA"/>
    <w:rsid w:val="00265ECC"/>
    <w:rsid w:val="0027494A"/>
    <w:rsid w:val="00275505"/>
    <w:rsid w:val="00277002"/>
    <w:rsid w:val="00283640"/>
    <w:rsid w:val="002836BA"/>
    <w:rsid w:val="00287414"/>
    <w:rsid w:val="00287971"/>
    <w:rsid w:val="00287EF5"/>
    <w:rsid w:val="00291E00"/>
    <w:rsid w:val="0029470C"/>
    <w:rsid w:val="002958F7"/>
    <w:rsid w:val="00297177"/>
    <w:rsid w:val="002A11B9"/>
    <w:rsid w:val="002A14E8"/>
    <w:rsid w:val="002A2206"/>
    <w:rsid w:val="002A2A08"/>
    <w:rsid w:val="002A395A"/>
    <w:rsid w:val="002A3F2C"/>
    <w:rsid w:val="002A547C"/>
    <w:rsid w:val="002A76E1"/>
    <w:rsid w:val="002B02D1"/>
    <w:rsid w:val="002B041F"/>
    <w:rsid w:val="002B0A51"/>
    <w:rsid w:val="002B20CB"/>
    <w:rsid w:val="002B32D7"/>
    <w:rsid w:val="002B5CEE"/>
    <w:rsid w:val="002C0DB0"/>
    <w:rsid w:val="002C11DB"/>
    <w:rsid w:val="002C223E"/>
    <w:rsid w:val="002C36E8"/>
    <w:rsid w:val="002C3D33"/>
    <w:rsid w:val="002C5C3E"/>
    <w:rsid w:val="002C6DD4"/>
    <w:rsid w:val="002C7B24"/>
    <w:rsid w:val="002C7C9A"/>
    <w:rsid w:val="002D003B"/>
    <w:rsid w:val="002D08CF"/>
    <w:rsid w:val="002D0DFE"/>
    <w:rsid w:val="002D35F2"/>
    <w:rsid w:val="002D4E34"/>
    <w:rsid w:val="002D5E70"/>
    <w:rsid w:val="002D5FCC"/>
    <w:rsid w:val="002D6167"/>
    <w:rsid w:val="002D7E37"/>
    <w:rsid w:val="002E1682"/>
    <w:rsid w:val="002E235F"/>
    <w:rsid w:val="002E2BEF"/>
    <w:rsid w:val="002E3ED2"/>
    <w:rsid w:val="002E4236"/>
    <w:rsid w:val="002E63BA"/>
    <w:rsid w:val="002E7BC5"/>
    <w:rsid w:val="002F3545"/>
    <w:rsid w:val="002F3E01"/>
    <w:rsid w:val="002F4A9E"/>
    <w:rsid w:val="002F4F57"/>
    <w:rsid w:val="002F588E"/>
    <w:rsid w:val="002F5F0E"/>
    <w:rsid w:val="002F736D"/>
    <w:rsid w:val="002F75F4"/>
    <w:rsid w:val="003013E3"/>
    <w:rsid w:val="00303052"/>
    <w:rsid w:val="00303430"/>
    <w:rsid w:val="003037A7"/>
    <w:rsid w:val="00303AAC"/>
    <w:rsid w:val="00303FF7"/>
    <w:rsid w:val="003048DB"/>
    <w:rsid w:val="00307699"/>
    <w:rsid w:val="00312202"/>
    <w:rsid w:val="00312315"/>
    <w:rsid w:val="00314547"/>
    <w:rsid w:val="003206AA"/>
    <w:rsid w:val="00324327"/>
    <w:rsid w:val="0032485A"/>
    <w:rsid w:val="00326572"/>
    <w:rsid w:val="00326D54"/>
    <w:rsid w:val="003355F2"/>
    <w:rsid w:val="00341711"/>
    <w:rsid w:val="003421BD"/>
    <w:rsid w:val="00343B46"/>
    <w:rsid w:val="003451E4"/>
    <w:rsid w:val="003460E9"/>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5D94"/>
    <w:rsid w:val="003A67BC"/>
    <w:rsid w:val="003B03D6"/>
    <w:rsid w:val="003B143C"/>
    <w:rsid w:val="003B15B4"/>
    <w:rsid w:val="003B3BFB"/>
    <w:rsid w:val="003B4603"/>
    <w:rsid w:val="003B4C72"/>
    <w:rsid w:val="003B7896"/>
    <w:rsid w:val="003C03F0"/>
    <w:rsid w:val="003C12F4"/>
    <w:rsid w:val="003C1AA9"/>
    <w:rsid w:val="003C3608"/>
    <w:rsid w:val="003C40FC"/>
    <w:rsid w:val="003C44F3"/>
    <w:rsid w:val="003C5C26"/>
    <w:rsid w:val="003C7C4F"/>
    <w:rsid w:val="003C7FE2"/>
    <w:rsid w:val="003D1338"/>
    <w:rsid w:val="003D1AE4"/>
    <w:rsid w:val="003D2445"/>
    <w:rsid w:val="003D35EA"/>
    <w:rsid w:val="003D3C05"/>
    <w:rsid w:val="003D4154"/>
    <w:rsid w:val="003D4FC1"/>
    <w:rsid w:val="003E12A1"/>
    <w:rsid w:val="003E1528"/>
    <w:rsid w:val="003E20F5"/>
    <w:rsid w:val="003E2C24"/>
    <w:rsid w:val="003E2E29"/>
    <w:rsid w:val="003E3095"/>
    <w:rsid w:val="003E3D6E"/>
    <w:rsid w:val="003E4DBF"/>
    <w:rsid w:val="003E6DE3"/>
    <w:rsid w:val="003E702F"/>
    <w:rsid w:val="003E70EA"/>
    <w:rsid w:val="003E7FD1"/>
    <w:rsid w:val="003F1402"/>
    <w:rsid w:val="003F78A5"/>
    <w:rsid w:val="00400D65"/>
    <w:rsid w:val="00403A59"/>
    <w:rsid w:val="00404547"/>
    <w:rsid w:val="004048E8"/>
    <w:rsid w:val="00405C5B"/>
    <w:rsid w:val="00407C3B"/>
    <w:rsid w:val="00410414"/>
    <w:rsid w:val="00412A91"/>
    <w:rsid w:val="004146C4"/>
    <w:rsid w:val="00414AD8"/>
    <w:rsid w:val="0042169B"/>
    <w:rsid w:val="0042263F"/>
    <w:rsid w:val="00423242"/>
    <w:rsid w:val="00424C42"/>
    <w:rsid w:val="00424F11"/>
    <w:rsid w:val="0042502E"/>
    <w:rsid w:val="004255CC"/>
    <w:rsid w:val="00427FD4"/>
    <w:rsid w:val="004314BB"/>
    <w:rsid w:val="00431FF1"/>
    <w:rsid w:val="00433CA3"/>
    <w:rsid w:val="00435163"/>
    <w:rsid w:val="00436554"/>
    <w:rsid w:val="0043756F"/>
    <w:rsid w:val="00437744"/>
    <w:rsid w:val="00441C2E"/>
    <w:rsid w:val="00441DF5"/>
    <w:rsid w:val="00442B35"/>
    <w:rsid w:val="00442FCF"/>
    <w:rsid w:val="00444D83"/>
    <w:rsid w:val="00446997"/>
    <w:rsid w:val="00451E19"/>
    <w:rsid w:val="004525FC"/>
    <w:rsid w:val="00453452"/>
    <w:rsid w:val="004553F9"/>
    <w:rsid w:val="004634C5"/>
    <w:rsid w:val="00470150"/>
    <w:rsid w:val="004718C1"/>
    <w:rsid w:val="00471C8B"/>
    <w:rsid w:val="00473610"/>
    <w:rsid w:val="0047489E"/>
    <w:rsid w:val="00474DDA"/>
    <w:rsid w:val="00477C7C"/>
    <w:rsid w:val="00483FF7"/>
    <w:rsid w:val="00484EEE"/>
    <w:rsid w:val="00485E37"/>
    <w:rsid w:val="004869EE"/>
    <w:rsid w:val="004900B1"/>
    <w:rsid w:val="0049181A"/>
    <w:rsid w:val="00492AA9"/>
    <w:rsid w:val="00493942"/>
    <w:rsid w:val="00495B27"/>
    <w:rsid w:val="00495F5C"/>
    <w:rsid w:val="004962E9"/>
    <w:rsid w:val="00496E5D"/>
    <w:rsid w:val="004A3C59"/>
    <w:rsid w:val="004A6820"/>
    <w:rsid w:val="004B0B15"/>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D16AD"/>
    <w:rsid w:val="004D1B8A"/>
    <w:rsid w:val="004D27AC"/>
    <w:rsid w:val="004D3437"/>
    <w:rsid w:val="004D346B"/>
    <w:rsid w:val="004D42F0"/>
    <w:rsid w:val="004E141D"/>
    <w:rsid w:val="004E1C39"/>
    <w:rsid w:val="004E41B1"/>
    <w:rsid w:val="004E531D"/>
    <w:rsid w:val="004E5DE5"/>
    <w:rsid w:val="004E625A"/>
    <w:rsid w:val="004E6D69"/>
    <w:rsid w:val="004F021F"/>
    <w:rsid w:val="004F3BDD"/>
    <w:rsid w:val="004F3EB1"/>
    <w:rsid w:val="004F41FA"/>
    <w:rsid w:val="004F5858"/>
    <w:rsid w:val="004F65E0"/>
    <w:rsid w:val="004F73E7"/>
    <w:rsid w:val="004F7E08"/>
    <w:rsid w:val="0050578C"/>
    <w:rsid w:val="0050631D"/>
    <w:rsid w:val="00506673"/>
    <w:rsid w:val="00511781"/>
    <w:rsid w:val="005121E2"/>
    <w:rsid w:val="0051232E"/>
    <w:rsid w:val="005129CB"/>
    <w:rsid w:val="00513026"/>
    <w:rsid w:val="005147DC"/>
    <w:rsid w:val="00515AD0"/>
    <w:rsid w:val="005207B8"/>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149C"/>
    <w:rsid w:val="00542FF4"/>
    <w:rsid w:val="00543DD2"/>
    <w:rsid w:val="00544A02"/>
    <w:rsid w:val="00545E89"/>
    <w:rsid w:val="00547899"/>
    <w:rsid w:val="005528DB"/>
    <w:rsid w:val="005537E3"/>
    <w:rsid w:val="00554175"/>
    <w:rsid w:val="00554C63"/>
    <w:rsid w:val="005564FD"/>
    <w:rsid w:val="005565AC"/>
    <w:rsid w:val="00556DA2"/>
    <w:rsid w:val="0056058D"/>
    <w:rsid w:val="0056073D"/>
    <w:rsid w:val="005619DD"/>
    <w:rsid w:val="00562777"/>
    <w:rsid w:val="00563CB2"/>
    <w:rsid w:val="0056426D"/>
    <w:rsid w:val="00570B9E"/>
    <w:rsid w:val="005723C2"/>
    <w:rsid w:val="00572C31"/>
    <w:rsid w:val="00573F65"/>
    <w:rsid w:val="005768A8"/>
    <w:rsid w:val="005805BF"/>
    <w:rsid w:val="00580A30"/>
    <w:rsid w:val="00581E69"/>
    <w:rsid w:val="00582184"/>
    <w:rsid w:val="00582666"/>
    <w:rsid w:val="00582F79"/>
    <w:rsid w:val="00591509"/>
    <w:rsid w:val="00592093"/>
    <w:rsid w:val="00592A62"/>
    <w:rsid w:val="00592F22"/>
    <w:rsid w:val="005956E0"/>
    <w:rsid w:val="00595F7A"/>
    <w:rsid w:val="00596006"/>
    <w:rsid w:val="0059628E"/>
    <w:rsid w:val="00597B80"/>
    <w:rsid w:val="005A3250"/>
    <w:rsid w:val="005A3D04"/>
    <w:rsid w:val="005A47B1"/>
    <w:rsid w:val="005B1634"/>
    <w:rsid w:val="005B2158"/>
    <w:rsid w:val="005B21AF"/>
    <w:rsid w:val="005B4C9C"/>
    <w:rsid w:val="005B5DD6"/>
    <w:rsid w:val="005B5EB8"/>
    <w:rsid w:val="005C1FF2"/>
    <w:rsid w:val="005C248B"/>
    <w:rsid w:val="005C33DD"/>
    <w:rsid w:val="005C3A30"/>
    <w:rsid w:val="005C3ABE"/>
    <w:rsid w:val="005C3CFD"/>
    <w:rsid w:val="005C4C76"/>
    <w:rsid w:val="005C7463"/>
    <w:rsid w:val="005C79EF"/>
    <w:rsid w:val="005D0FA1"/>
    <w:rsid w:val="005D4DB9"/>
    <w:rsid w:val="005E06AF"/>
    <w:rsid w:val="005E20D3"/>
    <w:rsid w:val="005E38E7"/>
    <w:rsid w:val="005E3961"/>
    <w:rsid w:val="005E7A5E"/>
    <w:rsid w:val="005F118F"/>
    <w:rsid w:val="005F2AE1"/>
    <w:rsid w:val="005F300A"/>
    <w:rsid w:val="005F3826"/>
    <w:rsid w:val="006026B1"/>
    <w:rsid w:val="00607072"/>
    <w:rsid w:val="00610884"/>
    <w:rsid w:val="00610910"/>
    <w:rsid w:val="00611C34"/>
    <w:rsid w:val="006127B2"/>
    <w:rsid w:val="00612A93"/>
    <w:rsid w:val="00613F16"/>
    <w:rsid w:val="00615C9D"/>
    <w:rsid w:val="00616C55"/>
    <w:rsid w:val="00616D18"/>
    <w:rsid w:val="006171A1"/>
    <w:rsid w:val="00617527"/>
    <w:rsid w:val="006175B8"/>
    <w:rsid w:val="00621951"/>
    <w:rsid w:val="0062500B"/>
    <w:rsid w:val="00625D7C"/>
    <w:rsid w:val="00626BC2"/>
    <w:rsid w:val="006312BD"/>
    <w:rsid w:val="006374CC"/>
    <w:rsid w:val="00640FB9"/>
    <w:rsid w:val="00641D7B"/>
    <w:rsid w:val="00641D8E"/>
    <w:rsid w:val="00642A38"/>
    <w:rsid w:val="006445C9"/>
    <w:rsid w:val="00645088"/>
    <w:rsid w:val="00645F53"/>
    <w:rsid w:val="006502B8"/>
    <w:rsid w:val="00655224"/>
    <w:rsid w:val="0065648B"/>
    <w:rsid w:val="00656E86"/>
    <w:rsid w:val="00657622"/>
    <w:rsid w:val="00657B06"/>
    <w:rsid w:val="00660B9A"/>
    <w:rsid w:val="00661699"/>
    <w:rsid w:val="00661876"/>
    <w:rsid w:val="006668D9"/>
    <w:rsid w:val="00671BA7"/>
    <w:rsid w:val="006720B6"/>
    <w:rsid w:val="0067293D"/>
    <w:rsid w:val="00682B10"/>
    <w:rsid w:val="00682E89"/>
    <w:rsid w:val="006833E2"/>
    <w:rsid w:val="00685AA9"/>
    <w:rsid w:val="006873C0"/>
    <w:rsid w:val="006873EB"/>
    <w:rsid w:val="00690580"/>
    <w:rsid w:val="00693C09"/>
    <w:rsid w:val="00694D85"/>
    <w:rsid w:val="00695C40"/>
    <w:rsid w:val="00696B1F"/>
    <w:rsid w:val="006A173D"/>
    <w:rsid w:val="006A18D7"/>
    <w:rsid w:val="006A371C"/>
    <w:rsid w:val="006A553E"/>
    <w:rsid w:val="006A5DDC"/>
    <w:rsid w:val="006A7A74"/>
    <w:rsid w:val="006A7A8A"/>
    <w:rsid w:val="006A7E26"/>
    <w:rsid w:val="006B1C04"/>
    <w:rsid w:val="006B2E86"/>
    <w:rsid w:val="006B71B4"/>
    <w:rsid w:val="006C111D"/>
    <w:rsid w:val="006C30A0"/>
    <w:rsid w:val="006C39F4"/>
    <w:rsid w:val="006C7AD0"/>
    <w:rsid w:val="006D19FE"/>
    <w:rsid w:val="006D1E15"/>
    <w:rsid w:val="006D28BB"/>
    <w:rsid w:val="006D3C47"/>
    <w:rsid w:val="006D438D"/>
    <w:rsid w:val="006D5B83"/>
    <w:rsid w:val="006D6D7A"/>
    <w:rsid w:val="006E4766"/>
    <w:rsid w:val="006E50CD"/>
    <w:rsid w:val="006E5382"/>
    <w:rsid w:val="006E6909"/>
    <w:rsid w:val="006E756E"/>
    <w:rsid w:val="006E7EC2"/>
    <w:rsid w:val="006F41BF"/>
    <w:rsid w:val="00701E08"/>
    <w:rsid w:val="00703034"/>
    <w:rsid w:val="00703060"/>
    <w:rsid w:val="00703614"/>
    <w:rsid w:val="00704730"/>
    <w:rsid w:val="007067B5"/>
    <w:rsid w:val="00712841"/>
    <w:rsid w:val="00712D8F"/>
    <w:rsid w:val="007168AA"/>
    <w:rsid w:val="007173B3"/>
    <w:rsid w:val="00717F50"/>
    <w:rsid w:val="00726143"/>
    <w:rsid w:val="0072773B"/>
    <w:rsid w:val="00731C50"/>
    <w:rsid w:val="00734106"/>
    <w:rsid w:val="00734115"/>
    <w:rsid w:val="0074272D"/>
    <w:rsid w:val="007429FB"/>
    <w:rsid w:val="00744524"/>
    <w:rsid w:val="00744BCD"/>
    <w:rsid w:val="007454A0"/>
    <w:rsid w:val="00745D5D"/>
    <w:rsid w:val="00747019"/>
    <w:rsid w:val="00747FCE"/>
    <w:rsid w:val="00750646"/>
    <w:rsid w:val="00751608"/>
    <w:rsid w:val="00752A94"/>
    <w:rsid w:val="00753685"/>
    <w:rsid w:val="007550D0"/>
    <w:rsid w:val="00755C09"/>
    <w:rsid w:val="00756F36"/>
    <w:rsid w:val="00763082"/>
    <w:rsid w:val="007634D6"/>
    <w:rsid w:val="00764B1D"/>
    <w:rsid w:val="007659A3"/>
    <w:rsid w:val="00771606"/>
    <w:rsid w:val="007718BC"/>
    <w:rsid w:val="00771D3F"/>
    <w:rsid w:val="007727C7"/>
    <w:rsid w:val="00772830"/>
    <w:rsid w:val="0077291C"/>
    <w:rsid w:val="00772FB8"/>
    <w:rsid w:val="00774A29"/>
    <w:rsid w:val="0077538D"/>
    <w:rsid w:val="00781B5C"/>
    <w:rsid w:val="00782DDD"/>
    <w:rsid w:val="00783C94"/>
    <w:rsid w:val="0078417B"/>
    <w:rsid w:val="007844FD"/>
    <w:rsid w:val="00784809"/>
    <w:rsid w:val="007853AD"/>
    <w:rsid w:val="00785B48"/>
    <w:rsid w:val="00786FBC"/>
    <w:rsid w:val="0079021A"/>
    <w:rsid w:val="00794E25"/>
    <w:rsid w:val="007A5502"/>
    <w:rsid w:val="007A7A32"/>
    <w:rsid w:val="007B0EEC"/>
    <w:rsid w:val="007B1817"/>
    <w:rsid w:val="007B1EED"/>
    <w:rsid w:val="007B523A"/>
    <w:rsid w:val="007B583D"/>
    <w:rsid w:val="007B61C9"/>
    <w:rsid w:val="007B6B72"/>
    <w:rsid w:val="007C72A8"/>
    <w:rsid w:val="007C7DB4"/>
    <w:rsid w:val="007D28EF"/>
    <w:rsid w:val="007D2D57"/>
    <w:rsid w:val="007D4A9E"/>
    <w:rsid w:val="007D620B"/>
    <w:rsid w:val="007D667F"/>
    <w:rsid w:val="007E3960"/>
    <w:rsid w:val="007E5B6E"/>
    <w:rsid w:val="007E67CE"/>
    <w:rsid w:val="007F1A85"/>
    <w:rsid w:val="007F2DB5"/>
    <w:rsid w:val="007F39EF"/>
    <w:rsid w:val="007F4A85"/>
    <w:rsid w:val="008011EF"/>
    <w:rsid w:val="00802088"/>
    <w:rsid w:val="00802F49"/>
    <w:rsid w:val="00803A7E"/>
    <w:rsid w:val="00804084"/>
    <w:rsid w:val="008046F2"/>
    <w:rsid w:val="00806F76"/>
    <w:rsid w:val="00806FC0"/>
    <w:rsid w:val="008075C4"/>
    <w:rsid w:val="00807A4F"/>
    <w:rsid w:val="008123C7"/>
    <w:rsid w:val="0081574E"/>
    <w:rsid w:val="00815EC1"/>
    <w:rsid w:val="00820380"/>
    <w:rsid w:val="00820F55"/>
    <w:rsid w:val="00822459"/>
    <w:rsid w:val="0082339A"/>
    <w:rsid w:val="00824615"/>
    <w:rsid w:val="00834864"/>
    <w:rsid w:val="00836146"/>
    <w:rsid w:val="00836366"/>
    <w:rsid w:val="00837358"/>
    <w:rsid w:val="00840278"/>
    <w:rsid w:val="00840B53"/>
    <w:rsid w:val="00842CEA"/>
    <w:rsid w:val="00847896"/>
    <w:rsid w:val="00850549"/>
    <w:rsid w:val="00850585"/>
    <w:rsid w:val="00851E5C"/>
    <w:rsid w:val="008534F5"/>
    <w:rsid w:val="0085408A"/>
    <w:rsid w:val="00854723"/>
    <w:rsid w:val="00854CB9"/>
    <w:rsid w:val="008625CF"/>
    <w:rsid w:val="008632E4"/>
    <w:rsid w:val="00863B4B"/>
    <w:rsid w:val="00863D26"/>
    <w:rsid w:val="0086434C"/>
    <w:rsid w:val="00864688"/>
    <w:rsid w:val="0086616F"/>
    <w:rsid w:val="00867192"/>
    <w:rsid w:val="00867AD2"/>
    <w:rsid w:val="00874727"/>
    <w:rsid w:val="00880DC9"/>
    <w:rsid w:val="00882825"/>
    <w:rsid w:val="0088605A"/>
    <w:rsid w:val="008869CC"/>
    <w:rsid w:val="00887C00"/>
    <w:rsid w:val="00890A4C"/>
    <w:rsid w:val="00890CFF"/>
    <w:rsid w:val="008917B6"/>
    <w:rsid w:val="00896C15"/>
    <w:rsid w:val="00897180"/>
    <w:rsid w:val="00897457"/>
    <w:rsid w:val="0089767C"/>
    <w:rsid w:val="008A0160"/>
    <w:rsid w:val="008A0966"/>
    <w:rsid w:val="008A3829"/>
    <w:rsid w:val="008A5AC9"/>
    <w:rsid w:val="008A61CF"/>
    <w:rsid w:val="008A6452"/>
    <w:rsid w:val="008A6ED0"/>
    <w:rsid w:val="008A7900"/>
    <w:rsid w:val="008A7D92"/>
    <w:rsid w:val="008B2188"/>
    <w:rsid w:val="008B2F24"/>
    <w:rsid w:val="008B49DB"/>
    <w:rsid w:val="008B4B04"/>
    <w:rsid w:val="008B4FA9"/>
    <w:rsid w:val="008B6955"/>
    <w:rsid w:val="008C1DC7"/>
    <w:rsid w:val="008C20D0"/>
    <w:rsid w:val="008C2737"/>
    <w:rsid w:val="008C4916"/>
    <w:rsid w:val="008C49E2"/>
    <w:rsid w:val="008C5520"/>
    <w:rsid w:val="008D02DC"/>
    <w:rsid w:val="008D0417"/>
    <w:rsid w:val="008D0F5A"/>
    <w:rsid w:val="008D24B9"/>
    <w:rsid w:val="008D29B8"/>
    <w:rsid w:val="008D35B2"/>
    <w:rsid w:val="008D431A"/>
    <w:rsid w:val="008D433B"/>
    <w:rsid w:val="008D44B2"/>
    <w:rsid w:val="008D4D4C"/>
    <w:rsid w:val="008D5CF0"/>
    <w:rsid w:val="008D5ED8"/>
    <w:rsid w:val="008D7B3C"/>
    <w:rsid w:val="008E3C08"/>
    <w:rsid w:val="008E54C3"/>
    <w:rsid w:val="008E5D56"/>
    <w:rsid w:val="008E5E28"/>
    <w:rsid w:val="008F1E8B"/>
    <w:rsid w:val="008F1FF5"/>
    <w:rsid w:val="008F579C"/>
    <w:rsid w:val="008F76AC"/>
    <w:rsid w:val="00900C14"/>
    <w:rsid w:val="00901398"/>
    <w:rsid w:val="0090193E"/>
    <w:rsid w:val="00907AA0"/>
    <w:rsid w:val="00907CCE"/>
    <w:rsid w:val="00914452"/>
    <w:rsid w:val="0091600C"/>
    <w:rsid w:val="0091705A"/>
    <w:rsid w:val="009202E9"/>
    <w:rsid w:val="009226BD"/>
    <w:rsid w:val="009236A0"/>
    <w:rsid w:val="00923A30"/>
    <w:rsid w:val="00923D1A"/>
    <w:rsid w:val="00923E97"/>
    <w:rsid w:val="00924401"/>
    <w:rsid w:val="009306EA"/>
    <w:rsid w:val="00934478"/>
    <w:rsid w:val="00935A1C"/>
    <w:rsid w:val="00936B32"/>
    <w:rsid w:val="00936D61"/>
    <w:rsid w:val="00941446"/>
    <w:rsid w:val="009439D3"/>
    <w:rsid w:val="00944764"/>
    <w:rsid w:val="00946B26"/>
    <w:rsid w:val="00950342"/>
    <w:rsid w:val="00952525"/>
    <w:rsid w:val="00952BF1"/>
    <w:rsid w:val="00953A5D"/>
    <w:rsid w:val="00953FF2"/>
    <w:rsid w:val="00954C43"/>
    <w:rsid w:val="00955284"/>
    <w:rsid w:val="00960048"/>
    <w:rsid w:val="00960523"/>
    <w:rsid w:val="009611FB"/>
    <w:rsid w:val="00962DE5"/>
    <w:rsid w:val="00963E88"/>
    <w:rsid w:val="0096474A"/>
    <w:rsid w:val="0096654B"/>
    <w:rsid w:val="00966638"/>
    <w:rsid w:val="00972931"/>
    <w:rsid w:val="00972FF3"/>
    <w:rsid w:val="0097301C"/>
    <w:rsid w:val="00975FC8"/>
    <w:rsid w:val="009769D4"/>
    <w:rsid w:val="0098319E"/>
    <w:rsid w:val="009838E8"/>
    <w:rsid w:val="00984E63"/>
    <w:rsid w:val="009866C9"/>
    <w:rsid w:val="009867A5"/>
    <w:rsid w:val="009900E4"/>
    <w:rsid w:val="009903DD"/>
    <w:rsid w:val="00991C7E"/>
    <w:rsid w:val="00991CD6"/>
    <w:rsid w:val="009922C0"/>
    <w:rsid w:val="0099314A"/>
    <w:rsid w:val="009933C1"/>
    <w:rsid w:val="009939FC"/>
    <w:rsid w:val="00996BB7"/>
    <w:rsid w:val="009A13DC"/>
    <w:rsid w:val="009A2FA4"/>
    <w:rsid w:val="009A3E0A"/>
    <w:rsid w:val="009A5C0A"/>
    <w:rsid w:val="009A6FEE"/>
    <w:rsid w:val="009B054F"/>
    <w:rsid w:val="009B26B1"/>
    <w:rsid w:val="009B2757"/>
    <w:rsid w:val="009B2C03"/>
    <w:rsid w:val="009B326F"/>
    <w:rsid w:val="009B380C"/>
    <w:rsid w:val="009B6044"/>
    <w:rsid w:val="009B62F9"/>
    <w:rsid w:val="009C1FD6"/>
    <w:rsid w:val="009C206E"/>
    <w:rsid w:val="009C2C21"/>
    <w:rsid w:val="009C32F6"/>
    <w:rsid w:val="009C592E"/>
    <w:rsid w:val="009C5DA7"/>
    <w:rsid w:val="009C61B1"/>
    <w:rsid w:val="009C6BA6"/>
    <w:rsid w:val="009D0A85"/>
    <w:rsid w:val="009D43A1"/>
    <w:rsid w:val="009D43A9"/>
    <w:rsid w:val="009E0823"/>
    <w:rsid w:val="009E2140"/>
    <w:rsid w:val="009E21AA"/>
    <w:rsid w:val="009E430B"/>
    <w:rsid w:val="009E434A"/>
    <w:rsid w:val="009E494D"/>
    <w:rsid w:val="009F0214"/>
    <w:rsid w:val="009F05D8"/>
    <w:rsid w:val="009F213A"/>
    <w:rsid w:val="009F4B1D"/>
    <w:rsid w:val="009F6CBF"/>
    <w:rsid w:val="009F7789"/>
    <w:rsid w:val="00A00016"/>
    <w:rsid w:val="00A007C5"/>
    <w:rsid w:val="00A00C66"/>
    <w:rsid w:val="00A02B92"/>
    <w:rsid w:val="00A063E5"/>
    <w:rsid w:val="00A10ACF"/>
    <w:rsid w:val="00A11C3A"/>
    <w:rsid w:val="00A11CED"/>
    <w:rsid w:val="00A11F00"/>
    <w:rsid w:val="00A13EC1"/>
    <w:rsid w:val="00A14DC6"/>
    <w:rsid w:val="00A1551B"/>
    <w:rsid w:val="00A171F4"/>
    <w:rsid w:val="00A1763D"/>
    <w:rsid w:val="00A17A7E"/>
    <w:rsid w:val="00A25460"/>
    <w:rsid w:val="00A2765E"/>
    <w:rsid w:val="00A30FEF"/>
    <w:rsid w:val="00A33F7C"/>
    <w:rsid w:val="00A36B23"/>
    <w:rsid w:val="00A36EC0"/>
    <w:rsid w:val="00A374C1"/>
    <w:rsid w:val="00A4427B"/>
    <w:rsid w:val="00A44646"/>
    <w:rsid w:val="00A45AE1"/>
    <w:rsid w:val="00A50160"/>
    <w:rsid w:val="00A52699"/>
    <w:rsid w:val="00A53564"/>
    <w:rsid w:val="00A5459E"/>
    <w:rsid w:val="00A57503"/>
    <w:rsid w:val="00A57F41"/>
    <w:rsid w:val="00A60A56"/>
    <w:rsid w:val="00A62562"/>
    <w:rsid w:val="00A62673"/>
    <w:rsid w:val="00A62825"/>
    <w:rsid w:val="00A6460F"/>
    <w:rsid w:val="00A66FBF"/>
    <w:rsid w:val="00A71843"/>
    <w:rsid w:val="00A724AD"/>
    <w:rsid w:val="00A724D9"/>
    <w:rsid w:val="00A7269D"/>
    <w:rsid w:val="00A72FE7"/>
    <w:rsid w:val="00A73CF9"/>
    <w:rsid w:val="00A74D12"/>
    <w:rsid w:val="00A750E5"/>
    <w:rsid w:val="00A7557C"/>
    <w:rsid w:val="00A75971"/>
    <w:rsid w:val="00A75B67"/>
    <w:rsid w:val="00A77256"/>
    <w:rsid w:val="00A8165F"/>
    <w:rsid w:val="00A833B4"/>
    <w:rsid w:val="00A9011D"/>
    <w:rsid w:val="00A9079A"/>
    <w:rsid w:val="00A92D88"/>
    <w:rsid w:val="00A93254"/>
    <w:rsid w:val="00A94FCE"/>
    <w:rsid w:val="00A95452"/>
    <w:rsid w:val="00A967C4"/>
    <w:rsid w:val="00A97F2B"/>
    <w:rsid w:val="00AA18CC"/>
    <w:rsid w:val="00AA298E"/>
    <w:rsid w:val="00AA44FA"/>
    <w:rsid w:val="00AA46F0"/>
    <w:rsid w:val="00AA48D5"/>
    <w:rsid w:val="00AA4A66"/>
    <w:rsid w:val="00AA51CC"/>
    <w:rsid w:val="00AB10D1"/>
    <w:rsid w:val="00AB139A"/>
    <w:rsid w:val="00AB2686"/>
    <w:rsid w:val="00AB51C1"/>
    <w:rsid w:val="00AB520C"/>
    <w:rsid w:val="00AB5806"/>
    <w:rsid w:val="00AB5E94"/>
    <w:rsid w:val="00AB7379"/>
    <w:rsid w:val="00AB7895"/>
    <w:rsid w:val="00AC3E9F"/>
    <w:rsid w:val="00AC4A2B"/>
    <w:rsid w:val="00AC4C23"/>
    <w:rsid w:val="00AC4DA1"/>
    <w:rsid w:val="00AC54B9"/>
    <w:rsid w:val="00AC6170"/>
    <w:rsid w:val="00AC67E4"/>
    <w:rsid w:val="00AC6998"/>
    <w:rsid w:val="00AC71DD"/>
    <w:rsid w:val="00AD2D24"/>
    <w:rsid w:val="00AD644C"/>
    <w:rsid w:val="00AD67D5"/>
    <w:rsid w:val="00AD7985"/>
    <w:rsid w:val="00AE096D"/>
    <w:rsid w:val="00AE0AFD"/>
    <w:rsid w:val="00AE1706"/>
    <w:rsid w:val="00AE3AC0"/>
    <w:rsid w:val="00AE4FD0"/>
    <w:rsid w:val="00AE5D9C"/>
    <w:rsid w:val="00AE6903"/>
    <w:rsid w:val="00AE6A17"/>
    <w:rsid w:val="00AF000B"/>
    <w:rsid w:val="00AF4CDB"/>
    <w:rsid w:val="00B00F8E"/>
    <w:rsid w:val="00B01D71"/>
    <w:rsid w:val="00B02348"/>
    <w:rsid w:val="00B02619"/>
    <w:rsid w:val="00B030EA"/>
    <w:rsid w:val="00B06A4F"/>
    <w:rsid w:val="00B07572"/>
    <w:rsid w:val="00B10925"/>
    <w:rsid w:val="00B134D0"/>
    <w:rsid w:val="00B13C00"/>
    <w:rsid w:val="00B15E99"/>
    <w:rsid w:val="00B201C7"/>
    <w:rsid w:val="00B30972"/>
    <w:rsid w:val="00B31D86"/>
    <w:rsid w:val="00B32F13"/>
    <w:rsid w:val="00B34326"/>
    <w:rsid w:val="00B4229C"/>
    <w:rsid w:val="00B45A70"/>
    <w:rsid w:val="00B4619A"/>
    <w:rsid w:val="00B4725F"/>
    <w:rsid w:val="00B51988"/>
    <w:rsid w:val="00B52D60"/>
    <w:rsid w:val="00B54588"/>
    <w:rsid w:val="00B57496"/>
    <w:rsid w:val="00B57FC4"/>
    <w:rsid w:val="00B60454"/>
    <w:rsid w:val="00B60803"/>
    <w:rsid w:val="00B618E3"/>
    <w:rsid w:val="00B622E6"/>
    <w:rsid w:val="00B6361B"/>
    <w:rsid w:val="00B63822"/>
    <w:rsid w:val="00B70BBE"/>
    <w:rsid w:val="00B71FF5"/>
    <w:rsid w:val="00B72652"/>
    <w:rsid w:val="00B73EA1"/>
    <w:rsid w:val="00B75F93"/>
    <w:rsid w:val="00B769F7"/>
    <w:rsid w:val="00B81D12"/>
    <w:rsid w:val="00B82721"/>
    <w:rsid w:val="00B8382E"/>
    <w:rsid w:val="00B855F2"/>
    <w:rsid w:val="00B8705F"/>
    <w:rsid w:val="00B92081"/>
    <w:rsid w:val="00B9256F"/>
    <w:rsid w:val="00B92E20"/>
    <w:rsid w:val="00B931AD"/>
    <w:rsid w:val="00B93285"/>
    <w:rsid w:val="00B93C04"/>
    <w:rsid w:val="00B94236"/>
    <w:rsid w:val="00B95080"/>
    <w:rsid w:val="00B9563B"/>
    <w:rsid w:val="00B978C9"/>
    <w:rsid w:val="00BA16FB"/>
    <w:rsid w:val="00BA1DDA"/>
    <w:rsid w:val="00BA33F7"/>
    <w:rsid w:val="00BA45FE"/>
    <w:rsid w:val="00BB2224"/>
    <w:rsid w:val="00BB2B6B"/>
    <w:rsid w:val="00BB3DD2"/>
    <w:rsid w:val="00BB411E"/>
    <w:rsid w:val="00BB5371"/>
    <w:rsid w:val="00BB5952"/>
    <w:rsid w:val="00BB6F9B"/>
    <w:rsid w:val="00BB74E0"/>
    <w:rsid w:val="00BB75C5"/>
    <w:rsid w:val="00BC14D2"/>
    <w:rsid w:val="00BC1711"/>
    <w:rsid w:val="00BC18A4"/>
    <w:rsid w:val="00BC250F"/>
    <w:rsid w:val="00BC54DD"/>
    <w:rsid w:val="00BD0185"/>
    <w:rsid w:val="00BD06AA"/>
    <w:rsid w:val="00BD3851"/>
    <w:rsid w:val="00BD3956"/>
    <w:rsid w:val="00BD42A3"/>
    <w:rsid w:val="00BD6BFA"/>
    <w:rsid w:val="00BE0D02"/>
    <w:rsid w:val="00BE14C0"/>
    <w:rsid w:val="00BE36FF"/>
    <w:rsid w:val="00BE5C74"/>
    <w:rsid w:val="00BE603F"/>
    <w:rsid w:val="00BE6D56"/>
    <w:rsid w:val="00BE6E3C"/>
    <w:rsid w:val="00BF3B1A"/>
    <w:rsid w:val="00BF410A"/>
    <w:rsid w:val="00C008D1"/>
    <w:rsid w:val="00C0529F"/>
    <w:rsid w:val="00C12B4B"/>
    <w:rsid w:val="00C158CD"/>
    <w:rsid w:val="00C1761E"/>
    <w:rsid w:val="00C17658"/>
    <w:rsid w:val="00C17F58"/>
    <w:rsid w:val="00C20BD4"/>
    <w:rsid w:val="00C20DC5"/>
    <w:rsid w:val="00C214AA"/>
    <w:rsid w:val="00C21739"/>
    <w:rsid w:val="00C24687"/>
    <w:rsid w:val="00C266A0"/>
    <w:rsid w:val="00C27134"/>
    <w:rsid w:val="00C31078"/>
    <w:rsid w:val="00C31A12"/>
    <w:rsid w:val="00C31F68"/>
    <w:rsid w:val="00C3499E"/>
    <w:rsid w:val="00C35BEF"/>
    <w:rsid w:val="00C36B43"/>
    <w:rsid w:val="00C4140F"/>
    <w:rsid w:val="00C42C1F"/>
    <w:rsid w:val="00C43D1F"/>
    <w:rsid w:val="00C47024"/>
    <w:rsid w:val="00C47890"/>
    <w:rsid w:val="00C47DDA"/>
    <w:rsid w:val="00C5013C"/>
    <w:rsid w:val="00C50307"/>
    <w:rsid w:val="00C505B6"/>
    <w:rsid w:val="00C5092F"/>
    <w:rsid w:val="00C5192F"/>
    <w:rsid w:val="00C5209E"/>
    <w:rsid w:val="00C5292E"/>
    <w:rsid w:val="00C5363B"/>
    <w:rsid w:val="00C53BDE"/>
    <w:rsid w:val="00C53D78"/>
    <w:rsid w:val="00C54473"/>
    <w:rsid w:val="00C55C92"/>
    <w:rsid w:val="00C56883"/>
    <w:rsid w:val="00C604DD"/>
    <w:rsid w:val="00C62366"/>
    <w:rsid w:val="00C62BFF"/>
    <w:rsid w:val="00C66654"/>
    <w:rsid w:val="00C67D76"/>
    <w:rsid w:val="00C70C20"/>
    <w:rsid w:val="00C711F3"/>
    <w:rsid w:val="00C71CBA"/>
    <w:rsid w:val="00C74FBB"/>
    <w:rsid w:val="00C75945"/>
    <w:rsid w:val="00C761A1"/>
    <w:rsid w:val="00C76705"/>
    <w:rsid w:val="00C80646"/>
    <w:rsid w:val="00C80D39"/>
    <w:rsid w:val="00C824A2"/>
    <w:rsid w:val="00C85E55"/>
    <w:rsid w:val="00C87226"/>
    <w:rsid w:val="00C87614"/>
    <w:rsid w:val="00C914B1"/>
    <w:rsid w:val="00C93276"/>
    <w:rsid w:val="00C93438"/>
    <w:rsid w:val="00C9376F"/>
    <w:rsid w:val="00C94F56"/>
    <w:rsid w:val="00C979C4"/>
    <w:rsid w:val="00C97E7A"/>
    <w:rsid w:val="00CA1665"/>
    <w:rsid w:val="00CA355F"/>
    <w:rsid w:val="00CA4FBA"/>
    <w:rsid w:val="00CA6EF5"/>
    <w:rsid w:val="00CA79A8"/>
    <w:rsid w:val="00CB0975"/>
    <w:rsid w:val="00CB3BEA"/>
    <w:rsid w:val="00CB4094"/>
    <w:rsid w:val="00CB607D"/>
    <w:rsid w:val="00CB6134"/>
    <w:rsid w:val="00CB74E7"/>
    <w:rsid w:val="00CB78BB"/>
    <w:rsid w:val="00CC1397"/>
    <w:rsid w:val="00CC286E"/>
    <w:rsid w:val="00CC2D22"/>
    <w:rsid w:val="00CC3B56"/>
    <w:rsid w:val="00CC6606"/>
    <w:rsid w:val="00CD0283"/>
    <w:rsid w:val="00CD08C7"/>
    <w:rsid w:val="00CD1ED3"/>
    <w:rsid w:val="00CD2CB1"/>
    <w:rsid w:val="00CD3A8B"/>
    <w:rsid w:val="00CD5F7E"/>
    <w:rsid w:val="00CD724F"/>
    <w:rsid w:val="00CE3094"/>
    <w:rsid w:val="00CE48A2"/>
    <w:rsid w:val="00CE7A38"/>
    <w:rsid w:val="00CF092B"/>
    <w:rsid w:val="00CF2368"/>
    <w:rsid w:val="00CF2EE8"/>
    <w:rsid w:val="00CF3582"/>
    <w:rsid w:val="00CF4409"/>
    <w:rsid w:val="00CF4DAF"/>
    <w:rsid w:val="00CF5DF7"/>
    <w:rsid w:val="00D01ADD"/>
    <w:rsid w:val="00D05831"/>
    <w:rsid w:val="00D11920"/>
    <w:rsid w:val="00D12B5D"/>
    <w:rsid w:val="00D13ABA"/>
    <w:rsid w:val="00D171A8"/>
    <w:rsid w:val="00D173CE"/>
    <w:rsid w:val="00D2141C"/>
    <w:rsid w:val="00D2434E"/>
    <w:rsid w:val="00D2724F"/>
    <w:rsid w:val="00D27AB8"/>
    <w:rsid w:val="00D30019"/>
    <w:rsid w:val="00D30769"/>
    <w:rsid w:val="00D32187"/>
    <w:rsid w:val="00D33285"/>
    <w:rsid w:val="00D34941"/>
    <w:rsid w:val="00D3507A"/>
    <w:rsid w:val="00D35B8F"/>
    <w:rsid w:val="00D35F23"/>
    <w:rsid w:val="00D545BA"/>
    <w:rsid w:val="00D56788"/>
    <w:rsid w:val="00D6011E"/>
    <w:rsid w:val="00D6149E"/>
    <w:rsid w:val="00D64401"/>
    <w:rsid w:val="00D6614D"/>
    <w:rsid w:val="00D67F70"/>
    <w:rsid w:val="00D72735"/>
    <w:rsid w:val="00D73E1D"/>
    <w:rsid w:val="00D754D4"/>
    <w:rsid w:val="00D76832"/>
    <w:rsid w:val="00D77758"/>
    <w:rsid w:val="00D81A63"/>
    <w:rsid w:val="00D8334F"/>
    <w:rsid w:val="00D84EFE"/>
    <w:rsid w:val="00D85234"/>
    <w:rsid w:val="00D8593C"/>
    <w:rsid w:val="00D86AF5"/>
    <w:rsid w:val="00D87ADB"/>
    <w:rsid w:val="00D9405D"/>
    <w:rsid w:val="00D942D2"/>
    <w:rsid w:val="00D958DF"/>
    <w:rsid w:val="00D97F6B"/>
    <w:rsid w:val="00DA0ABE"/>
    <w:rsid w:val="00DA0C31"/>
    <w:rsid w:val="00DA1362"/>
    <w:rsid w:val="00DA19E1"/>
    <w:rsid w:val="00DA1FB4"/>
    <w:rsid w:val="00DA3016"/>
    <w:rsid w:val="00DA480C"/>
    <w:rsid w:val="00DA5996"/>
    <w:rsid w:val="00DA7272"/>
    <w:rsid w:val="00DA79E3"/>
    <w:rsid w:val="00DB2098"/>
    <w:rsid w:val="00DB341F"/>
    <w:rsid w:val="00DB372E"/>
    <w:rsid w:val="00DB42B2"/>
    <w:rsid w:val="00DB4E98"/>
    <w:rsid w:val="00DB547B"/>
    <w:rsid w:val="00DB5C3F"/>
    <w:rsid w:val="00DB5EC2"/>
    <w:rsid w:val="00DB6DBF"/>
    <w:rsid w:val="00DC227F"/>
    <w:rsid w:val="00DC49CA"/>
    <w:rsid w:val="00DC5B58"/>
    <w:rsid w:val="00DC728E"/>
    <w:rsid w:val="00DC745F"/>
    <w:rsid w:val="00DC746D"/>
    <w:rsid w:val="00DD0AB7"/>
    <w:rsid w:val="00DD227D"/>
    <w:rsid w:val="00DD7747"/>
    <w:rsid w:val="00DE2AE6"/>
    <w:rsid w:val="00DE31FF"/>
    <w:rsid w:val="00DE3580"/>
    <w:rsid w:val="00DE3988"/>
    <w:rsid w:val="00DE59D9"/>
    <w:rsid w:val="00DE6C69"/>
    <w:rsid w:val="00DE7306"/>
    <w:rsid w:val="00DE78BA"/>
    <w:rsid w:val="00DF745D"/>
    <w:rsid w:val="00DF74A0"/>
    <w:rsid w:val="00E00A0C"/>
    <w:rsid w:val="00E07501"/>
    <w:rsid w:val="00E0751E"/>
    <w:rsid w:val="00E11E9B"/>
    <w:rsid w:val="00E12940"/>
    <w:rsid w:val="00E13AC5"/>
    <w:rsid w:val="00E161B4"/>
    <w:rsid w:val="00E217E4"/>
    <w:rsid w:val="00E22AC8"/>
    <w:rsid w:val="00E27F02"/>
    <w:rsid w:val="00E343CB"/>
    <w:rsid w:val="00E348DD"/>
    <w:rsid w:val="00E35440"/>
    <w:rsid w:val="00E364FB"/>
    <w:rsid w:val="00E37209"/>
    <w:rsid w:val="00E40D2A"/>
    <w:rsid w:val="00E4142D"/>
    <w:rsid w:val="00E47ABE"/>
    <w:rsid w:val="00E47B8C"/>
    <w:rsid w:val="00E5382A"/>
    <w:rsid w:val="00E564C5"/>
    <w:rsid w:val="00E57819"/>
    <w:rsid w:val="00E57959"/>
    <w:rsid w:val="00E57D3A"/>
    <w:rsid w:val="00E60C6E"/>
    <w:rsid w:val="00E61C25"/>
    <w:rsid w:val="00E6460F"/>
    <w:rsid w:val="00E646C7"/>
    <w:rsid w:val="00E647BC"/>
    <w:rsid w:val="00E64ABD"/>
    <w:rsid w:val="00E66322"/>
    <w:rsid w:val="00E7135B"/>
    <w:rsid w:val="00E7251C"/>
    <w:rsid w:val="00E728D9"/>
    <w:rsid w:val="00E74E4C"/>
    <w:rsid w:val="00E77230"/>
    <w:rsid w:val="00E83707"/>
    <w:rsid w:val="00E83B3A"/>
    <w:rsid w:val="00E8534E"/>
    <w:rsid w:val="00E85F5F"/>
    <w:rsid w:val="00E86339"/>
    <w:rsid w:val="00E870C0"/>
    <w:rsid w:val="00E90238"/>
    <w:rsid w:val="00E90CEB"/>
    <w:rsid w:val="00E92712"/>
    <w:rsid w:val="00E938C7"/>
    <w:rsid w:val="00E96C67"/>
    <w:rsid w:val="00EA1C78"/>
    <w:rsid w:val="00EA3496"/>
    <w:rsid w:val="00EA35DE"/>
    <w:rsid w:val="00EA565D"/>
    <w:rsid w:val="00EB28E1"/>
    <w:rsid w:val="00EB2A05"/>
    <w:rsid w:val="00EB2CE7"/>
    <w:rsid w:val="00EB6DE4"/>
    <w:rsid w:val="00EB712C"/>
    <w:rsid w:val="00EB7F85"/>
    <w:rsid w:val="00EC1145"/>
    <w:rsid w:val="00EC2DDD"/>
    <w:rsid w:val="00EC311F"/>
    <w:rsid w:val="00EC3800"/>
    <w:rsid w:val="00EC425C"/>
    <w:rsid w:val="00EC46AC"/>
    <w:rsid w:val="00EC5658"/>
    <w:rsid w:val="00EC6AC3"/>
    <w:rsid w:val="00EC6D01"/>
    <w:rsid w:val="00EC6FE5"/>
    <w:rsid w:val="00EC7692"/>
    <w:rsid w:val="00EC7E57"/>
    <w:rsid w:val="00EC7EA3"/>
    <w:rsid w:val="00ED0EBD"/>
    <w:rsid w:val="00ED1822"/>
    <w:rsid w:val="00ED1E51"/>
    <w:rsid w:val="00ED390A"/>
    <w:rsid w:val="00ED5B34"/>
    <w:rsid w:val="00EE13C7"/>
    <w:rsid w:val="00EE3F3A"/>
    <w:rsid w:val="00EF3998"/>
    <w:rsid w:val="00EF437D"/>
    <w:rsid w:val="00EF4F26"/>
    <w:rsid w:val="00EF52F0"/>
    <w:rsid w:val="00EF55CB"/>
    <w:rsid w:val="00F01802"/>
    <w:rsid w:val="00F01C81"/>
    <w:rsid w:val="00F02C5B"/>
    <w:rsid w:val="00F03A20"/>
    <w:rsid w:val="00F05599"/>
    <w:rsid w:val="00F06F3A"/>
    <w:rsid w:val="00F07757"/>
    <w:rsid w:val="00F07FC8"/>
    <w:rsid w:val="00F11373"/>
    <w:rsid w:val="00F1294C"/>
    <w:rsid w:val="00F134B8"/>
    <w:rsid w:val="00F163AF"/>
    <w:rsid w:val="00F20916"/>
    <w:rsid w:val="00F213D6"/>
    <w:rsid w:val="00F2258B"/>
    <w:rsid w:val="00F22909"/>
    <w:rsid w:val="00F23A0A"/>
    <w:rsid w:val="00F255E6"/>
    <w:rsid w:val="00F274F2"/>
    <w:rsid w:val="00F3044B"/>
    <w:rsid w:val="00F31475"/>
    <w:rsid w:val="00F32734"/>
    <w:rsid w:val="00F343B8"/>
    <w:rsid w:val="00F354F4"/>
    <w:rsid w:val="00F35924"/>
    <w:rsid w:val="00F36E24"/>
    <w:rsid w:val="00F40105"/>
    <w:rsid w:val="00F418D6"/>
    <w:rsid w:val="00F4250E"/>
    <w:rsid w:val="00F4313E"/>
    <w:rsid w:val="00F43783"/>
    <w:rsid w:val="00F4416F"/>
    <w:rsid w:val="00F4452A"/>
    <w:rsid w:val="00F456C9"/>
    <w:rsid w:val="00F47151"/>
    <w:rsid w:val="00F47DEE"/>
    <w:rsid w:val="00F51EF7"/>
    <w:rsid w:val="00F537CE"/>
    <w:rsid w:val="00F53FA3"/>
    <w:rsid w:val="00F579B8"/>
    <w:rsid w:val="00F608B3"/>
    <w:rsid w:val="00F62CD2"/>
    <w:rsid w:val="00F63388"/>
    <w:rsid w:val="00F64D7D"/>
    <w:rsid w:val="00F6564C"/>
    <w:rsid w:val="00F665E8"/>
    <w:rsid w:val="00F666FE"/>
    <w:rsid w:val="00F6710D"/>
    <w:rsid w:val="00F67207"/>
    <w:rsid w:val="00F743E8"/>
    <w:rsid w:val="00F749F6"/>
    <w:rsid w:val="00F76AF7"/>
    <w:rsid w:val="00F80D24"/>
    <w:rsid w:val="00F8183C"/>
    <w:rsid w:val="00F82E48"/>
    <w:rsid w:val="00F832D5"/>
    <w:rsid w:val="00F84FF5"/>
    <w:rsid w:val="00F86870"/>
    <w:rsid w:val="00F86B7E"/>
    <w:rsid w:val="00F908AF"/>
    <w:rsid w:val="00F90BA4"/>
    <w:rsid w:val="00F90DA5"/>
    <w:rsid w:val="00F92D5A"/>
    <w:rsid w:val="00F95D04"/>
    <w:rsid w:val="00FA0EE5"/>
    <w:rsid w:val="00FA11B2"/>
    <w:rsid w:val="00FA1382"/>
    <w:rsid w:val="00FA1899"/>
    <w:rsid w:val="00FA19B6"/>
    <w:rsid w:val="00FA2982"/>
    <w:rsid w:val="00FA357F"/>
    <w:rsid w:val="00FA3EB2"/>
    <w:rsid w:val="00FA4A1B"/>
    <w:rsid w:val="00FA62D6"/>
    <w:rsid w:val="00FB055F"/>
    <w:rsid w:val="00FB0B78"/>
    <w:rsid w:val="00FB1CE9"/>
    <w:rsid w:val="00FB24CD"/>
    <w:rsid w:val="00FB3E5A"/>
    <w:rsid w:val="00FB44DD"/>
    <w:rsid w:val="00FC0272"/>
    <w:rsid w:val="00FC0294"/>
    <w:rsid w:val="00FC03BB"/>
    <w:rsid w:val="00FC4603"/>
    <w:rsid w:val="00FC4EF8"/>
    <w:rsid w:val="00FC5FEF"/>
    <w:rsid w:val="00FD1CE8"/>
    <w:rsid w:val="00FD1FAA"/>
    <w:rsid w:val="00FD30FA"/>
    <w:rsid w:val="00FD7108"/>
    <w:rsid w:val="00FD72D3"/>
    <w:rsid w:val="00FE0875"/>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4C42"/>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 w:type="paragraph" w:customStyle="1" w:styleId="NormalArial">
    <w:name w:val="Normal+Arial"/>
    <w:basedOn w:val="Normal"/>
    <w:link w:val="NormalArialChar"/>
    <w:rsid w:val="00771D3F"/>
    <w:rPr>
      <w:rFonts w:ascii="Arial" w:hAnsi="Arial"/>
    </w:rPr>
  </w:style>
  <w:style w:type="character" w:customStyle="1" w:styleId="NormalArialChar">
    <w:name w:val="Normal+Arial Char"/>
    <w:link w:val="NormalArial"/>
    <w:locked/>
    <w:rsid w:val="00771D3F"/>
    <w:rPr>
      <w:rFonts w:ascii="Arial" w:hAnsi="Arial"/>
      <w:sz w:val="24"/>
      <w:szCs w:val="24"/>
    </w:rPr>
  </w:style>
  <w:style w:type="paragraph" w:styleId="NormalWeb">
    <w:name w:val="Normal (Web)"/>
    <w:basedOn w:val="Normal"/>
    <w:uiPriority w:val="99"/>
    <w:unhideWhenUsed/>
    <w:rsid w:val="002D35F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90939">
      <w:bodyDiv w:val="1"/>
      <w:marLeft w:val="0"/>
      <w:marRight w:val="0"/>
      <w:marTop w:val="0"/>
      <w:marBottom w:val="0"/>
      <w:divBdr>
        <w:top w:val="none" w:sz="0" w:space="0" w:color="auto"/>
        <w:left w:val="none" w:sz="0" w:space="0" w:color="auto"/>
        <w:bottom w:val="none" w:sz="0" w:space="0" w:color="auto"/>
        <w:right w:val="none" w:sz="0" w:space="0" w:color="auto"/>
      </w:divBdr>
    </w:div>
    <w:div w:id="98649163">
      <w:bodyDiv w:val="1"/>
      <w:marLeft w:val="0"/>
      <w:marRight w:val="0"/>
      <w:marTop w:val="0"/>
      <w:marBottom w:val="0"/>
      <w:divBdr>
        <w:top w:val="none" w:sz="0" w:space="0" w:color="auto"/>
        <w:left w:val="none" w:sz="0" w:space="0" w:color="auto"/>
        <w:bottom w:val="none" w:sz="0" w:space="0" w:color="auto"/>
        <w:right w:val="none" w:sz="0" w:space="0" w:color="auto"/>
      </w:divBdr>
    </w:div>
    <w:div w:id="189270987">
      <w:bodyDiv w:val="1"/>
      <w:marLeft w:val="0"/>
      <w:marRight w:val="0"/>
      <w:marTop w:val="0"/>
      <w:marBottom w:val="0"/>
      <w:divBdr>
        <w:top w:val="none" w:sz="0" w:space="0" w:color="auto"/>
        <w:left w:val="none" w:sz="0" w:space="0" w:color="auto"/>
        <w:bottom w:val="none" w:sz="0" w:space="0" w:color="auto"/>
        <w:right w:val="none" w:sz="0" w:space="0" w:color="auto"/>
      </w:divBdr>
    </w:div>
    <w:div w:id="248198596">
      <w:bodyDiv w:val="1"/>
      <w:marLeft w:val="0"/>
      <w:marRight w:val="0"/>
      <w:marTop w:val="0"/>
      <w:marBottom w:val="0"/>
      <w:divBdr>
        <w:top w:val="none" w:sz="0" w:space="0" w:color="auto"/>
        <w:left w:val="none" w:sz="0" w:space="0" w:color="auto"/>
        <w:bottom w:val="none" w:sz="0" w:space="0" w:color="auto"/>
        <w:right w:val="none" w:sz="0" w:space="0" w:color="auto"/>
      </w:divBdr>
    </w:div>
    <w:div w:id="596448356">
      <w:bodyDiv w:val="1"/>
      <w:marLeft w:val="0"/>
      <w:marRight w:val="0"/>
      <w:marTop w:val="0"/>
      <w:marBottom w:val="0"/>
      <w:divBdr>
        <w:top w:val="none" w:sz="0" w:space="0" w:color="auto"/>
        <w:left w:val="none" w:sz="0" w:space="0" w:color="auto"/>
        <w:bottom w:val="none" w:sz="0" w:space="0" w:color="auto"/>
        <w:right w:val="none" w:sz="0" w:space="0" w:color="auto"/>
      </w:divBdr>
    </w:div>
    <w:div w:id="624433023">
      <w:bodyDiv w:val="1"/>
      <w:marLeft w:val="0"/>
      <w:marRight w:val="0"/>
      <w:marTop w:val="0"/>
      <w:marBottom w:val="0"/>
      <w:divBdr>
        <w:top w:val="none" w:sz="0" w:space="0" w:color="auto"/>
        <w:left w:val="none" w:sz="0" w:space="0" w:color="auto"/>
        <w:bottom w:val="none" w:sz="0" w:space="0" w:color="auto"/>
        <w:right w:val="none" w:sz="0" w:space="0" w:color="auto"/>
      </w:divBdr>
    </w:div>
    <w:div w:id="771895016">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141366">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815150089">
      <w:bodyDiv w:val="1"/>
      <w:marLeft w:val="0"/>
      <w:marRight w:val="0"/>
      <w:marTop w:val="0"/>
      <w:marBottom w:val="0"/>
      <w:divBdr>
        <w:top w:val="none" w:sz="0" w:space="0" w:color="auto"/>
        <w:left w:val="none" w:sz="0" w:space="0" w:color="auto"/>
        <w:bottom w:val="none" w:sz="0" w:space="0" w:color="auto"/>
        <w:right w:val="none" w:sz="0" w:space="0" w:color="auto"/>
      </w:divBdr>
    </w:div>
    <w:div w:id="833034759">
      <w:bodyDiv w:val="1"/>
      <w:marLeft w:val="0"/>
      <w:marRight w:val="0"/>
      <w:marTop w:val="0"/>
      <w:marBottom w:val="0"/>
      <w:divBdr>
        <w:top w:val="none" w:sz="0" w:space="0" w:color="auto"/>
        <w:left w:val="none" w:sz="0" w:space="0" w:color="auto"/>
        <w:bottom w:val="none" w:sz="0" w:space="0" w:color="auto"/>
        <w:right w:val="none" w:sz="0" w:space="0" w:color="auto"/>
      </w:divBdr>
      <w:divsChild>
        <w:div w:id="639918638">
          <w:marLeft w:val="547"/>
          <w:marRight w:val="0"/>
          <w:marTop w:val="0"/>
          <w:marBottom w:val="0"/>
          <w:divBdr>
            <w:top w:val="none" w:sz="0" w:space="0" w:color="auto"/>
            <w:left w:val="none" w:sz="0" w:space="0" w:color="auto"/>
            <w:bottom w:val="none" w:sz="0" w:space="0" w:color="auto"/>
            <w:right w:val="none" w:sz="0" w:space="0" w:color="auto"/>
          </w:divBdr>
        </w:div>
      </w:divsChild>
    </w:div>
    <w:div w:id="1248222957">
      <w:bodyDiv w:val="1"/>
      <w:marLeft w:val="0"/>
      <w:marRight w:val="0"/>
      <w:marTop w:val="0"/>
      <w:marBottom w:val="0"/>
      <w:divBdr>
        <w:top w:val="none" w:sz="0" w:space="0" w:color="auto"/>
        <w:left w:val="none" w:sz="0" w:space="0" w:color="auto"/>
        <w:bottom w:val="none" w:sz="0" w:space="0" w:color="auto"/>
        <w:right w:val="none" w:sz="0" w:space="0" w:color="auto"/>
      </w:divBdr>
      <w:divsChild>
        <w:div w:id="723405651">
          <w:marLeft w:val="547"/>
          <w:marRight w:val="0"/>
          <w:marTop w:val="0"/>
          <w:marBottom w:val="0"/>
          <w:divBdr>
            <w:top w:val="none" w:sz="0" w:space="0" w:color="auto"/>
            <w:left w:val="none" w:sz="0" w:space="0" w:color="auto"/>
            <w:bottom w:val="none" w:sz="0" w:space="0" w:color="auto"/>
            <w:right w:val="none" w:sz="0" w:space="0" w:color="auto"/>
          </w:divBdr>
        </w:div>
      </w:divsChild>
    </w:div>
    <w:div w:id="1577933546">
      <w:bodyDiv w:val="1"/>
      <w:marLeft w:val="0"/>
      <w:marRight w:val="0"/>
      <w:marTop w:val="0"/>
      <w:marBottom w:val="0"/>
      <w:divBdr>
        <w:top w:val="none" w:sz="0" w:space="0" w:color="auto"/>
        <w:left w:val="none" w:sz="0" w:space="0" w:color="auto"/>
        <w:bottom w:val="none" w:sz="0" w:space="0" w:color="auto"/>
        <w:right w:val="none" w:sz="0" w:space="0" w:color="auto"/>
      </w:divBdr>
    </w:div>
    <w:div w:id="1588730005">
      <w:bodyDiv w:val="1"/>
      <w:marLeft w:val="0"/>
      <w:marRight w:val="0"/>
      <w:marTop w:val="0"/>
      <w:marBottom w:val="0"/>
      <w:divBdr>
        <w:top w:val="none" w:sz="0" w:space="0" w:color="auto"/>
        <w:left w:val="none" w:sz="0" w:space="0" w:color="auto"/>
        <w:bottom w:val="none" w:sz="0" w:space="0" w:color="auto"/>
        <w:right w:val="none" w:sz="0" w:space="0" w:color="auto"/>
      </w:divBdr>
    </w:div>
    <w:div w:id="1601447818">
      <w:bodyDiv w:val="1"/>
      <w:marLeft w:val="0"/>
      <w:marRight w:val="0"/>
      <w:marTop w:val="0"/>
      <w:marBottom w:val="0"/>
      <w:divBdr>
        <w:top w:val="none" w:sz="0" w:space="0" w:color="auto"/>
        <w:left w:val="none" w:sz="0" w:space="0" w:color="auto"/>
        <w:bottom w:val="none" w:sz="0" w:space="0" w:color="auto"/>
        <w:right w:val="none" w:sz="0" w:space="0" w:color="auto"/>
      </w:divBdr>
    </w:div>
    <w:div w:id="1827893588">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 w:id="211308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view.officeapps.live.com/op/view.aspx?src=https%3A%2F%2Fwww.ercot.com%2Ffiles%2Fdocs%2F2024%2F05%2F28%2F1234NPRR-02%2520Impact%2520Analysis%2520052824.docx&amp;wdOrigin=BROWSELINK" TargetMode="External"/><Relationship Id="rId18" Type="http://schemas.openxmlformats.org/officeDocument/2006/relationships/hyperlink" Target="https://view.officeapps.live.com/op/view.aspx?src=https%3A%2F%2Fwww.ercot.com%2Ffiles%2Fdocs%2F2025%2F03%2F03%2F1241NPRR-15-TAC-Report-022725.docx&amp;wdOrigin=BROWSELINK" TargetMode="External"/><Relationship Id="rId26" Type="http://schemas.openxmlformats.org/officeDocument/2006/relationships/hyperlink" Target="https://view.officeapps.live.com/op/view.aspx?src=https%3A%2F%2Fwww.ercot.com%2Ffiles%2Fdocs%2F2025%2F03%2F27%2F1268NPRR-14-TAC-Report-032625.docx&amp;wdOrigin=BROWSELINK" TargetMode="External"/><Relationship Id="rId39" Type="http://schemas.openxmlformats.org/officeDocument/2006/relationships/hyperlink" Target="https://www.ercot.com/mktrules/issues/NOGRR274" TargetMode="External"/><Relationship Id="rId21" Type="http://schemas.openxmlformats.org/officeDocument/2006/relationships/hyperlink" Target="https://view.officeapps.live.com/op/view.aspx?src=https%3A%2F%2Fwww.ercot.com%2Ffiles%2Fdocs%2F2024%2F10%2F14%2F1256NPRR-02%2520Impact%2520Analysis%2520101424.docx&amp;wdOrigin=BROWSELINK" TargetMode="External"/><Relationship Id="rId34" Type="http://schemas.openxmlformats.org/officeDocument/2006/relationships/hyperlink" Target="https://view.officeapps.live.com/op/view.aspx?src=https%3A%2F%2Fwww.ercot.com%2Ffiles%2Fdocs%2F2025%2F03%2F27%2F1273NPRR-06-TAC-Report-032625.docx&amp;wdOrigin=BROWSELINK" TargetMode="External"/><Relationship Id="rId42" Type="http://schemas.openxmlformats.org/officeDocument/2006/relationships/hyperlink" Target="https://view.officeapps.live.com/op/view.aspx?src=https%3A%2F%2Fwww.ercot.com%2Ffiles%2Fdocs%2F2025%2F03%2F27%2F115PGRR-28-TAC-Report-032625.docx&amp;wdOrigin=BROWSELINK" TargetMode="External"/><Relationship Id="rId47" Type="http://schemas.openxmlformats.org/officeDocument/2006/relationships/hyperlink" Target="https://www.ercot.com/mktrules/issues/PGRR119" TargetMode="External"/><Relationship Id="rId50" Type="http://schemas.openxmlformats.org/officeDocument/2006/relationships/hyperlink" Target="https://view.officeapps.live.com/op/view.aspx?src=https%3A%2F%2Fwww.ercot.com%2Ffiles%2Fdocs%2F2025%2F03%2F28%2F829SCR-11-TAC-Report-032625.docx&amp;wdOrigin=BROWSELINK" TargetMode="External"/><Relationship Id="rId55" Type="http://schemas.openxmlformats.org/officeDocument/2006/relationships/hyperlink" Target="https://www.ercot.com/mktrules/issues/SMOGRR028" TargetMode="External"/><Relationship Id="rId63"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ercot.com/mktrules/issues/NPRR1241" TargetMode="External"/><Relationship Id="rId29" Type="http://schemas.openxmlformats.org/officeDocument/2006/relationships/hyperlink" Target="https://view.officeapps.live.com/op/view.aspx?src=https%3A%2F%2Fwww.ercot.com%2Ffiles%2Fdocs%2F2025%2F01%2F28%2F1270NPRR-02%2520Impact%2520Analysis%2520012825.docx&amp;wdOrigin=BROWSELINK" TargetMode="External"/><Relationship Id="rId11" Type="http://schemas.openxmlformats.org/officeDocument/2006/relationships/endnotes" Target="endnotes.xml"/><Relationship Id="rId24" Type="http://schemas.openxmlformats.org/officeDocument/2006/relationships/hyperlink" Target="https://www.ercot.com/mktrules/issues/NPRR1268" TargetMode="External"/><Relationship Id="rId32" Type="http://schemas.openxmlformats.org/officeDocument/2006/relationships/hyperlink" Target="https://www.ercot.com/mktrules/issues/NPRR1273" TargetMode="External"/><Relationship Id="rId37" Type="http://schemas.openxmlformats.org/officeDocument/2006/relationships/hyperlink" Target="https://view.officeapps.live.com/op/view.aspx?src=https%3A%2F%2Fwww.ercot.com%2Ffiles%2Fdocs%2F2025%2F02%2F26%2F274NOGRR-02%2520Impact%2520Analysis%2520022625.docx&amp;wdOrigin=BROWSELINK" TargetMode="External"/><Relationship Id="rId40" Type="http://schemas.openxmlformats.org/officeDocument/2006/relationships/hyperlink" Target="https://www.ercot.com/mktrules/issues/PGRR115" TargetMode="External"/><Relationship Id="rId45" Type="http://schemas.openxmlformats.org/officeDocument/2006/relationships/hyperlink" Target="https://view.officeapps.live.com/op/view.aspx?src=https%3A%2F%2Fwww.ercot.com%2Ffiles%2Fdocs%2F2024%2F09%2F09%2F119PGRR-02%2520Impact%2520Analysis%2520090924.docx&amp;wdOrigin=BROWSELINK" TargetMode="External"/><Relationship Id="rId53" Type="http://schemas.openxmlformats.org/officeDocument/2006/relationships/hyperlink" Target="https://view.officeapps.live.com/op/view.aspx?src=https%3A%2F%2Fwww.ercot.com%2Ffiles%2Fdocs%2F2025%2F02%2F20%2F028SMOGRR-07%2520Impact%2520Analysis%2520022025.docx&amp;wdOrigin=BROWSELINK" TargetMode="External"/><Relationship Id="rId58" Type="http://schemas.openxmlformats.org/officeDocument/2006/relationships/hyperlink" Target="https://view.officeapps.live.com/op/view.aspx?src=https%3A%2F%2Fwww.ercot.com%2Ffiles%2Fdocs%2F2025%2F03%2F28%2F042VCMRR-18-TAC-Report-022725-v2.docx&amp;wdOrigin=BROWSELINK" TargetMode="External"/><Relationship Id="rId5" Type="http://schemas.openxmlformats.org/officeDocument/2006/relationships/customXml" Target="../customXml/item5.xml"/><Relationship Id="rId61" Type="http://schemas.openxmlformats.org/officeDocument/2006/relationships/header" Target="header1.xml"/><Relationship Id="rId19" Type="http://schemas.openxmlformats.org/officeDocument/2006/relationships/hyperlink" Target="https://www.ercot.com/mktrules/issues/NPRR1241" TargetMode="External"/><Relationship Id="rId14" Type="http://schemas.openxmlformats.org/officeDocument/2006/relationships/hyperlink" Target="https://view.officeapps.live.com/op/view.aspx?src=https%3A%2F%2Fwww.ercot.com%2Ffiles%2Fdocs%2F2025%2F03%2F27%2F1234NPRR-24-TAC-Report-032625.docx&amp;wdOrigin=BROWSELINK" TargetMode="External"/><Relationship Id="rId22" Type="http://schemas.openxmlformats.org/officeDocument/2006/relationships/hyperlink" Target="https://view.officeapps.live.com/op/view.aspx?src=https%3A%2F%2Fwww.ercot.com%2Ffiles%2Fdocs%2F2025%2F03%2F27%2F1256NPRR-15-TAC-Report-032625.docx&amp;wdOrigin=BROWSELINK" TargetMode="External"/><Relationship Id="rId27" Type="http://schemas.openxmlformats.org/officeDocument/2006/relationships/hyperlink" Target="https://www.ercot.com/mktrules/issues/NPRR1268" TargetMode="External"/><Relationship Id="rId30" Type="http://schemas.openxmlformats.org/officeDocument/2006/relationships/hyperlink" Target="https://view.officeapps.live.com/op/view.aspx?src=https%3A%2F%2Fwww.ercot.com%2Ffiles%2Fdocs%2F2025%2F03%2F27%2F1270NPRR-08-TAC-Report-032625.docx&amp;wdOrigin=BROWSELINK" TargetMode="External"/><Relationship Id="rId35" Type="http://schemas.openxmlformats.org/officeDocument/2006/relationships/hyperlink" Target="https://www.ercot.com/mktrules/issues/NPRR1273" TargetMode="External"/><Relationship Id="rId43" Type="http://schemas.openxmlformats.org/officeDocument/2006/relationships/hyperlink" Target="https://www.ercot.com/mktrules/issues/PGRR115" TargetMode="External"/><Relationship Id="rId48" Type="http://schemas.openxmlformats.org/officeDocument/2006/relationships/hyperlink" Target="https://www.ercot.com/mktrules/issues/SCR829" TargetMode="External"/><Relationship Id="rId56" Type="http://schemas.openxmlformats.org/officeDocument/2006/relationships/hyperlink" Target="https://www.ercot.com/mktrules/issues/VCMRR042" TargetMode="External"/><Relationship Id="rId64"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s://www.ercot.com/mktrules/issues/SCR829" TargetMode="External"/><Relationship Id="rId3" Type="http://schemas.openxmlformats.org/officeDocument/2006/relationships/customXml" Target="../customXml/item3.xml"/><Relationship Id="rId12" Type="http://schemas.openxmlformats.org/officeDocument/2006/relationships/hyperlink" Target="https://www.ercot.com/mktrules/issues/NPRR1234" TargetMode="External"/><Relationship Id="rId17" Type="http://schemas.openxmlformats.org/officeDocument/2006/relationships/hyperlink" Target="https://view.officeapps.live.com/op/view.aspx?src=https%3A%2F%2Fwww.ercot.com%2Ffiles%2Fdocs%2F2025%2F01%2F28%2F1241NPRR-11%2520Impact%2520Analysis%2520012825.docx&amp;wdOrigin=BROWSELINK" TargetMode="External"/><Relationship Id="rId25" Type="http://schemas.openxmlformats.org/officeDocument/2006/relationships/hyperlink" Target="https://view.officeapps.live.com/op/view.aspx?src=https%3A%2F%2Fwww.ercot.com%2Ffiles%2Fdocs%2F2025%2F03%2F18%2F1268NPRR-11-Impact-Analysis-031825.docx&amp;wdOrigin=BROWSELINK" TargetMode="External"/><Relationship Id="rId33" Type="http://schemas.openxmlformats.org/officeDocument/2006/relationships/hyperlink" Target="https://view.officeapps.live.com/op/view.aspx?src=https%3A%2F%2Fwww.ercot.com%2Ffiles%2Fdocs%2F2025%2F02%2F12%2F1273NPRR-02%2520Impact%2520Analysis%2520021225_1.docx&amp;wdOrigin=BROWSELINK" TargetMode="External"/><Relationship Id="rId38" Type="http://schemas.openxmlformats.org/officeDocument/2006/relationships/hyperlink" Target="https://view.officeapps.live.com/op/view.aspx?src=https%3A%2F%2Fwww.ercot.com%2Ffiles%2Fdocs%2F2025%2F03%2F27%2F274NOGRR-06-TAC-Report-032625.docx&amp;wdOrigin=BROWSELINK" TargetMode="External"/><Relationship Id="rId46" Type="http://schemas.openxmlformats.org/officeDocument/2006/relationships/hyperlink" Target="https://view.officeapps.live.com/op/view.aspx?src=https%3A%2F%2Fwww.ercot.com%2Ffiles%2Fdocs%2F2025%2F03%2F28%2F119PGRR-13-TAC-Report-032625.docx&amp;wdOrigin=BROWSELINK" TargetMode="External"/><Relationship Id="rId59" Type="http://schemas.openxmlformats.org/officeDocument/2006/relationships/hyperlink" Target="https://www.ercot.com/mktrules/issues/VCMRR042" TargetMode="External"/><Relationship Id="rId20" Type="http://schemas.openxmlformats.org/officeDocument/2006/relationships/hyperlink" Target="https://www.ercot.com/mktrules/issues/NPRR1256" TargetMode="External"/><Relationship Id="rId41" Type="http://schemas.openxmlformats.org/officeDocument/2006/relationships/hyperlink" Target="https://view.officeapps.live.com/op/view.aspx?src=https%3A%2F%2Fwww.ercot.com%2Ffiles%2Fdocs%2F2024%2F05%2F28%2F115PGRR-02%2520Impact%2520Analysis%2520052824.docx&amp;wdOrigin=BROWSELINK" TargetMode="External"/><Relationship Id="rId54" Type="http://schemas.openxmlformats.org/officeDocument/2006/relationships/hyperlink" Target="https://view.officeapps.live.com/op/view.aspx?src=https%3A%2F%2Fwww.ercot.com%2Ffiles%2Fdocs%2F2025%2F03%2F28%2F028SMOGRR-11-TAC-Report-032625.docx&amp;wdOrigin=BROWSELINK"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ercot.com/mktrules/issues/NPRR1234" TargetMode="External"/><Relationship Id="rId23" Type="http://schemas.openxmlformats.org/officeDocument/2006/relationships/hyperlink" Target="https://www.ercot.com/mktrules/issues/NPRR1256" TargetMode="External"/><Relationship Id="rId28" Type="http://schemas.openxmlformats.org/officeDocument/2006/relationships/hyperlink" Target="https://www.ercot.com/mktrules/issues/NPRR1270" TargetMode="External"/><Relationship Id="rId36" Type="http://schemas.openxmlformats.org/officeDocument/2006/relationships/hyperlink" Target="https://www.ercot.com/mktrules/issues/NOGRR274" TargetMode="External"/><Relationship Id="rId49" Type="http://schemas.openxmlformats.org/officeDocument/2006/relationships/hyperlink" Target="https://view.officeapps.live.com/op/view.aspx?src=https%3A%2F%2Fwww.ercot.com%2Ffiles%2Fdocs%2F2025%2F03%2F11%2F829SCR-07-Impact-Analysis-031125.docx&amp;wdOrigin=BROWSELINK" TargetMode="External"/><Relationship Id="rId57" Type="http://schemas.openxmlformats.org/officeDocument/2006/relationships/hyperlink" Target="https://view.officeapps.live.com/op/view.aspx?src=https%3A%2F%2Fwww.ercot.com%2Ffiles%2Fdocs%2F2025%2F01%2F31%2F042VCMRR-11%2520Impact%2520Analysis%2520013125.docx&amp;wdOrigin=BROWSELINK" TargetMode="External"/><Relationship Id="rId10" Type="http://schemas.openxmlformats.org/officeDocument/2006/relationships/footnotes" Target="footnotes.xml"/><Relationship Id="rId31" Type="http://schemas.openxmlformats.org/officeDocument/2006/relationships/hyperlink" Target="https://www.ercot.com/mktrules/issues/NPRR1270" TargetMode="External"/><Relationship Id="rId44" Type="http://schemas.openxmlformats.org/officeDocument/2006/relationships/hyperlink" Target="https://www.ercot.com/mktrules/issues/PGRR119" TargetMode="External"/><Relationship Id="rId52" Type="http://schemas.openxmlformats.org/officeDocument/2006/relationships/hyperlink" Target="https://www.ercot.com/mktrules/issues/SMOGRR028" TargetMode="External"/><Relationship Id="rId60" Type="http://schemas.openxmlformats.org/officeDocument/2006/relationships/hyperlink" Target="https://www.ercot.com/calendar/04082025-Board-of-Directors-Meeting"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2.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3.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4.xml><?xml version="1.0" encoding="utf-8"?>
<ds:datastoreItem xmlns:ds="http://schemas.openxmlformats.org/officeDocument/2006/customXml" ds:itemID="{41B97500-9472-4C36-99B5-7068030F4C31}">
  <ds:schemaRefs>
    <ds:schemaRef ds:uri="http://schemas.microsoft.com/office/2006/metadata/properties"/>
    <ds:schemaRef ds:uri="http://schemas.microsoft.com/office/infopath/2007/PartnerControls"/>
    <ds:schemaRef ds:uri="c34af464-7aa1-4edd-9be4-83dffc1cb926"/>
  </ds:schemaRefs>
</ds:datastoreItem>
</file>

<file path=customXml/itemProps5.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3036</Words>
  <Characters>24572</Characters>
  <Application>Microsoft Office Word</Application>
  <DocSecurity>0</DocSecurity>
  <Lines>585</Lines>
  <Paragraphs>214</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27394</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Ebbs, Penney</cp:lastModifiedBy>
  <cp:revision>3</cp:revision>
  <cp:lastPrinted>2019-09-26T13:16:00Z</cp:lastPrinted>
  <dcterms:created xsi:type="dcterms:W3CDTF">2025-03-28T19:13:00Z</dcterms:created>
  <dcterms:modified xsi:type="dcterms:W3CDTF">2025-03-28T19:27:00Z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y fmtid="{D5CDD505-2E9C-101B-9397-08002B2CF9AE}" pid="8" name="MSIP_Label_7084cbda-52b8-46fb-a7b7-cb5bd465ed85_Enabled">
    <vt:lpwstr>true</vt:lpwstr>
  </property>
  <property fmtid="{D5CDD505-2E9C-101B-9397-08002B2CF9AE}" pid="9" name="MSIP_Label_7084cbda-52b8-46fb-a7b7-cb5bd465ed85_SetDate">
    <vt:lpwstr>2023-07-31T14:45:16Z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b4c3efcd-60e4-4f02-b59e-ed0a7d7f849f</vt:lpwstr>
  </property>
  <property fmtid="{D5CDD505-2E9C-101B-9397-08002B2CF9AE}" pid="14" name="MSIP_Label_7084cbda-52b8-46fb-a7b7-cb5bd465ed85_ContentBits">
    <vt:lpwstr>0</vt:lpwstr>
  </property>
</Properties>
</file>