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0105FD4F" w:rsidR="00F80C33" w:rsidRDefault="00B83130">
      <w:pPr>
        <w:pStyle w:val="BodyText"/>
        <w:jc w:val="center"/>
        <w:rPr>
          <w:b/>
          <w:szCs w:val="24"/>
        </w:rPr>
      </w:pPr>
      <w:r>
        <w:rPr>
          <w:b/>
          <w:szCs w:val="24"/>
        </w:rPr>
        <w:t>February</w:t>
      </w:r>
      <w:r w:rsidR="00763C79">
        <w:rPr>
          <w:b/>
          <w:szCs w:val="24"/>
        </w:rPr>
        <w:t xml:space="preserve"> 1</w:t>
      </w:r>
      <w:r w:rsidR="00057B6E">
        <w:rPr>
          <w:b/>
          <w:szCs w:val="24"/>
        </w:rPr>
        <w:t>, 20</w:t>
      </w:r>
      <w:r w:rsidR="00533E48">
        <w:rPr>
          <w:b/>
          <w:szCs w:val="24"/>
        </w:rPr>
        <w:t>2</w:t>
      </w:r>
      <w:r>
        <w:rPr>
          <w:b/>
          <w:szCs w:val="24"/>
        </w:rPr>
        <w:t>5</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6CE536D6"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3B7268">
          <w:rPr>
            <w:webHidden/>
          </w:rPr>
          <w:t>5-1</w:t>
        </w:r>
        <w:r w:rsidR="00300C4D">
          <w:rPr>
            <w:webHidden/>
          </w:rPr>
          <w:fldChar w:fldCharType="end"/>
        </w:r>
      </w:hyperlink>
    </w:p>
    <w:p w14:paraId="481BC33D" w14:textId="5C06965A" w:rsidR="00300C4D" w:rsidRPr="006D1005" w:rsidRDefault="003B7268">
      <w:pPr>
        <w:pStyle w:val="TOC2"/>
        <w:rPr>
          <w:rFonts w:asciiTheme="minorHAnsi" w:eastAsiaTheme="minorEastAsia" w:hAnsiTheme="minorHAnsi" w:cstheme="minorBidi"/>
          <w:noProof/>
        </w:rPr>
      </w:pPr>
      <w:hyperlink w:anchor="_Toc60038328" w:history="1">
        <w:r w:rsidR="00300C4D" w:rsidRPr="006D1005">
          <w:rPr>
            <w:rStyle w:val="Hyperlink"/>
            <w:noProof/>
          </w:rPr>
          <w:t>5.1</w:t>
        </w:r>
        <w:r w:rsidR="00300C4D" w:rsidRPr="006D1005">
          <w:rPr>
            <w:rFonts w:asciiTheme="minorHAnsi" w:eastAsiaTheme="minorEastAsia" w:hAnsiTheme="minorHAnsi" w:cstheme="minorBidi"/>
            <w:noProof/>
          </w:rPr>
          <w:tab/>
        </w:r>
        <w:r w:rsidR="00300C4D" w:rsidRPr="006D1005">
          <w:rPr>
            <w:rStyle w:val="Hyperlink"/>
            <w:noProof/>
          </w:rPr>
          <w:t>Introduction</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_Toc60038328 \h </w:instrText>
        </w:r>
        <w:r w:rsidR="00300C4D" w:rsidRPr="006D1005">
          <w:rPr>
            <w:noProof/>
            <w:webHidden/>
          </w:rPr>
        </w:r>
        <w:r w:rsidR="00300C4D" w:rsidRPr="006D1005">
          <w:rPr>
            <w:noProof/>
            <w:webHidden/>
          </w:rPr>
          <w:fldChar w:fldCharType="separate"/>
        </w:r>
        <w:r>
          <w:rPr>
            <w:noProof/>
            <w:webHidden/>
          </w:rPr>
          <w:t>5-1</w:t>
        </w:r>
        <w:r w:rsidR="00300C4D" w:rsidRPr="006D1005">
          <w:rPr>
            <w:noProof/>
            <w:webHidden/>
          </w:rPr>
          <w:fldChar w:fldCharType="end"/>
        </w:r>
      </w:hyperlink>
    </w:p>
    <w:p w14:paraId="6C1DE9AD" w14:textId="66BE0505" w:rsidR="00300C4D" w:rsidRPr="006D1005" w:rsidRDefault="003B7268">
      <w:pPr>
        <w:pStyle w:val="TOC2"/>
        <w:rPr>
          <w:rFonts w:asciiTheme="minorHAnsi" w:eastAsiaTheme="minorEastAsia" w:hAnsiTheme="minorHAnsi" w:cstheme="minorBidi"/>
          <w:noProof/>
        </w:rPr>
      </w:pPr>
      <w:hyperlink w:anchor="_Toc60038329" w:history="1">
        <w:r w:rsidR="00300C4D" w:rsidRPr="006D1005">
          <w:rPr>
            <w:rStyle w:val="Hyperlink"/>
            <w:noProof/>
          </w:rPr>
          <w:t>5.2</w:t>
        </w:r>
        <w:r w:rsidR="00300C4D" w:rsidRPr="006D1005">
          <w:rPr>
            <w:rFonts w:asciiTheme="minorHAnsi" w:eastAsiaTheme="minorEastAsia" w:hAnsiTheme="minorHAnsi" w:cstheme="minorBidi"/>
            <w:noProof/>
          </w:rPr>
          <w:tab/>
        </w:r>
        <w:r w:rsidR="00300C4D" w:rsidRPr="006D1005">
          <w:rPr>
            <w:rStyle w:val="Hyperlink"/>
            <w:noProof/>
          </w:rPr>
          <w:t>Reliability Unit Commitment Timeline Summary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_Toc60038329 \h </w:instrText>
        </w:r>
        <w:r w:rsidR="00300C4D" w:rsidRPr="006D1005">
          <w:rPr>
            <w:noProof/>
            <w:webHidden/>
          </w:rPr>
        </w:r>
        <w:r w:rsidR="00300C4D" w:rsidRPr="006D1005">
          <w:rPr>
            <w:noProof/>
            <w:webHidden/>
          </w:rPr>
          <w:fldChar w:fldCharType="separate"/>
        </w:r>
        <w:r>
          <w:rPr>
            <w:noProof/>
            <w:webHidden/>
          </w:rPr>
          <w:t>5-3</w:t>
        </w:r>
        <w:r w:rsidR="00300C4D" w:rsidRPr="006D1005">
          <w:rPr>
            <w:noProof/>
            <w:webHidden/>
          </w:rPr>
          <w:fldChar w:fldCharType="end"/>
        </w:r>
      </w:hyperlink>
    </w:p>
    <w:p w14:paraId="529A8EFA" w14:textId="0840B093" w:rsidR="00300C4D" w:rsidRPr="006D1005" w:rsidRDefault="003B7268">
      <w:pPr>
        <w:pStyle w:val="TOC3"/>
        <w:rPr>
          <w:rFonts w:asciiTheme="minorHAnsi" w:eastAsiaTheme="minorEastAsia" w:hAnsiTheme="minorHAnsi" w:cstheme="minorBidi"/>
          <w:i w:val="0"/>
          <w:iCs w:val="0"/>
          <w:noProof/>
        </w:rPr>
      </w:pPr>
      <w:hyperlink w:anchor="_Toc60038330" w:history="1">
        <w:r w:rsidR="00300C4D" w:rsidRPr="006D1005">
          <w:rPr>
            <w:rStyle w:val="Hyperlink"/>
            <w:bCs/>
            <w:i w:val="0"/>
            <w:iCs w:val="0"/>
            <w:noProof/>
          </w:rPr>
          <w:t>5.2.1</w:t>
        </w:r>
        <w:r w:rsidR="00300C4D" w:rsidRPr="006D1005">
          <w:rPr>
            <w:rFonts w:asciiTheme="minorHAnsi" w:eastAsiaTheme="minorEastAsia" w:hAnsiTheme="minorHAnsi" w:cstheme="minorBidi"/>
            <w:i w:val="0"/>
            <w:iCs w:val="0"/>
            <w:noProof/>
          </w:rPr>
          <w:tab/>
        </w:r>
        <w:r w:rsidR="00300C4D" w:rsidRPr="006D1005">
          <w:rPr>
            <w:rStyle w:val="Hyperlink"/>
            <w:bCs/>
            <w:i w:val="0"/>
            <w:iCs w:val="0"/>
            <w:noProof/>
          </w:rPr>
          <w:t>RUC Normal Timeline Summary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w:t>
        </w:r>
        <w:r w:rsidR="00300C4D" w:rsidRPr="006D1005">
          <w:rPr>
            <w:i w:val="0"/>
            <w:iCs w:val="0"/>
            <w:noProof/>
            <w:webHidden/>
          </w:rPr>
          <w:fldChar w:fldCharType="end"/>
        </w:r>
      </w:hyperlink>
    </w:p>
    <w:p w14:paraId="0E6BF3DA" w14:textId="6A423BF7" w:rsidR="00300C4D" w:rsidRPr="006D1005" w:rsidRDefault="003B7268">
      <w:pPr>
        <w:pStyle w:val="TOC3"/>
        <w:rPr>
          <w:rFonts w:asciiTheme="minorHAnsi" w:eastAsiaTheme="minorEastAsia" w:hAnsiTheme="minorHAnsi" w:cstheme="minorBidi"/>
          <w:i w:val="0"/>
          <w:iCs w:val="0"/>
          <w:noProof/>
        </w:rPr>
      </w:pPr>
      <w:hyperlink w:anchor="_Toc60038331" w:history="1">
        <w:r w:rsidR="00300C4D" w:rsidRPr="006D1005">
          <w:rPr>
            <w:rStyle w:val="Hyperlink"/>
            <w:i w:val="0"/>
            <w:iCs w:val="0"/>
            <w:noProof/>
          </w:rPr>
          <w:t>5.2.2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Process Timing Deviations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_Toc60038331 \h </w:instrText>
        </w:r>
        <w:r w:rsidR="00300C4D" w:rsidRPr="006D1005">
          <w:rPr>
            <w:i w:val="0"/>
            <w:iCs w:val="0"/>
            <w:noProof/>
            <w:webHidden/>
          </w:rPr>
        </w:r>
        <w:r w:rsidR="00300C4D" w:rsidRPr="006D1005">
          <w:rPr>
            <w:i w:val="0"/>
            <w:iCs w:val="0"/>
            <w:noProof/>
            <w:webHidden/>
          </w:rPr>
          <w:fldChar w:fldCharType="separate"/>
        </w:r>
        <w:r>
          <w:rPr>
            <w:i w:val="0"/>
            <w:iCs w:val="0"/>
            <w:noProof/>
            <w:webHidden/>
          </w:rPr>
          <w:t>5-4</w:t>
        </w:r>
        <w:r w:rsidR="00300C4D" w:rsidRPr="006D1005">
          <w:rPr>
            <w:i w:val="0"/>
            <w:iCs w:val="0"/>
            <w:noProof/>
            <w:webHidden/>
          </w:rPr>
          <w:fldChar w:fldCharType="end"/>
        </w:r>
      </w:hyperlink>
    </w:p>
    <w:p w14:paraId="5E769C4E" w14:textId="2B3D4B52" w:rsidR="00300C4D" w:rsidRPr="006D1005" w:rsidRDefault="003B7268">
      <w:pPr>
        <w:pStyle w:val="TOC4"/>
        <w:rPr>
          <w:rFonts w:asciiTheme="minorHAnsi" w:eastAsiaTheme="minorEastAsia" w:hAnsiTheme="minorHAnsi" w:cstheme="minorBidi"/>
          <w:noProof/>
          <w:sz w:val="20"/>
          <w:szCs w:val="20"/>
        </w:rPr>
      </w:pPr>
      <w:hyperlink w:anchor="_Toc60038332" w:history="1">
        <w:r w:rsidR="00300C4D" w:rsidRPr="006D1005">
          <w:rPr>
            <w:rStyle w:val="Hyperlink"/>
            <w:bCs/>
            <w:noProof/>
            <w:sz w:val="20"/>
            <w:szCs w:val="20"/>
          </w:rPr>
          <w:t>5.2.2.1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 Delay of the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_Toc60038332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w:t>
        </w:r>
        <w:r w:rsidR="00300C4D" w:rsidRPr="006D1005">
          <w:rPr>
            <w:noProof/>
            <w:webHidden/>
            <w:sz w:val="20"/>
            <w:szCs w:val="20"/>
          </w:rPr>
          <w:fldChar w:fldCharType="end"/>
        </w:r>
      </w:hyperlink>
    </w:p>
    <w:p w14:paraId="07573953" w14:textId="08E49E0F" w:rsidR="00300C4D" w:rsidRPr="006D1005" w:rsidRDefault="003B7268">
      <w:pPr>
        <w:pStyle w:val="TOC4"/>
        <w:rPr>
          <w:rFonts w:asciiTheme="minorHAnsi" w:eastAsiaTheme="minorEastAsia" w:hAnsiTheme="minorHAnsi" w:cstheme="minorBidi"/>
          <w:noProof/>
          <w:sz w:val="20"/>
          <w:szCs w:val="20"/>
        </w:rPr>
      </w:pPr>
      <w:hyperlink w:anchor="_Toc60038333" w:history="1">
        <w:r w:rsidR="00300C4D" w:rsidRPr="006D1005">
          <w:rPr>
            <w:rStyle w:val="Hyperlink"/>
            <w:noProof/>
            <w:sz w:val="20"/>
            <w:szCs w:val="20"/>
          </w:rPr>
          <w:t>5.2.2.2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an Aborted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5-5</w:t>
        </w:r>
        <w:r w:rsidR="00300C4D" w:rsidRPr="006D1005">
          <w:rPr>
            <w:noProof/>
            <w:webHidden/>
            <w:sz w:val="20"/>
            <w:szCs w:val="20"/>
          </w:rPr>
          <w:fldChar w:fldCharType="end"/>
        </w:r>
      </w:hyperlink>
    </w:p>
    <w:p w14:paraId="606DAE9D" w14:textId="1D0414D7" w:rsidR="00300C4D" w:rsidRPr="006D1005" w:rsidRDefault="003B7268">
      <w:pPr>
        <w:pStyle w:val="TOC2"/>
        <w:rPr>
          <w:rFonts w:asciiTheme="minorHAnsi" w:eastAsiaTheme="minorEastAsia" w:hAnsiTheme="minorHAnsi" w:cstheme="minorBidi"/>
          <w:noProof/>
        </w:rPr>
      </w:pPr>
      <w:hyperlink w:anchor="_Toc60038335" w:history="1">
        <w:r w:rsidR="00300C4D" w:rsidRPr="006D1005">
          <w:rPr>
            <w:rStyle w:val="Hyperlink"/>
            <w:noProof/>
          </w:rPr>
          <w:t>5.3</w:t>
        </w:r>
        <w:r w:rsidR="00300C4D" w:rsidRPr="006D1005">
          <w:rPr>
            <w:rFonts w:asciiTheme="minorHAnsi" w:eastAsiaTheme="minorEastAsia" w:hAnsiTheme="minorHAnsi" w:cstheme="minorBidi"/>
            <w:noProof/>
          </w:rPr>
          <w:tab/>
        </w:r>
        <w:r w:rsidR="00300C4D" w:rsidRPr="006D1005">
          <w:rPr>
            <w:rStyle w:val="Hyperlink"/>
            <w:noProof/>
          </w:rPr>
          <w:t>ERCOT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_Toc60038335 \h </w:instrText>
        </w:r>
        <w:r w:rsidR="00300C4D" w:rsidRPr="006D1005">
          <w:rPr>
            <w:noProof/>
            <w:webHidden/>
          </w:rPr>
        </w:r>
        <w:r w:rsidR="00300C4D" w:rsidRPr="006D1005">
          <w:rPr>
            <w:noProof/>
            <w:webHidden/>
          </w:rPr>
          <w:fldChar w:fldCharType="separate"/>
        </w:r>
        <w:r>
          <w:rPr>
            <w:noProof/>
            <w:webHidden/>
          </w:rPr>
          <w:t>5-7</w:t>
        </w:r>
        <w:r w:rsidR="00300C4D" w:rsidRPr="006D1005">
          <w:rPr>
            <w:noProof/>
            <w:webHidden/>
          </w:rPr>
          <w:fldChar w:fldCharType="end"/>
        </w:r>
      </w:hyperlink>
    </w:p>
    <w:p w14:paraId="6AD09AFE" w14:textId="469E0E4E" w:rsidR="00300C4D" w:rsidRPr="006D1005" w:rsidRDefault="003B7268">
      <w:pPr>
        <w:pStyle w:val="TOC2"/>
        <w:rPr>
          <w:rFonts w:asciiTheme="minorHAnsi" w:eastAsiaTheme="minorEastAsia" w:hAnsiTheme="minorHAnsi" w:cstheme="minorBidi"/>
          <w:noProof/>
        </w:rPr>
      </w:pPr>
      <w:hyperlink w:anchor="_Toc60038336" w:history="1">
        <w:r w:rsidR="00300C4D" w:rsidRPr="006D1005">
          <w:rPr>
            <w:rStyle w:val="Hyperlink"/>
            <w:noProof/>
          </w:rPr>
          <w:t>5.4</w:t>
        </w:r>
        <w:r w:rsidR="00300C4D" w:rsidRPr="006D1005">
          <w:rPr>
            <w:rFonts w:asciiTheme="minorHAnsi" w:eastAsiaTheme="minorEastAsia" w:hAnsiTheme="minorHAnsi" w:cstheme="minorBidi"/>
            <w:noProof/>
          </w:rPr>
          <w:tab/>
        </w:r>
        <w:r w:rsidR="00300C4D" w:rsidRPr="006D1005">
          <w:rPr>
            <w:rStyle w:val="Hyperlink"/>
            <w:noProof/>
          </w:rPr>
          <w:t>QSE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_Toc60038336 \h </w:instrText>
        </w:r>
        <w:r w:rsidR="00300C4D" w:rsidRPr="006D1005">
          <w:rPr>
            <w:noProof/>
            <w:webHidden/>
          </w:rPr>
        </w:r>
        <w:r w:rsidR="00300C4D" w:rsidRPr="006D1005">
          <w:rPr>
            <w:noProof/>
            <w:webHidden/>
          </w:rPr>
          <w:fldChar w:fldCharType="separate"/>
        </w:r>
        <w:r>
          <w:rPr>
            <w:noProof/>
            <w:webHidden/>
          </w:rPr>
          <w:t>5-9</w:t>
        </w:r>
        <w:r w:rsidR="00300C4D" w:rsidRPr="006D1005">
          <w:rPr>
            <w:noProof/>
            <w:webHidden/>
          </w:rPr>
          <w:fldChar w:fldCharType="end"/>
        </w:r>
      </w:hyperlink>
    </w:p>
    <w:p w14:paraId="5FD6F9EF" w14:textId="668D9B1D" w:rsidR="00300C4D" w:rsidRPr="006D1005" w:rsidRDefault="003B7268">
      <w:pPr>
        <w:pStyle w:val="TOC3"/>
        <w:rPr>
          <w:rFonts w:asciiTheme="minorHAnsi" w:eastAsiaTheme="minorEastAsia" w:hAnsiTheme="minorHAnsi" w:cstheme="minorBidi"/>
          <w:i w:val="0"/>
          <w:iCs w:val="0"/>
          <w:noProof/>
        </w:rPr>
      </w:pPr>
      <w:hyperlink w:anchor="_Toc60038337" w:history="1">
        <w:r w:rsidR="00300C4D" w:rsidRPr="006D1005">
          <w:rPr>
            <w:rStyle w:val="Hyperlink"/>
            <w:i w:val="0"/>
            <w:iCs w:val="0"/>
            <w:noProof/>
          </w:rPr>
          <w:t>5.4.1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Ancillary Service Positions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5-10</w:t>
        </w:r>
        <w:r w:rsidR="00300C4D" w:rsidRPr="006D1005">
          <w:rPr>
            <w:i w:val="0"/>
            <w:iCs w:val="0"/>
            <w:noProof/>
            <w:webHidden/>
          </w:rPr>
          <w:fldChar w:fldCharType="end"/>
        </w:r>
      </w:hyperlink>
    </w:p>
    <w:p w14:paraId="553F22CF" w14:textId="43D067C9" w:rsidR="00300C4D" w:rsidRPr="006D1005" w:rsidRDefault="003B7268">
      <w:pPr>
        <w:pStyle w:val="TOC2"/>
        <w:rPr>
          <w:rFonts w:asciiTheme="minorHAnsi" w:eastAsiaTheme="minorEastAsia" w:hAnsiTheme="minorHAnsi" w:cstheme="minorBidi"/>
          <w:noProof/>
        </w:rPr>
      </w:pPr>
      <w:hyperlink w:anchor="_Toc60038338" w:history="1">
        <w:r w:rsidR="00300C4D" w:rsidRPr="006D1005">
          <w:rPr>
            <w:rStyle w:val="Hyperlink"/>
            <w:noProof/>
          </w:rPr>
          <w:t>5.5</w:t>
        </w:r>
        <w:r w:rsidR="00300C4D" w:rsidRPr="006D1005">
          <w:rPr>
            <w:rFonts w:asciiTheme="minorHAnsi" w:eastAsiaTheme="minorEastAsia" w:hAnsiTheme="minorHAnsi" w:cstheme="minorBidi"/>
            <w:noProof/>
          </w:rPr>
          <w:tab/>
        </w:r>
        <w:r w:rsidR="00300C4D" w:rsidRPr="006D1005">
          <w:rPr>
            <w:rStyle w:val="Hyperlink"/>
            <w:noProof/>
          </w:rPr>
          <w:t>Security Sequence, Including RUC</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_Toc60038338 \h </w:instrText>
        </w:r>
        <w:r w:rsidR="00300C4D" w:rsidRPr="006D1005">
          <w:rPr>
            <w:noProof/>
            <w:webHidden/>
          </w:rPr>
        </w:r>
        <w:r w:rsidR="00300C4D" w:rsidRPr="006D1005">
          <w:rPr>
            <w:noProof/>
            <w:webHidden/>
          </w:rPr>
          <w:fldChar w:fldCharType="separate"/>
        </w:r>
        <w:r>
          <w:rPr>
            <w:noProof/>
            <w:webHidden/>
          </w:rPr>
          <w:t>5-10</w:t>
        </w:r>
        <w:r w:rsidR="00300C4D" w:rsidRPr="006D1005">
          <w:rPr>
            <w:noProof/>
            <w:webHidden/>
          </w:rPr>
          <w:fldChar w:fldCharType="end"/>
        </w:r>
      </w:hyperlink>
    </w:p>
    <w:p w14:paraId="722748FF" w14:textId="40FFB422" w:rsidR="00300C4D" w:rsidRPr="006D1005" w:rsidRDefault="003B7268">
      <w:pPr>
        <w:pStyle w:val="TOC3"/>
        <w:rPr>
          <w:rFonts w:asciiTheme="minorHAnsi" w:eastAsiaTheme="minorEastAsia" w:hAnsiTheme="minorHAnsi" w:cstheme="minorBidi"/>
          <w:i w:val="0"/>
          <w:iCs w:val="0"/>
          <w:noProof/>
        </w:rPr>
      </w:pPr>
      <w:hyperlink w:anchor="_Toc60038339" w:history="1">
        <w:r w:rsidR="00300C4D" w:rsidRPr="006D1005">
          <w:rPr>
            <w:rStyle w:val="Hyperlink"/>
            <w:i w:val="0"/>
            <w:iCs w:val="0"/>
            <w:noProof/>
          </w:rPr>
          <w:t>5.5.1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Security Sequence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5-10</w:t>
        </w:r>
        <w:r w:rsidR="00300C4D" w:rsidRPr="006D1005">
          <w:rPr>
            <w:i w:val="0"/>
            <w:iCs w:val="0"/>
            <w:noProof/>
            <w:webHidden/>
          </w:rPr>
          <w:fldChar w:fldCharType="end"/>
        </w:r>
      </w:hyperlink>
    </w:p>
    <w:p w14:paraId="68284AC2" w14:textId="1926189B" w:rsidR="00300C4D" w:rsidRPr="006D1005" w:rsidRDefault="003B7268">
      <w:pPr>
        <w:pStyle w:val="TOC3"/>
        <w:rPr>
          <w:rFonts w:asciiTheme="minorHAnsi" w:eastAsiaTheme="minorEastAsia" w:hAnsiTheme="minorHAnsi" w:cstheme="minorBidi"/>
          <w:i w:val="0"/>
          <w:iCs w:val="0"/>
          <w:noProof/>
        </w:rPr>
      </w:pPr>
      <w:hyperlink w:anchor="_Toc60038340" w:history="1">
        <w:r w:rsidR="00300C4D" w:rsidRPr="006D1005">
          <w:rPr>
            <w:rStyle w:val="Hyperlink"/>
            <w:i w:val="0"/>
            <w:iCs w:val="0"/>
            <w:noProof/>
          </w:rPr>
          <w:t>5.5.2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Reliability Unit Commitment (RUC) Process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5-12</w:t>
        </w:r>
        <w:r w:rsidR="00300C4D" w:rsidRPr="006D1005">
          <w:rPr>
            <w:i w:val="0"/>
            <w:iCs w:val="0"/>
            <w:noProof/>
            <w:webHidden/>
          </w:rPr>
          <w:fldChar w:fldCharType="end"/>
        </w:r>
      </w:hyperlink>
    </w:p>
    <w:p w14:paraId="6F40C3DA" w14:textId="3A7FE845" w:rsidR="00300C4D" w:rsidRPr="006D1005" w:rsidRDefault="003B7268">
      <w:pPr>
        <w:pStyle w:val="TOC3"/>
        <w:rPr>
          <w:rFonts w:asciiTheme="minorHAnsi" w:eastAsiaTheme="minorEastAsia" w:hAnsiTheme="minorHAnsi" w:cstheme="minorBidi"/>
          <w:i w:val="0"/>
          <w:iCs w:val="0"/>
          <w:noProof/>
        </w:rPr>
      </w:pPr>
      <w:hyperlink w:anchor="_Toc60038342" w:history="1">
        <w:r w:rsidR="00300C4D" w:rsidRPr="006D1005">
          <w:rPr>
            <w:rStyle w:val="Hyperlink"/>
            <w:i w:val="0"/>
            <w:iCs w:val="0"/>
            <w:noProof/>
          </w:rPr>
          <w:t>5.5.3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Communication of RUC Commitments and Decommitments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_Toc60038342 \h </w:instrText>
        </w:r>
        <w:r w:rsidR="00300C4D" w:rsidRPr="006D1005">
          <w:rPr>
            <w:i w:val="0"/>
            <w:iCs w:val="0"/>
            <w:noProof/>
            <w:webHidden/>
          </w:rPr>
        </w:r>
        <w:r w:rsidR="00300C4D" w:rsidRPr="006D1005">
          <w:rPr>
            <w:i w:val="0"/>
            <w:iCs w:val="0"/>
            <w:noProof/>
            <w:webHidden/>
          </w:rPr>
          <w:fldChar w:fldCharType="separate"/>
        </w:r>
        <w:r>
          <w:rPr>
            <w:i w:val="0"/>
            <w:iCs w:val="0"/>
            <w:noProof/>
            <w:webHidden/>
          </w:rPr>
          <w:t>5-25</w:t>
        </w:r>
        <w:r w:rsidR="00300C4D" w:rsidRPr="006D1005">
          <w:rPr>
            <w:i w:val="0"/>
            <w:iCs w:val="0"/>
            <w:noProof/>
            <w:webHidden/>
          </w:rPr>
          <w:fldChar w:fldCharType="end"/>
        </w:r>
      </w:hyperlink>
    </w:p>
    <w:p w14:paraId="22A68180" w14:textId="04F932D4" w:rsidR="00300C4D" w:rsidRPr="006D1005" w:rsidRDefault="003B7268">
      <w:pPr>
        <w:pStyle w:val="TOC2"/>
        <w:rPr>
          <w:rFonts w:asciiTheme="minorHAnsi" w:eastAsiaTheme="minorEastAsia" w:hAnsiTheme="minorHAnsi" w:cstheme="minorBidi"/>
          <w:noProof/>
        </w:rPr>
      </w:pPr>
      <w:hyperlink w:anchor="_Toc60038343" w:history="1">
        <w:r w:rsidR="00300C4D" w:rsidRPr="006D1005">
          <w:rPr>
            <w:rStyle w:val="Hyperlink"/>
            <w:noProof/>
          </w:rPr>
          <w:t>5.6</w:t>
        </w:r>
        <w:r w:rsidR="00300C4D" w:rsidRPr="006D1005">
          <w:rPr>
            <w:rFonts w:asciiTheme="minorHAnsi" w:eastAsiaTheme="minorEastAsia" w:hAnsiTheme="minorHAnsi" w:cstheme="minorBidi"/>
            <w:noProof/>
          </w:rPr>
          <w:tab/>
        </w:r>
        <w:r w:rsidR="00300C4D" w:rsidRPr="006D1005">
          <w:rPr>
            <w:rStyle w:val="Hyperlink"/>
            <w:noProof/>
          </w:rPr>
          <w:t>RUC Cost Eligibility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_Toc60038343 \h </w:instrText>
        </w:r>
        <w:r w:rsidR="00300C4D" w:rsidRPr="006D1005">
          <w:rPr>
            <w:noProof/>
            <w:webHidden/>
          </w:rPr>
        </w:r>
        <w:r w:rsidR="00300C4D" w:rsidRPr="006D1005">
          <w:rPr>
            <w:noProof/>
            <w:webHidden/>
          </w:rPr>
          <w:fldChar w:fldCharType="separate"/>
        </w:r>
        <w:r>
          <w:rPr>
            <w:noProof/>
            <w:webHidden/>
          </w:rPr>
          <w:t>5-26</w:t>
        </w:r>
        <w:r w:rsidR="00300C4D" w:rsidRPr="006D1005">
          <w:rPr>
            <w:noProof/>
            <w:webHidden/>
          </w:rPr>
          <w:fldChar w:fldCharType="end"/>
        </w:r>
      </w:hyperlink>
    </w:p>
    <w:p w14:paraId="68C2D65A" w14:textId="41DB6696" w:rsidR="00300C4D" w:rsidRPr="006D1005" w:rsidRDefault="003B7268">
      <w:pPr>
        <w:pStyle w:val="TOC3"/>
        <w:rPr>
          <w:rFonts w:asciiTheme="minorHAnsi" w:eastAsiaTheme="minorEastAsia" w:hAnsiTheme="minorHAnsi" w:cstheme="minorBidi"/>
          <w:i w:val="0"/>
          <w:iCs w:val="0"/>
          <w:noProof/>
        </w:rPr>
      </w:pPr>
      <w:hyperlink w:anchor="_Toc60038344" w:history="1">
        <w:r w:rsidR="00300C4D" w:rsidRPr="006D1005">
          <w:rPr>
            <w:rStyle w:val="Hyperlink"/>
            <w:i w:val="0"/>
            <w:iCs w:val="0"/>
            <w:noProof/>
          </w:rPr>
          <w:t>5.6.1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Verifiable Costs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_Toc60038344 \h </w:instrText>
        </w:r>
        <w:r w:rsidR="00300C4D" w:rsidRPr="006D1005">
          <w:rPr>
            <w:i w:val="0"/>
            <w:iCs w:val="0"/>
            <w:noProof/>
            <w:webHidden/>
          </w:rPr>
        </w:r>
        <w:r w:rsidR="00300C4D" w:rsidRPr="006D1005">
          <w:rPr>
            <w:i w:val="0"/>
            <w:iCs w:val="0"/>
            <w:noProof/>
            <w:webHidden/>
          </w:rPr>
          <w:fldChar w:fldCharType="separate"/>
        </w:r>
        <w:r>
          <w:rPr>
            <w:i w:val="0"/>
            <w:iCs w:val="0"/>
            <w:noProof/>
            <w:webHidden/>
          </w:rPr>
          <w:t>5-26</w:t>
        </w:r>
        <w:r w:rsidR="00300C4D" w:rsidRPr="006D1005">
          <w:rPr>
            <w:i w:val="0"/>
            <w:iCs w:val="0"/>
            <w:noProof/>
            <w:webHidden/>
          </w:rPr>
          <w:fldChar w:fldCharType="end"/>
        </w:r>
      </w:hyperlink>
    </w:p>
    <w:p w14:paraId="15A62625" w14:textId="74BC9294" w:rsidR="00300C4D" w:rsidRPr="006D1005" w:rsidRDefault="003B7268">
      <w:pPr>
        <w:pStyle w:val="TOC4"/>
        <w:rPr>
          <w:rFonts w:asciiTheme="minorHAnsi" w:eastAsiaTheme="minorEastAsia" w:hAnsiTheme="minorHAnsi" w:cstheme="minorBidi"/>
          <w:noProof/>
          <w:sz w:val="20"/>
          <w:szCs w:val="20"/>
        </w:rPr>
      </w:pPr>
      <w:hyperlink w:anchor="_Toc60038345" w:history="1">
        <w:r w:rsidR="00300C4D" w:rsidRPr="006D1005">
          <w:rPr>
            <w:rStyle w:val="Hyperlink"/>
            <w:noProof/>
            <w:sz w:val="20"/>
            <w:szCs w:val="20"/>
          </w:rPr>
          <w:t>5.6.1.1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Startup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_Toc60038345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5-32</w:t>
        </w:r>
        <w:r w:rsidR="00300C4D" w:rsidRPr="006D1005">
          <w:rPr>
            <w:noProof/>
            <w:webHidden/>
            <w:sz w:val="20"/>
            <w:szCs w:val="20"/>
          </w:rPr>
          <w:fldChar w:fldCharType="end"/>
        </w:r>
      </w:hyperlink>
    </w:p>
    <w:p w14:paraId="22121F0D" w14:textId="6A95E526" w:rsidR="00300C4D" w:rsidRPr="006D1005" w:rsidRDefault="003B7268">
      <w:pPr>
        <w:pStyle w:val="TOC4"/>
        <w:rPr>
          <w:rFonts w:asciiTheme="minorHAnsi" w:eastAsiaTheme="minorEastAsia" w:hAnsiTheme="minorHAnsi" w:cstheme="minorBidi"/>
          <w:noProof/>
          <w:sz w:val="20"/>
          <w:szCs w:val="20"/>
        </w:rPr>
      </w:pPr>
      <w:hyperlink w:anchor="_Toc60038346" w:history="1">
        <w:r w:rsidR="00300C4D" w:rsidRPr="006D1005">
          <w:rPr>
            <w:rStyle w:val="Hyperlink"/>
            <w:noProof/>
            <w:sz w:val="20"/>
            <w:szCs w:val="20"/>
          </w:rPr>
          <w:t>5.6.1.2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Minimum-Energy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5-32</w:t>
        </w:r>
        <w:r w:rsidR="00300C4D" w:rsidRPr="006D1005">
          <w:rPr>
            <w:noProof/>
            <w:webHidden/>
            <w:sz w:val="20"/>
            <w:szCs w:val="20"/>
          </w:rPr>
          <w:fldChar w:fldCharType="end"/>
        </w:r>
      </w:hyperlink>
    </w:p>
    <w:p w14:paraId="2C3E05BF" w14:textId="742CFF69" w:rsidR="00300C4D" w:rsidRPr="006D1005" w:rsidRDefault="003B7268">
      <w:pPr>
        <w:pStyle w:val="TOC3"/>
        <w:rPr>
          <w:rFonts w:asciiTheme="minorHAnsi" w:eastAsiaTheme="minorEastAsia" w:hAnsiTheme="minorHAnsi" w:cstheme="minorBidi"/>
          <w:i w:val="0"/>
          <w:iCs w:val="0"/>
          <w:noProof/>
        </w:rPr>
      </w:pPr>
      <w:hyperlink w:anchor="_Toc60038347" w:history="1">
        <w:r w:rsidR="00300C4D" w:rsidRPr="006D1005">
          <w:rPr>
            <w:rStyle w:val="Hyperlink"/>
            <w:i w:val="0"/>
            <w:iCs w:val="0"/>
            <w:noProof/>
          </w:rPr>
          <w:t>5.6.2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Startup Cost Eligibility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5-32</w:t>
        </w:r>
        <w:r w:rsidR="00300C4D" w:rsidRPr="006D1005">
          <w:rPr>
            <w:i w:val="0"/>
            <w:iCs w:val="0"/>
            <w:noProof/>
            <w:webHidden/>
          </w:rPr>
          <w:fldChar w:fldCharType="end"/>
        </w:r>
      </w:hyperlink>
    </w:p>
    <w:p w14:paraId="626F49ED" w14:textId="012FAFF9" w:rsidR="00300C4D" w:rsidRPr="006D1005" w:rsidRDefault="003B7268">
      <w:pPr>
        <w:pStyle w:val="TOC3"/>
        <w:rPr>
          <w:rFonts w:asciiTheme="minorHAnsi" w:eastAsiaTheme="minorEastAsia" w:hAnsiTheme="minorHAnsi" w:cstheme="minorBidi"/>
          <w:i w:val="0"/>
          <w:iCs w:val="0"/>
          <w:noProof/>
        </w:rPr>
      </w:pPr>
      <w:hyperlink w:anchor="_Toc60038348" w:history="1">
        <w:r w:rsidR="00300C4D" w:rsidRPr="006D1005">
          <w:rPr>
            <w:rStyle w:val="Hyperlink"/>
            <w:i w:val="0"/>
            <w:iCs w:val="0"/>
            <w:noProof/>
          </w:rPr>
          <w:t>5.6.3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Forced Outage of a RUC-Committed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_Toc60038348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5-34</w:t>
        </w:r>
        <w:r w:rsidR="00300C4D" w:rsidRPr="006D1005">
          <w:rPr>
            <w:i w:val="0"/>
            <w:iCs w:val="0"/>
            <w:noProof/>
            <w:webHidden/>
          </w:rPr>
          <w:fldChar w:fldCharType="end"/>
        </w:r>
      </w:hyperlink>
    </w:p>
    <w:p w14:paraId="6273E542" w14:textId="38C28EFD" w:rsidR="00300C4D" w:rsidRPr="006D1005" w:rsidRDefault="003B7268">
      <w:pPr>
        <w:pStyle w:val="TOC3"/>
        <w:rPr>
          <w:rFonts w:asciiTheme="minorHAnsi" w:eastAsiaTheme="minorEastAsia" w:hAnsiTheme="minorHAnsi" w:cstheme="minorBidi"/>
          <w:i w:val="0"/>
          <w:iCs w:val="0"/>
          <w:noProof/>
        </w:rPr>
      </w:pPr>
      <w:hyperlink w:anchor="_Toc60038349" w:history="1">
        <w:r w:rsidR="00300C4D" w:rsidRPr="006D1005">
          <w:rPr>
            <w:rStyle w:val="Hyperlink"/>
            <w:i w:val="0"/>
            <w:iCs w:val="0"/>
            <w:noProof/>
          </w:rPr>
          <w:t>5.6.4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Cancellation of a RUC Commitment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5-35</w:t>
        </w:r>
        <w:r w:rsidR="00300C4D" w:rsidRPr="006D1005">
          <w:rPr>
            <w:i w:val="0"/>
            <w:iCs w:val="0"/>
            <w:noProof/>
            <w:webHidden/>
          </w:rPr>
          <w:fldChar w:fldCharType="end"/>
        </w:r>
      </w:hyperlink>
    </w:p>
    <w:p w14:paraId="132EFEDA" w14:textId="6D29777B" w:rsidR="00300C4D" w:rsidRPr="006D1005" w:rsidRDefault="003B7268">
      <w:pPr>
        <w:pStyle w:val="TOC3"/>
        <w:rPr>
          <w:rFonts w:asciiTheme="minorHAnsi" w:eastAsiaTheme="minorEastAsia" w:hAnsiTheme="minorHAnsi" w:cstheme="minorBidi"/>
          <w:i w:val="0"/>
          <w:iCs w:val="0"/>
          <w:noProof/>
        </w:rPr>
      </w:pPr>
      <w:hyperlink w:anchor="_Toc60038350" w:history="1">
        <w:r w:rsidR="00300C4D" w:rsidRPr="006D1005">
          <w:rPr>
            <w:rStyle w:val="Hyperlink"/>
            <w:i w:val="0"/>
            <w:iCs w:val="0"/>
            <w:noProof/>
          </w:rPr>
          <w:t>5.6.5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for Canceled or Delayed Outages for Outage Schedule Adjustments (OSAs)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5-35</w:t>
        </w:r>
        <w:r w:rsidR="00300C4D" w:rsidRPr="006D1005">
          <w:rPr>
            <w:i w:val="0"/>
            <w:iCs w:val="0"/>
            <w:noProof/>
            <w:webHidden/>
          </w:rPr>
          <w:fldChar w:fldCharType="end"/>
        </w:r>
      </w:hyperlink>
    </w:p>
    <w:p w14:paraId="0CF3BDED" w14:textId="7C7EDDC2" w:rsidR="00300C4D" w:rsidRPr="006D1005" w:rsidRDefault="003B7268">
      <w:pPr>
        <w:pStyle w:val="TOC4"/>
        <w:rPr>
          <w:rFonts w:asciiTheme="minorHAnsi" w:eastAsiaTheme="minorEastAsia" w:hAnsiTheme="minorHAnsi" w:cstheme="minorBidi"/>
          <w:noProof/>
          <w:sz w:val="20"/>
          <w:szCs w:val="20"/>
        </w:rPr>
      </w:pPr>
      <w:hyperlink w:anchor="_Toc60038351" w:history="1">
        <w:r w:rsidR="00300C4D" w:rsidRPr="006D1005">
          <w:rPr>
            <w:rStyle w:val="Hyperlink"/>
            <w:noProof/>
            <w:sz w:val="20"/>
            <w:szCs w:val="20"/>
          </w:rPr>
          <w:t>5.6.5.1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Make-Whole Payment for Canceled or Delayed Outages for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_Toc60038351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5-35</w:t>
        </w:r>
        <w:r w:rsidR="00300C4D" w:rsidRPr="006D1005">
          <w:rPr>
            <w:noProof/>
            <w:webHidden/>
            <w:sz w:val="20"/>
            <w:szCs w:val="20"/>
          </w:rPr>
          <w:fldChar w:fldCharType="end"/>
        </w:r>
      </w:hyperlink>
    </w:p>
    <w:p w14:paraId="7DC9E092" w14:textId="2CED79D8" w:rsidR="00300C4D" w:rsidRPr="006D1005" w:rsidRDefault="003B7268" w:rsidP="00300C4D">
      <w:pPr>
        <w:pStyle w:val="TOC4"/>
        <w:rPr>
          <w:rFonts w:asciiTheme="minorHAnsi" w:eastAsiaTheme="minorEastAsia" w:hAnsiTheme="minorHAnsi" w:cstheme="minorBidi"/>
          <w:noProof/>
          <w:sz w:val="20"/>
          <w:szCs w:val="20"/>
        </w:rPr>
      </w:pPr>
      <w:hyperlink w:anchor="_Toc60038352" w:history="1">
        <w:r w:rsidR="00300C4D" w:rsidRPr="006D1005">
          <w:rPr>
            <w:rStyle w:val="Hyperlink"/>
            <w:bCs/>
            <w:noProof/>
            <w:sz w:val="20"/>
            <w:szCs w:val="20"/>
          </w:rPr>
          <w:t>5.6.5.2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w:t>
        </w:r>
        <w:r w:rsidR="00300C4D" w:rsidRPr="006D1005">
          <w:rPr>
            <w:rStyle w:val="Hyperlink"/>
            <w:bCs/>
            <w:noProof/>
            <w:sz w:val="20"/>
            <w:szCs w:val="20"/>
          </w:rPr>
          <w:t xml:space="preserve"> Make-Whole Payment and RUC Clawback Charge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_Toc60038352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5-36</w:t>
        </w:r>
        <w:r w:rsidR="00300C4D" w:rsidRPr="006D1005">
          <w:rPr>
            <w:noProof/>
            <w:webHidden/>
            <w:sz w:val="20"/>
            <w:szCs w:val="20"/>
          </w:rPr>
          <w:fldChar w:fldCharType="end"/>
        </w:r>
      </w:hyperlink>
    </w:p>
    <w:p w14:paraId="44B93913" w14:textId="73539AFD" w:rsidR="00300C4D" w:rsidRPr="006D1005" w:rsidRDefault="003B7268" w:rsidP="00300C4D">
      <w:pPr>
        <w:pStyle w:val="TOC4"/>
        <w:rPr>
          <w:rFonts w:asciiTheme="minorHAnsi" w:eastAsiaTheme="minorEastAsia" w:hAnsiTheme="minorHAnsi" w:cstheme="minorBidi"/>
          <w:noProof/>
          <w:sz w:val="20"/>
          <w:szCs w:val="20"/>
        </w:rPr>
      </w:pPr>
      <w:hyperlink w:anchor="_Toc60038353" w:history="1">
        <w:r w:rsidR="00300C4D" w:rsidRPr="006D1005">
          <w:rPr>
            <w:rStyle w:val="Hyperlink"/>
            <w:bCs/>
            <w:noProof/>
            <w:sz w:val="20"/>
            <w:szCs w:val="20"/>
          </w:rPr>
          <w:t>5.6.5.3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Timeline</w:t>
        </w:r>
        <w:r w:rsidR="00300C4D" w:rsidRPr="006D1005">
          <w:rPr>
            <w:rStyle w:val="Hyperlink"/>
            <w:bCs/>
            <w:noProof/>
            <w:sz w:val="20"/>
            <w:szCs w:val="20"/>
          </w:rPr>
          <w:t xml:space="preserve"> for Calculating RUC Clawback Charges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5-38</w:t>
        </w:r>
        <w:r w:rsidR="00300C4D" w:rsidRPr="006D1005">
          <w:rPr>
            <w:noProof/>
            <w:webHidden/>
            <w:sz w:val="20"/>
            <w:szCs w:val="20"/>
          </w:rPr>
          <w:fldChar w:fldCharType="end"/>
        </w:r>
      </w:hyperlink>
    </w:p>
    <w:p w14:paraId="10CF6772" w14:textId="67991F1D" w:rsidR="00300C4D" w:rsidRPr="006D1005" w:rsidRDefault="003B7268">
      <w:pPr>
        <w:pStyle w:val="TOC2"/>
        <w:rPr>
          <w:rFonts w:asciiTheme="minorHAnsi" w:eastAsiaTheme="minorEastAsia" w:hAnsiTheme="minorHAnsi" w:cstheme="minorBidi"/>
          <w:noProof/>
        </w:rPr>
      </w:pPr>
      <w:hyperlink w:anchor="_Toc60038354" w:history="1">
        <w:r w:rsidR="00300C4D" w:rsidRPr="006D1005">
          <w:rPr>
            <w:rStyle w:val="Hyperlink"/>
            <w:noProof/>
          </w:rPr>
          <w:t>5.7</w:t>
        </w:r>
        <w:r w:rsidR="00300C4D" w:rsidRPr="006D1005">
          <w:rPr>
            <w:rFonts w:asciiTheme="minorHAnsi" w:eastAsiaTheme="minorEastAsia" w:hAnsiTheme="minorHAnsi" w:cstheme="minorBidi"/>
            <w:noProof/>
          </w:rPr>
          <w:tab/>
        </w:r>
        <w:r w:rsidR="00300C4D" w:rsidRPr="006D1005">
          <w:rPr>
            <w:rStyle w:val="Hyperlink"/>
            <w:noProof/>
          </w:rPr>
          <w:t>Settlement for RUC Process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_Toc60038354 \h </w:instrText>
        </w:r>
        <w:r w:rsidR="00300C4D" w:rsidRPr="006D1005">
          <w:rPr>
            <w:noProof/>
            <w:webHidden/>
          </w:rPr>
        </w:r>
        <w:r w:rsidR="00300C4D" w:rsidRPr="006D1005">
          <w:rPr>
            <w:noProof/>
            <w:webHidden/>
          </w:rPr>
          <w:fldChar w:fldCharType="separate"/>
        </w:r>
        <w:r>
          <w:rPr>
            <w:noProof/>
            <w:webHidden/>
          </w:rPr>
          <w:t>5-38</w:t>
        </w:r>
        <w:r w:rsidR="00300C4D" w:rsidRPr="006D1005">
          <w:rPr>
            <w:noProof/>
            <w:webHidden/>
          </w:rPr>
          <w:fldChar w:fldCharType="end"/>
        </w:r>
      </w:hyperlink>
    </w:p>
    <w:p w14:paraId="7FC03636" w14:textId="4F67F430" w:rsidR="00300C4D" w:rsidRPr="006D1005" w:rsidRDefault="003B7268">
      <w:pPr>
        <w:pStyle w:val="TOC3"/>
        <w:rPr>
          <w:rFonts w:asciiTheme="minorHAnsi" w:eastAsiaTheme="minorEastAsia" w:hAnsiTheme="minorHAnsi" w:cstheme="minorBidi"/>
          <w:i w:val="0"/>
          <w:iCs w:val="0"/>
          <w:noProof/>
        </w:rPr>
      </w:pPr>
      <w:hyperlink w:anchor="_Toc60038355" w:history="1">
        <w:r w:rsidR="00300C4D" w:rsidRPr="006D1005">
          <w:rPr>
            <w:rStyle w:val="Hyperlink"/>
            <w:i w:val="0"/>
            <w:iCs w:val="0"/>
            <w:noProof/>
          </w:rPr>
          <w:t>5.7.1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_Toc60038355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5-38</w:t>
        </w:r>
        <w:r w:rsidR="00300C4D" w:rsidRPr="006D1005">
          <w:rPr>
            <w:i w:val="0"/>
            <w:iCs w:val="0"/>
            <w:noProof/>
            <w:webHidden/>
          </w:rPr>
          <w:fldChar w:fldCharType="end"/>
        </w:r>
      </w:hyperlink>
    </w:p>
    <w:p w14:paraId="0BEC9F7F" w14:textId="476CB6BC" w:rsidR="00300C4D" w:rsidRPr="006D1005" w:rsidRDefault="003B7268">
      <w:pPr>
        <w:pStyle w:val="TOC4"/>
        <w:rPr>
          <w:rFonts w:asciiTheme="minorHAnsi" w:eastAsiaTheme="minorEastAsia" w:hAnsiTheme="minorHAnsi" w:cstheme="minorBidi"/>
          <w:noProof/>
          <w:sz w:val="20"/>
          <w:szCs w:val="20"/>
        </w:rPr>
      </w:pPr>
      <w:hyperlink w:anchor="_Toc60038356" w:history="1">
        <w:r w:rsidR="00300C4D" w:rsidRPr="006D1005">
          <w:rPr>
            <w:rStyle w:val="Hyperlink"/>
            <w:noProof/>
            <w:sz w:val="20"/>
            <w:szCs w:val="20"/>
          </w:rPr>
          <w:t>5.7.1.1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Guarantee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5-40</w:t>
        </w:r>
        <w:r w:rsidR="00300C4D" w:rsidRPr="006D1005">
          <w:rPr>
            <w:noProof/>
            <w:webHidden/>
            <w:sz w:val="20"/>
            <w:szCs w:val="20"/>
          </w:rPr>
          <w:fldChar w:fldCharType="end"/>
        </w:r>
      </w:hyperlink>
    </w:p>
    <w:p w14:paraId="0FAF7194" w14:textId="6958D877" w:rsidR="00300C4D" w:rsidRPr="006D1005" w:rsidRDefault="003B7268">
      <w:pPr>
        <w:pStyle w:val="TOC4"/>
        <w:rPr>
          <w:rFonts w:asciiTheme="minorHAnsi" w:eastAsiaTheme="minorEastAsia" w:hAnsiTheme="minorHAnsi" w:cstheme="minorBidi"/>
          <w:noProof/>
          <w:sz w:val="20"/>
          <w:szCs w:val="20"/>
        </w:rPr>
      </w:pPr>
      <w:hyperlink w:anchor="_Toc60038357" w:history="1">
        <w:r w:rsidR="00300C4D" w:rsidRPr="006D1005">
          <w:rPr>
            <w:rStyle w:val="Hyperlink"/>
            <w:noProof/>
            <w:sz w:val="20"/>
            <w:szCs w:val="20"/>
          </w:rPr>
          <w:t>5.7.1.2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Minimum-Energy Revenue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_Toc60038357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5-44</w:t>
        </w:r>
        <w:r w:rsidR="00300C4D" w:rsidRPr="006D1005">
          <w:rPr>
            <w:noProof/>
            <w:webHidden/>
            <w:sz w:val="20"/>
            <w:szCs w:val="20"/>
          </w:rPr>
          <w:fldChar w:fldCharType="end"/>
        </w:r>
      </w:hyperlink>
    </w:p>
    <w:p w14:paraId="58A4F535" w14:textId="7C72E1C1" w:rsidR="00300C4D" w:rsidRPr="006D1005" w:rsidRDefault="003B7268">
      <w:pPr>
        <w:pStyle w:val="TOC4"/>
        <w:rPr>
          <w:rFonts w:asciiTheme="minorHAnsi" w:eastAsiaTheme="minorEastAsia" w:hAnsiTheme="minorHAnsi" w:cstheme="minorBidi"/>
          <w:noProof/>
          <w:sz w:val="20"/>
          <w:szCs w:val="20"/>
        </w:rPr>
      </w:pPr>
      <w:hyperlink w:anchor="_Toc60038358" w:history="1">
        <w:r w:rsidR="00300C4D" w:rsidRPr="006D1005">
          <w:rPr>
            <w:rStyle w:val="Hyperlink"/>
            <w:noProof/>
            <w:sz w:val="20"/>
            <w:szCs w:val="20"/>
          </w:rPr>
          <w:t>5.7.1.3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Above LSL During RUC-Committed Hours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_Toc60038358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5-46</w:t>
        </w:r>
        <w:r w:rsidR="00300C4D" w:rsidRPr="006D1005">
          <w:rPr>
            <w:noProof/>
            <w:webHidden/>
            <w:sz w:val="20"/>
            <w:szCs w:val="20"/>
          </w:rPr>
          <w:fldChar w:fldCharType="end"/>
        </w:r>
      </w:hyperlink>
    </w:p>
    <w:p w14:paraId="4B5FE62B" w14:textId="2206CAE3" w:rsidR="00300C4D" w:rsidRPr="006D1005" w:rsidRDefault="003B7268">
      <w:pPr>
        <w:pStyle w:val="TOC4"/>
        <w:rPr>
          <w:rFonts w:asciiTheme="minorHAnsi" w:eastAsiaTheme="minorEastAsia" w:hAnsiTheme="minorHAnsi" w:cstheme="minorBidi"/>
          <w:noProof/>
          <w:sz w:val="20"/>
          <w:szCs w:val="20"/>
        </w:rPr>
      </w:pPr>
      <w:hyperlink w:anchor="_Toc60038359" w:history="1">
        <w:r w:rsidR="00300C4D" w:rsidRPr="006D1005">
          <w:rPr>
            <w:rStyle w:val="Hyperlink"/>
            <w:noProof/>
            <w:sz w:val="20"/>
            <w:szCs w:val="20"/>
          </w:rPr>
          <w:t>5.7.1.4</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During QSE Clawback Intervals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_Toc60038359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5-50</w:t>
        </w:r>
        <w:r w:rsidR="00300C4D" w:rsidRPr="006D1005">
          <w:rPr>
            <w:noProof/>
            <w:webHidden/>
            <w:sz w:val="20"/>
            <w:szCs w:val="20"/>
          </w:rPr>
          <w:fldChar w:fldCharType="end"/>
        </w:r>
      </w:hyperlink>
    </w:p>
    <w:p w14:paraId="390DD963" w14:textId="7F722BB8" w:rsidR="00300C4D" w:rsidRPr="006D1005" w:rsidRDefault="003B7268">
      <w:pPr>
        <w:pStyle w:val="TOC3"/>
        <w:rPr>
          <w:rFonts w:asciiTheme="minorHAnsi" w:eastAsiaTheme="minorEastAsia" w:hAnsiTheme="minorHAnsi" w:cstheme="minorBidi"/>
          <w:i w:val="0"/>
          <w:iCs w:val="0"/>
          <w:noProof/>
        </w:rPr>
      </w:pPr>
      <w:hyperlink w:anchor="_Toc60038360" w:history="1">
        <w:r w:rsidR="00300C4D" w:rsidRPr="006D1005">
          <w:rPr>
            <w:rStyle w:val="Hyperlink"/>
            <w:i w:val="0"/>
            <w:iCs w:val="0"/>
            <w:noProof/>
          </w:rPr>
          <w:t>5.7.2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5-54</w:t>
        </w:r>
        <w:r w:rsidR="00300C4D" w:rsidRPr="006D1005">
          <w:rPr>
            <w:i w:val="0"/>
            <w:iCs w:val="0"/>
            <w:noProof/>
            <w:webHidden/>
          </w:rPr>
          <w:fldChar w:fldCharType="end"/>
        </w:r>
      </w:hyperlink>
    </w:p>
    <w:p w14:paraId="635975AB" w14:textId="087BAED9" w:rsidR="00300C4D" w:rsidRPr="006D1005" w:rsidRDefault="003B7268">
      <w:pPr>
        <w:pStyle w:val="TOC3"/>
        <w:rPr>
          <w:rFonts w:asciiTheme="minorHAnsi" w:eastAsiaTheme="minorEastAsia" w:hAnsiTheme="minorHAnsi" w:cstheme="minorBidi"/>
          <w:i w:val="0"/>
          <w:iCs w:val="0"/>
          <w:noProof/>
        </w:rPr>
      </w:pPr>
      <w:hyperlink w:anchor="_Toc60038361" w:history="1">
        <w:r w:rsidR="00300C4D" w:rsidRPr="006D1005">
          <w:rPr>
            <w:rStyle w:val="Hyperlink"/>
            <w:i w:val="0"/>
            <w:iCs w:val="0"/>
            <w:noProof/>
          </w:rPr>
          <w:t>5.7.3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Payment When ERCOT Decommits a QSE-Committed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_Toc60038361 \h </w:instrText>
        </w:r>
        <w:r w:rsidR="00300C4D" w:rsidRPr="006D1005">
          <w:rPr>
            <w:i w:val="0"/>
            <w:iCs w:val="0"/>
            <w:noProof/>
            <w:webHidden/>
          </w:rPr>
        </w:r>
        <w:r w:rsidR="00300C4D" w:rsidRPr="006D1005">
          <w:rPr>
            <w:i w:val="0"/>
            <w:iCs w:val="0"/>
            <w:noProof/>
            <w:webHidden/>
          </w:rPr>
          <w:fldChar w:fldCharType="separate"/>
        </w:r>
        <w:r>
          <w:rPr>
            <w:i w:val="0"/>
            <w:iCs w:val="0"/>
            <w:noProof/>
            <w:webHidden/>
          </w:rPr>
          <w:t>5-57</w:t>
        </w:r>
        <w:r w:rsidR="00300C4D" w:rsidRPr="006D1005">
          <w:rPr>
            <w:i w:val="0"/>
            <w:iCs w:val="0"/>
            <w:noProof/>
            <w:webHidden/>
          </w:rPr>
          <w:fldChar w:fldCharType="end"/>
        </w:r>
      </w:hyperlink>
    </w:p>
    <w:p w14:paraId="7A03FEA1" w14:textId="6437FE05" w:rsidR="00300C4D" w:rsidRPr="006D1005" w:rsidRDefault="003B7268">
      <w:pPr>
        <w:pStyle w:val="TOC3"/>
        <w:rPr>
          <w:rFonts w:asciiTheme="minorHAnsi" w:eastAsiaTheme="minorEastAsia" w:hAnsiTheme="minorHAnsi" w:cstheme="minorBidi"/>
          <w:i w:val="0"/>
          <w:iCs w:val="0"/>
          <w:noProof/>
        </w:rPr>
      </w:pPr>
      <w:hyperlink w:anchor="_Toc60038362" w:history="1">
        <w:r w:rsidR="00300C4D" w:rsidRPr="006D1005">
          <w:rPr>
            <w:rStyle w:val="Hyperlink"/>
            <w:i w:val="0"/>
            <w:iCs w:val="0"/>
            <w:noProof/>
          </w:rPr>
          <w:t>5.7.4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Charges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_Toc60038362 \h </w:instrText>
        </w:r>
        <w:r w:rsidR="00300C4D" w:rsidRPr="006D1005">
          <w:rPr>
            <w:i w:val="0"/>
            <w:iCs w:val="0"/>
            <w:noProof/>
            <w:webHidden/>
          </w:rPr>
        </w:r>
        <w:r w:rsidR="00300C4D" w:rsidRPr="006D1005">
          <w:rPr>
            <w:i w:val="0"/>
            <w:iCs w:val="0"/>
            <w:noProof/>
            <w:webHidden/>
          </w:rPr>
          <w:fldChar w:fldCharType="separate"/>
        </w:r>
        <w:r>
          <w:rPr>
            <w:i w:val="0"/>
            <w:iCs w:val="0"/>
            <w:noProof/>
            <w:webHidden/>
          </w:rPr>
          <w:t>5-62</w:t>
        </w:r>
        <w:r w:rsidR="00300C4D" w:rsidRPr="006D1005">
          <w:rPr>
            <w:i w:val="0"/>
            <w:iCs w:val="0"/>
            <w:noProof/>
            <w:webHidden/>
          </w:rPr>
          <w:fldChar w:fldCharType="end"/>
        </w:r>
      </w:hyperlink>
    </w:p>
    <w:p w14:paraId="064C5AB5" w14:textId="53EE2D7A" w:rsidR="00300C4D" w:rsidRPr="006D1005" w:rsidRDefault="003B7268">
      <w:pPr>
        <w:pStyle w:val="TOC4"/>
        <w:rPr>
          <w:rFonts w:asciiTheme="minorHAnsi" w:eastAsiaTheme="minorEastAsia" w:hAnsiTheme="minorHAnsi" w:cstheme="minorBidi"/>
          <w:noProof/>
          <w:sz w:val="20"/>
          <w:szCs w:val="20"/>
        </w:rPr>
      </w:pPr>
      <w:hyperlink w:anchor="_Toc60038363" w:history="1">
        <w:r w:rsidR="00300C4D" w:rsidRPr="006D1005">
          <w:rPr>
            <w:rStyle w:val="Hyperlink"/>
            <w:noProof/>
            <w:sz w:val="20"/>
            <w:szCs w:val="20"/>
          </w:rPr>
          <w:t>5.7.4.1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Capacity-Short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5-62</w:t>
        </w:r>
        <w:r w:rsidR="00300C4D" w:rsidRPr="006D1005">
          <w:rPr>
            <w:noProof/>
            <w:webHidden/>
            <w:sz w:val="20"/>
            <w:szCs w:val="20"/>
          </w:rPr>
          <w:fldChar w:fldCharType="end"/>
        </w:r>
      </w:hyperlink>
    </w:p>
    <w:p w14:paraId="3A407ABE" w14:textId="1D4E687E" w:rsidR="00300C4D" w:rsidRPr="006D1005" w:rsidRDefault="003B7268">
      <w:pPr>
        <w:pStyle w:val="TOC5"/>
        <w:rPr>
          <w:rFonts w:asciiTheme="minorHAnsi" w:eastAsiaTheme="minorEastAsia" w:hAnsiTheme="minorHAnsi" w:cstheme="minorBidi"/>
          <w:i w:val="0"/>
          <w:sz w:val="20"/>
          <w:szCs w:val="20"/>
        </w:rPr>
      </w:pPr>
      <w:hyperlink w:anchor="_Toc60038364" w:history="1">
        <w:r w:rsidR="00300C4D" w:rsidRPr="006D1005">
          <w:rPr>
            <w:rStyle w:val="Hyperlink"/>
            <w:i w:val="0"/>
            <w:sz w:val="20"/>
            <w:szCs w:val="20"/>
          </w:rPr>
          <w:t>5.7.4.1.1</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Capacity Shortfall Ratio Share</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_Toc60038364 \h </w:instrText>
        </w:r>
        <w:r w:rsidR="00300C4D" w:rsidRPr="006D1005">
          <w:rPr>
            <w:i w:val="0"/>
            <w:webHidden/>
            <w:sz w:val="20"/>
            <w:szCs w:val="20"/>
          </w:rPr>
        </w:r>
        <w:r w:rsidR="00300C4D" w:rsidRPr="006D1005">
          <w:rPr>
            <w:i w:val="0"/>
            <w:webHidden/>
            <w:sz w:val="20"/>
            <w:szCs w:val="20"/>
          </w:rPr>
          <w:fldChar w:fldCharType="separate"/>
        </w:r>
        <w:r>
          <w:rPr>
            <w:i w:val="0"/>
            <w:webHidden/>
            <w:sz w:val="20"/>
            <w:szCs w:val="20"/>
          </w:rPr>
          <w:t>5-64</w:t>
        </w:r>
        <w:r w:rsidR="00300C4D" w:rsidRPr="006D1005">
          <w:rPr>
            <w:i w:val="0"/>
            <w:webHidden/>
            <w:sz w:val="20"/>
            <w:szCs w:val="20"/>
          </w:rPr>
          <w:fldChar w:fldCharType="end"/>
        </w:r>
      </w:hyperlink>
    </w:p>
    <w:p w14:paraId="56B18C36" w14:textId="6358D387" w:rsidR="00300C4D" w:rsidRPr="006D1005" w:rsidRDefault="003B7268">
      <w:pPr>
        <w:pStyle w:val="TOC5"/>
        <w:rPr>
          <w:rFonts w:asciiTheme="minorHAnsi" w:eastAsiaTheme="minorEastAsia" w:hAnsiTheme="minorHAnsi" w:cstheme="minorBidi"/>
          <w:i w:val="0"/>
          <w:sz w:val="20"/>
          <w:szCs w:val="20"/>
        </w:rPr>
      </w:pPr>
      <w:hyperlink w:anchor="_Toc60038365" w:history="1">
        <w:r w:rsidR="00300C4D" w:rsidRPr="006D1005">
          <w:rPr>
            <w:rStyle w:val="Hyperlink"/>
            <w:i w:val="0"/>
            <w:sz w:val="20"/>
            <w:szCs w:val="20"/>
          </w:rPr>
          <w:t>5.7.4.1.2</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RUC Capacity Credit</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_Toc60038365 \h </w:instrText>
        </w:r>
        <w:r w:rsidR="00300C4D" w:rsidRPr="006D1005">
          <w:rPr>
            <w:i w:val="0"/>
            <w:webHidden/>
            <w:sz w:val="20"/>
            <w:szCs w:val="20"/>
          </w:rPr>
        </w:r>
        <w:r w:rsidR="00300C4D" w:rsidRPr="006D1005">
          <w:rPr>
            <w:i w:val="0"/>
            <w:webHidden/>
            <w:sz w:val="20"/>
            <w:szCs w:val="20"/>
          </w:rPr>
          <w:fldChar w:fldCharType="separate"/>
        </w:r>
        <w:r>
          <w:rPr>
            <w:i w:val="0"/>
            <w:webHidden/>
            <w:sz w:val="20"/>
            <w:szCs w:val="20"/>
          </w:rPr>
          <w:t>5-81</w:t>
        </w:r>
        <w:r w:rsidR="00300C4D" w:rsidRPr="006D1005">
          <w:rPr>
            <w:i w:val="0"/>
            <w:webHidden/>
            <w:sz w:val="20"/>
            <w:szCs w:val="20"/>
          </w:rPr>
          <w:fldChar w:fldCharType="end"/>
        </w:r>
      </w:hyperlink>
    </w:p>
    <w:p w14:paraId="745CCE81" w14:textId="265C7D81" w:rsidR="00300C4D" w:rsidRPr="006D1005" w:rsidRDefault="003B7268">
      <w:pPr>
        <w:pStyle w:val="TOC4"/>
        <w:rPr>
          <w:rFonts w:asciiTheme="minorHAnsi" w:eastAsiaTheme="minorEastAsia" w:hAnsiTheme="minorHAnsi" w:cstheme="minorBidi"/>
          <w:noProof/>
          <w:sz w:val="20"/>
          <w:szCs w:val="20"/>
        </w:rPr>
      </w:pPr>
      <w:hyperlink w:anchor="_Toc60038366" w:history="1">
        <w:r w:rsidR="00300C4D" w:rsidRPr="006D1005">
          <w:rPr>
            <w:rStyle w:val="Hyperlink"/>
            <w:noProof/>
            <w:sz w:val="20"/>
            <w:szCs w:val="20"/>
          </w:rPr>
          <w:t>5.7.4.2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Make-Whole Uplift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5-82</w:t>
        </w:r>
        <w:r w:rsidR="00300C4D" w:rsidRPr="006D1005">
          <w:rPr>
            <w:noProof/>
            <w:webHidden/>
            <w:sz w:val="20"/>
            <w:szCs w:val="20"/>
          </w:rPr>
          <w:fldChar w:fldCharType="end"/>
        </w:r>
      </w:hyperlink>
    </w:p>
    <w:p w14:paraId="276B115E" w14:textId="15F2F27D" w:rsidR="00300C4D" w:rsidRPr="006D1005" w:rsidRDefault="003B7268">
      <w:pPr>
        <w:pStyle w:val="TOC3"/>
        <w:rPr>
          <w:rFonts w:asciiTheme="minorHAnsi" w:eastAsiaTheme="minorEastAsia" w:hAnsiTheme="minorHAnsi" w:cstheme="minorBidi"/>
          <w:i w:val="0"/>
          <w:iCs w:val="0"/>
          <w:noProof/>
        </w:rPr>
      </w:pPr>
      <w:hyperlink w:anchor="_Toc60038367" w:history="1">
        <w:r w:rsidR="00300C4D" w:rsidRPr="006D1005">
          <w:rPr>
            <w:rStyle w:val="Hyperlink"/>
            <w:i w:val="0"/>
            <w:iCs w:val="0"/>
            <w:noProof/>
          </w:rPr>
          <w:t>5.7.5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5-83</w:t>
        </w:r>
        <w:r w:rsidR="00300C4D" w:rsidRPr="006D1005">
          <w:rPr>
            <w:i w:val="0"/>
            <w:iCs w:val="0"/>
            <w:noProof/>
            <w:webHidden/>
          </w:rPr>
          <w:fldChar w:fldCharType="end"/>
        </w:r>
      </w:hyperlink>
    </w:p>
    <w:p w14:paraId="51860935" w14:textId="1112CB2C" w:rsidR="00300C4D" w:rsidRPr="006D1005" w:rsidRDefault="003B7268">
      <w:pPr>
        <w:pStyle w:val="TOC3"/>
        <w:rPr>
          <w:rFonts w:asciiTheme="minorHAnsi" w:eastAsiaTheme="minorEastAsia" w:hAnsiTheme="minorHAnsi" w:cstheme="minorBidi"/>
          <w:i w:val="0"/>
          <w:iCs w:val="0"/>
          <w:noProof/>
        </w:rPr>
      </w:pPr>
      <w:hyperlink w:anchor="_Toc60038368" w:history="1">
        <w:r w:rsidR="00300C4D" w:rsidRPr="006D1005">
          <w:rPr>
            <w:rStyle w:val="Hyperlink"/>
            <w:i w:val="0"/>
            <w:iCs w:val="0"/>
            <w:noProof/>
          </w:rPr>
          <w:t>5.7.6</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Decommitment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_Toc60038368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5-83</w:t>
        </w:r>
        <w:r w:rsidR="00300C4D" w:rsidRPr="006D1005">
          <w:rPr>
            <w:i w:val="0"/>
            <w:iCs w:val="0"/>
            <w:noProof/>
            <w:webHidden/>
          </w:rPr>
          <w:fldChar w:fldCharType="end"/>
        </w:r>
      </w:hyperlink>
    </w:p>
    <w:p w14:paraId="1E1C09BA" w14:textId="75BE4EDF" w:rsidR="00300C4D" w:rsidRPr="006D1005" w:rsidRDefault="003B7268">
      <w:pPr>
        <w:pStyle w:val="TOC3"/>
        <w:rPr>
          <w:rFonts w:asciiTheme="minorHAnsi" w:eastAsiaTheme="minorEastAsia" w:hAnsiTheme="minorHAnsi" w:cstheme="minorBidi"/>
          <w:i w:val="0"/>
          <w:iCs w:val="0"/>
          <w:noProof/>
        </w:rPr>
      </w:pPr>
      <w:hyperlink w:anchor="_Toc60038369" w:history="1">
        <w:r w:rsidR="00300C4D" w:rsidRPr="006D1005">
          <w:rPr>
            <w:rStyle w:val="Hyperlink"/>
            <w:i w:val="0"/>
            <w:iCs w:val="0"/>
            <w:noProof/>
          </w:rPr>
          <w:t xml:space="preserve">5.7.7 </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of Switchable Generation Resources (SWGRs) Operating in a Non-ERCOT Control Area</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5-84</w:t>
        </w:r>
        <w:r w:rsidR="00300C4D" w:rsidRPr="006D1005">
          <w:rPr>
            <w:i w:val="0"/>
            <w:iCs w:val="0"/>
            <w:noProof/>
            <w:webHidden/>
          </w:rPr>
          <w:fldChar w:fldCharType="end"/>
        </w:r>
      </w:hyperlink>
    </w:p>
    <w:p w14:paraId="34ADE562" w14:textId="200A1F96" w:rsidR="00300C4D" w:rsidRPr="006D1005" w:rsidRDefault="003B7268">
      <w:pPr>
        <w:pStyle w:val="TOC2"/>
        <w:rPr>
          <w:rFonts w:asciiTheme="minorHAnsi" w:eastAsiaTheme="minorEastAsia" w:hAnsiTheme="minorHAnsi" w:cstheme="minorBidi"/>
          <w:noProof/>
        </w:rPr>
      </w:pPr>
      <w:hyperlink w:anchor="_Toc60038370" w:history="1">
        <w:r w:rsidR="00300C4D" w:rsidRPr="006D1005">
          <w:rPr>
            <w:rStyle w:val="Hyperlink"/>
            <w:noProof/>
          </w:rPr>
          <w:t>5.8</w:t>
        </w:r>
        <w:r w:rsidR="00300C4D" w:rsidRPr="006D1005">
          <w:rPr>
            <w:rFonts w:asciiTheme="minorHAnsi" w:eastAsiaTheme="minorEastAsia" w:hAnsiTheme="minorHAnsi" w:cstheme="minorBidi"/>
            <w:noProof/>
          </w:rPr>
          <w:tab/>
        </w:r>
        <w:r w:rsidR="00300C4D" w:rsidRPr="006D1005">
          <w:rPr>
            <w:rStyle w:val="Hyperlink"/>
            <w:noProof/>
          </w:rPr>
          <w:t>Annual RUC Reporting Requirement</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_Toc60038370 \h </w:instrText>
        </w:r>
        <w:r w:rsidR="00300C4D" w:rsidRPr="006D1005">
          <w:rPr>
            <w:noProof/>
            <w:webHidden/>
          </w:rPr>
        </w:r>
        <w:r w:rsidR="00300C4D" w:rsidRPr="006D1005">
          <w:rPr>
            <w:noProof/>
            <w:webHidden/>
          </w:rPr>
          <w:fldChar w:fldCharType="separate"/>
        </w:r>
        <w:r>
          <w:rPr>
            <w:noProof/>
            <w:webHidden/>
          </w:rPr>
          <w:t>5-84</w:t>
        </w:r>
        <w:r w:rsidR="00300C4D"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73F8A0F" w14:textId="77777777" w:rsidTr="00233D64">
        <w:trPr>
          <w:trHeight w:val="1205"/>
        </w:trPr>
        <w:tc>
          <w:tcPr>
            <w:tcW w:w="9350" w:type="dxa"/>
            <w:shd w:val="pct12" w:color="auto" w:fill="auto"/>
          </w:tcPr>
          <w:p w14:paraId="6FCC2FB3" w14:textId="3C0522B8"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b</w:t>
            </w:r>
            <w:r w:rsidRPr="004B32CF">
              <w:rPr>
                <w:b/>
                <w:i/>
                <w:iCs/>
              </w:rPr>
              <w:t>) above with the following upon system implementation:]</w:t>
            </w:r>
          </w:p>
          <w:p w14:paraId="074EDB4B" w14:textId="57048F2B" w:rsidR="000A55DE" w:rsidRPr="00FA3373" w:rsidRDefault="000A55DE" w:rsidP="000A55DE">
            <w:pPr>
              <w:pStyle w:val="List2"/>
            </w:pPr>
            <w:r w:rsidRPr="00705F01">
              <w:rPr>
                <w:iCs/>
              </w:rPr>
              <w:t>(b)</w:t>
            </w:r>
            <w:r w:rsidRPr="00705F01">
              <w:rPr>
                <w:iCs/>
              </w:rPr>
              <w:tab/>
              <w:t xml:space="preserve">Post to the </w:t>
            </w:r>
            <w:r>
              <w:rPr>
                <w:iCs/>
              </w:rPr>
              <w:t>ERCOT website</w:t>
            </w:r>
            <w:r w:rsidRPr="00705F01">
              <w:rPr>
                <w:iCs/>
              </w:rPr>
              <w:t xml:space="preserve"> all Resources that were committed or decommitted by the RUC process including verbal RUC commitments and decommitments and Weekly Reliability Unit Commitment (WRUC) instructions;</w:t>
            </w:r>
          </w:p>
        </w:tc>
      </w:tr>
    </w:tbl>
    <w:p w14:paraId="0C8DA8F1" w14:textId="095169FA" w:rsidR="003F77B5" w:rsidRDefault="0027199F" w:rsidP="001A585E">
      <w:pPr>
        <w:pStyle w:val="List2"/>
        <w:spacing w:before="240"/>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1BC1E2FC" w14:textId="77777777" w:rsidTr="00233D64">
        <w:trPr>
          <w:trHeight w:val="1205"/>
        </w:trPr>
        <w:tc>
          <w:tcPr>
            <w:tcW w:w="9350" w:type="dxa"/>
            <w:shd w:val="pct12" w:color="auto" w:fill="auto"/>
          </w:tcPr>
          <w:p w14:paraId="12124027" w14:textId="6C0380A2"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e</w:t>
            </w:r>
            <w:r w:rsidRPr="004B32CF">
              <w:rPr>
                <w:b/>
                <w:i/>
                <w:iCs/>
              </w:rPr>
              <w:t>) above with the following upon system implementation:]</w:t>
            </w:r>
          </w:p>
          <w:p w14:paraId="6133D010" w14:textId="343BA1D7" w:rsidR="000A55DE" w:rsidRPr="00FA3373" w:rsidRDefault="000A55DE" w:rsidP="000A55DE">
            <w:pPr>
              <w:spacing w:after="240"/>
              <w:ind w:left="1440" w:hanging="720"/>
            </w:pPr>
            <w:r w:rsidRPr="00705F01">
              <w:t>(e)</w:t>
            </w:r>
            <w:r w:rsidRPr="00705F01">
              <w:tab/>
              <w:t xml:space="preserve">Post to the </w:t>
            </w:r>
            <w:r>
              <w:t>ERCOT website</w:t>
            </w:r>
            <w:r w:rsidRPr="00705F01">
              <w:t xml:space="preserve"> all Resources that were committed by the RUC process, including verbal RUC commitments, but were subsequently cancelled by the ERCOT Operator</w:t>
            </w:r>
            <w:r>
              <w:t>.</w:t>
            </w:r>
          </w:p>
        </w:tc>
      </w:tr>
    </w:tbl>
    <w:p w14:paraId="023EDCA9" w14:textId="088A3EC3" w:rsidR="00F80C33" w:rsidRDefault="00723BFB" w:rsidP="001A585E">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lastRenderedPageBreak/>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lastRenderedPageBreak/>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67723DFB" w14:textId="77777777" w:rsidTr="00233D64">
        <w:trPr>
          <w:trHeight w:val="1205"/>
        </w:trPr>
        <w:tc>
          <w:tcPr>
            <w:tcW w:w="9350" w:type="dxa"/>
            <w:shd w:val="pct12" w:color="auto" w:fill="auto"/>
          </w:tcPr>
          <w:p w14:paraId="7B0AD8D5" w14:textId="332835CF" w:rsidR="000A55DE" w:rsidRPr="004B32CF" w:rsidRDefault="000A55DE" w:rsidP="00233D64">
            <w:pPr>
              <w:spacing w:after="240"/>
              <w:rPr>
                <w:b/>
                <w:i/>
                <w:iCs/>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11</w:t>
            </w:r>
            <w:r w:rsidRPr="004B32CF">
              <w:rPr>
                <w:b/>
                <w:i/>
                <w:iCs/>
              </w:rPr>
              <w:t>) above with the following upon system implementation:]</w:t>
            </w:r>
          </w:p>
          <w:p w14:paraId="6A2D5066" w14:textId="34D6B3C6" w:rsidR="000A55DE" w:rsidRPr="000A55DE" w:rsidRDefault="000A55DE" w:rsidP="000A55DE">
            <w:pPr>
              <w:pStyle w:val="BodyTextNumbered"/>
              <w:rPr>
                <w:iCs/>
              </w:rPr>
            </w:pPr>
            <w:r w:rsidRPr="00705F01">
              <w:t>(11)</w:t>
            </w:r>
            <w:r w:rsidRPr="00705F01">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r>
              <w:t>ERCOT website</w:t>
            </w:r>
            <w:r w:rsidRPr="00705F01">
              <w:t xml:space="preserve"> any contingencies deselected by ERCOT and must include the reason for removal as soon as practicable, but not later than one hour after deselection.</w:t>
            </w:r>
          </w:p>
        </w:tc>
      </w:tr>
    </w:tbl>
    <w:p w14:paraId="6F0912A4" w14:textId="77777777" w:rsidR="00011066" w:rsidRPr="000B7479" w:rsidRDefault="00011066" w:rsidP="00011066">
      <w:pPr>
        <w:pStyle w:val="H3"/>
        <w:rPr>
          <w:b/>
          <w:i/>
        </w:rPr>
      </w:pPr>
      <w:r w:rsidRPr="000B7479">
        <w:rPr>
          <w:b/>
          <w:i/>
        </w:rPr>
        <w:lastRenderedPageBreak/>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09691D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F7F36" w:rsidRPr="00F06E8E">
        <w:t xml:space="preserve">  For On-Line </w:t>
      </w:r>
      <w:r w:rsidR="00A128A8">
        <w:t>Energy Storage Resources (</w:t>
      </w:r>
      <w:r w:rsidR="005F7F36" w:rsidRPr="00F06E8E">
        <w:t>ESRs</w:t>
      </w:r>
      <w:r w:rsidR="00A128A8">
        <w:t>)</w:t>
      </w:r>
      <w:r w:rsidR="005F7F36" w:rsidRPr="00F06E8E">
        <w:t xml:space="preserve">,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D80593">
        <w:t>Minimum State of Charge (</w:t>
      </w:r>
      <w:r w:rsidR="005F7F36" w:rsidRPr="00F06E8E">
        <w:t>MinSOC</w:t>
      </w:r>
      <w:r w:rsidR="00D80593">
        <w:t>)</w:t>
      </w:r>
      <w:r w:rsidR="005F7F36" w:rsidRPr="00F06E8E">
        <w:t xml:space="preserve"> and </w:t>
      </w:r>
      <w:r w:rsidR="00D80593">
        <w:t>Maximum State of Charge (</w:t>
      </w:r>
      <w:r w:rsidR="005F7F36" w:rsidRPr="00F06E8E">
        <w:t>MaxSOC</w:t>
      </w:r>
      <w:r w:rsidR="00D80593">
        <w:t>)</w:t>
      </w:r>
      <w:r w:rsidR="005F7F36" w:rsidRPr="00F06E8E">
        <w:t xml:space="preserve"> values provided in the COP.</w:t>
      </w:r>
    </w:p>
    <w:p w14:paraId="59B8F73A" w14:textId="5BB5B314" w:rsidR="00011066" w:rsidRDefault="00011066" w:rsidP="000B30C9">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 xml:space="preserve">nstructions to each QSE specifying its Resources that have </w:t>
      </w:r>
      <w:r w:rsidR="008A064B" w:rsidRPr="00A4246C">
        <w:rPr>
          <w:iCs/>
        </w:rPr>
        <w:lastRenderedPageBreak/>
        <w:t>been committed as a result of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EBF49F3" w14:textId="77777777" w:rsidTr="00233D64">
        <w:trPr>
          <w:trHeight w:val="1205"/>
        </w:trPr>
        <w:tc>
          <w:tcPr>
            <w:tcW w:w="9350" w:type="dxa"/>
            <w:shd w:val="pct12" w:color="auto" w:fill="auto"/>
          </w:tcPr>
          <w:p w14:paraId="54D93167" w14:textId="3B9F1394"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2B491BE1" w14:textId="7C875FF7" w:rsidR="000A55DE" w:rsidRPr="000A55DE" w:rsidRDefault="000A55DE" w:rsidP="000A55DE">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738195A1" w14:textId="5455CCC0" w:rsidR="005314CE" w:rsidRDefault="005314CE" w:rsidP="001A585E">
      <w:pPr>
        <w:pStyle w:val="BodyTextNumberedChar"/>
        <w:spacing w:before="24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38541667" w:rsidR="005314CE" w:rsidRDefault="005314CE" w:rsidP="005314CE">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0CEC4FF4" w:rsidR="005314CE" w:rsidRPr="00B95437" w:rsidRDefault="005314CE" w:rsidP="005314CE">
      <w:pPr>
        <w:pStyle w:val="List2"/>
      </w:pPr>
      <w:r w:rsidRPr="00493107">
        <w:t>(b)</w:t>
      </w:r>
      <w:r>
        <w:tab/>
      </w:r>
      <w:r w:rsidRPr="00493107">
        <w:t xml:space="preserve">If a QSE provides notice pursuant to paragraph (a) above of a physical limitation that will delay the RUC-committed Resource’s ability to reach its LSL in accordance with a RUC Dispatch Instruction, ERCOT shall extend the RUC </w:t>
      </w:r>
      <w:r w:rsidRPr="00493107">
        <w:lastRenderedPageBreak/>
        <w:t>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60C3F1A5" w:rsidR="005314CE" w:rsidRDefault="005314CE" w:rsidP="005314CE">
      <w:pPr>
        <w:pStyle w:val="BodyTextNumberedChar"/>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581A3503" w:rsidR="00301534" w:rsidRPr="007779E2" w:rsidRDefault="00301534" w:rsidP="00301534">
      <w:pPr>
        <w:spacing w:after="240"/>
        <w:ind w:left="1440" w:hanging="720"/>
      </w:pPr>
      <w:r w:rsidRPr="007779E2">
        <w:t>(a)</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lastRenderedPageBreak/>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lastRenderedPageBreak/>
        <w:t>(1</w:t>
      </w:r>
      <w:r w:rsidR="00AF344D">
        <w:rPr>
          <w:iCs/>
        </w:rPr>
        <w:t>4</w:t>
      </w:r>
      <w:r w:rsidRPr="00335075">
        <w:rPr>
          <w:iCs/>
        </w:rPr>
        <w:t>)</w:t>
      </w:r>
      <w:r w:rsidRPr="00335075">
        <w:rPr>
          <w:iCs/>
        </w:rPr>
        <w:tab/>
      </w:r>
      <w:r w:rsidR="00B243B1"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C4B6E75" w14:textId="77777777" w:rsidTr="00233D64">
        <w:trPr>
          <w:trHeight w:val="1205"/>
        </w:trPr>
        <w:tc>
          <w:tcPr>
            <w:tcW w:w="9350" w:type="dxa"/>
            <w:shd w:val="pct12" w:color="auto" w:fill="auto"/>
          </w:tcPr>
          <w:p w14:paraId="44D41B80" w14:textId="2FF4E77A"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182FC955" w14:textId="6FD997F1" w:rsidR="000A55DE" w:rsidRPr="000A55DE" w:rsidRDefault="000A55DE" w:rsidP="000A55DE">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7427C60A" w14:textId="153F5416" w:rsidR="00383CF9" w:rsidRDefault="00383CF9" w:rsidP="001A585E">
      <w:pPr>
        <w:pStyle w:val="BodyTextNumberedChar"/>
        <w:spacing w:before="240"/>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4A98F136"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NPRR1204</w:t>
            </w:r>
            <w:r w:rsidR="000A55DE">
              <w:rPr>
                <w:b/>
                <w:i/>
                <w:iCs/>
              </w:rPr>
              <w:t>, NPRR1239</w:t>
            </w:r>
            <w:r w:rsidR="00CC5ACB">
              <w:rPr>
                <w:b/>
                <w:i/>
                <w:iCs/>
              </w:rPr>
              <w:t>, and NPRR1245</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CC5ACB">
              <w:rPr>
                <w:b/>
                <w:i/>
                <w:iCs/>
              </w:rPr>
              <w:t>,</w:t>
            </w:r>
            <w:r w:rsidR="001122B2">
              <w:rPr>
                <w:b/>
                <w:i/>
                <w:iCs/>
              </w:rPr>
              <w:t xml:space="preserve"> NPRR1204</w:t>
            </w:r>
            <w:r w:rsidR="00CC5ACB">
              <w:rPr>
                <w:b/>
                <w:i/>
                <w:iCs/>
              </w:rPr>
              <w:t>, and NPRR1245</w:t>
            </w:r>
            <w:r w:rsidR="000F68EC">
              <w:rPr>
                <w:b/>
                <w:i/>
                <w:iCs/>
              </w:rPr>
              <w:t xml:space="preserve">; </w:t>
            </w:r>
            <w:r w:rsidR="003E2880">
              <w:rPr>
                <w:b/>
                <w:i/>
                <w:iCs/>
              </w:rPr>
              <w:t>or upon system implementation for</w:t>
            </w:r>
            <w:r w:rsidR="000F68EC">
              <w:rPr>
                <w:b/>
                <w:i/>
                <w:iCs/>
              </w:rPr>
              <w:t xml:space="preserve"> NPRR1032</w:t>
            </w:r>
            <w:r w:rsidR="000A55DE">
              <w:rPr>
                <w:b/>
                <w:i/>
                <w:iCs/>
              </w:rPr>
              <w:t xml:space="preserve"> or NPRR1239</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58ABD8A3"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COP, while incorporating any adjustments under paragraph (1</w:t>
            </w:r>
            <w:r w:rsidR="00A128A8">
              <w:t>9</w:t>
            </w:r>
            <w:r w:rsidR="001122B2">
              <w:t xml:space="preserve">)(d)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w:t>
            </w:r>
            <w:r w:rsidR="00853AE9">
              <w:t>1</w:t>
            </w:r>
            <w:r w:rsidRPr="003166ED">
              <w:t>) through (</w:t>
            </w:r>
            <w:r>
              <w:t>1</w:t>
            </w:r>
            <w:r w:rsidR="00853AE9">
              <w:t>5</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DCD3803" w14:textId="77777777" w:rsidR="001122B2" w:rsidRDefault="001122B2" w:rsidP="001122B2">
            <w:pPr>
              <w:spacing w:after="240"/>
              <w:ind w:left="720" w:hanging="720"/>
            </w:pPr>
            <w:r>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lastRenderedPageBreak/>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193684DE" w:rsidR="00170C42" w:rsidRDefault="00170C42" w:rsidP="00170C42">
            <w:pPr>
              <w:spacing w:after="240"/>
              <w:ind w:left="720" w:hanging="720"/>
            </w:pPr>
            <w:r>
              <w:t>(</w:t>
            </w:r>
            <w:r w:rsidR="001122B2">
              <w:t>5</w:t>
            </w:r>
            <w:r>
              <w:t>)</w:t>
            </w:r>
            <w:r>
              <w:tab/>
              <w:t xml:space="preserve">In addition to On-Line qualified </w:t>
            </w:r>
            <w:r w:rsidR="00CC5ACB">
              <w:t xml:space="preserve">Generation </w:t>
            </w:r>
            <w:r>
              <w:t>Resources</w:t>
            </w:r>
            <w:r w:rsidR="00CC5ACB"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077345D0"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w:t>
            </w:r>
            <w:r w:rsidR="00CC5ACB">
              <w:t xml:space="preserve">Generation </w:t>
            </w:r>
            <w:r w:rsidRPr="00862ADC">
              <w:t>Resources</w:t>
            </w:r>
            <w:r w:rsidR="00CC5ACB">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57B52F8E" w14:textId="77777777" w:rsidR="00CC5ACB" w:rsidRDefault="00170C42" w:rsidP="00170C42">
            <w:pPr>
              <w:spacing w:after="240"/>
              <w:ind w:left="720" w:hanging="720"/>
            </w:pPr>
            <w:r w:rsidRPr="003166ED">
              <w:t>(</w:t>
            </w:r>
            <w:r w:rsidR="001122B2">
              <w:t>7</w:t>
            </w:r>
            <w:r w:rsidRPr="003166ED">
              <w:t>)</w:t>
            </w:r>
            <w:r w:rsidRPr="003166ED">
              <w:tab/>
            </w:r>
            <w:r w:rsidR="00CC5ACB"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6FE953AD" w14:textId="4E43B4B9" w:rsidR="00170C42" w:rsidRPr="003166ED" w:rsidRDefault="00CC5ACB" w:rsidP="00170C42">
            <w:pPr>
              <w:spacing w:after="240"/>
              <w:ind w:left="720" w:hanging="720"/>
            </w:pPr>
            <w:r>
              <w:t>(8)</w:t>
            </w:r>
            <w:r w:rsidRPr="003166ED">
              <w:tab/>
            </w:r>
            <w:r w:rsidR="00170C42" w:rsidRPr="003166ED">
              <w:t xml:space="preserve">The RUC process can recommend Resource decommitment.  ERCOT may only decommit a Resource to resolve transmission constraints that are otherwise unresolvable. </w:t>
            </w:r>
            <w:r w:rsidR="00170C42">
              <w:t xml:space="preserve"> </w:t>
            </w:r>
            <w:r w:rsidR="00170C42"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4840EABF" w:rsidR="00A316E8" w:rsidRDefault="00A316E8" w:rsidP="00A316E8">
            <w:pPr>
              <w:spacing w:after="240"/>
              <w:ind w:left="720" w:hanging="720"/>
              <w:rPr>
                <w:iCs/>
              </w:rPr>
            </w:pPr>
            <w:r w:rsidRPr="003166ED">
              <w:rPr>
                <w:iCs/>
              </w:rPr>
              <w:t>(</w:t>
            </w:r>
            <w:r w:rsidR="00CC5ACB">
              <w:rPr>
                <w:iCs/>
              </w:rPr>
              <w:t>9</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w:t>
            </w:r>
            <w:r w:rsidRPr="003166ED">
              <w:rPr>
                <w:iCs/>
              </w:rPr>
              <w:lastRenderedPageBreak/>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r w:rsidR="000A55DE">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27C147A" w:rsidR="00A316E8" w:rsidRPr="003166ED" w:rsidRDefault="00A316E8" w:rsidP="00A316E8">
            <w:pPr>
              <w:spacing w:after="240"/>
              <w:ind w:left="720" w:hanging="720"/>
            </w:pPr>
            <w:r>
              <w:rPr>
                <w:iCs/>
              </w:rPr>
              <w:t>(</w:t>
            </w:r>
            <w:r w:rsidR="00CC5ACB">
              <w:rPr>
                <w:iCs/>
              </w:rPr>
              <w:t>10</w:t>
            </w:r>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sidR="000A55DE">
              <w:rPr>
                <w:iCs/>
              </w:rPr>
              <w:t>ERCOT website</w:t>
            </w:r>
            <w:r w:rsidRPr="003166ED">
              <w:rPr>
                <w:iCs/>
              </w:rPr>
              <w:t xml:space="preserve"> any changes that ERCOT made to the RUC-recommended commitments with an explanation of the changes.</w:t>
            </w:r>
          </w:p>
          <w:p w14:paraId="69A11E2F" w14:textId="5EF8F61F" w:rsidR="00A316E8" w:rsidRPr="003166ED" w:rsidRDefault="00A316E8" w:rsidP="00A316E8">
            <w:pPr>
              <w:spacing w:after="240"/>
              <w:ind w:left="720" w:hanging="720"/>
            </w:pPr>
            <w:r w:rsidRPr="003166ED">
              <w:t>(</w:t>
            </w:r>
            <w:r w:rsidR="001122B2">
              <w:t>1</w:t>
            </w:r>
            <w:r w:rsidR="00CC5ACB">
              <w:t>1</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853AE9">
              <w:rPr>
                <w:iCs/>
              </w:rPr>
              <w:t>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041FBB4D" w:rsidR="00A316E8" w:rsidRDefault="00A316E8" w:rsidP="00A316E8">
            <w:pPr>
              <w:spacing w:after="240"/>
              <w:ind w:left="720" w:hanging="720"/>
            </w:pPr>
            <w:r w:rsidRPr="003166ED">
              <w:t>(</w:t>
            </w:r>
            <w:r>
              <w:t>1</w:t>
            </w:r>
            <w:r w:rsidR="00CC5ACB">
              <w:t>2</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853AE9">
              <w:rPr>
                <w:iCs/>
              </w:rPr>
              <w:t>5</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73F130F3" w:rsidR="00D438B2" w:rsidRDefault="00D438B2" w:rsidP="00D438B2">
            <w:pPr>
              <w:pStyle w:val="BodyTextNumberedChar"/>
              <w:rPr>
                <w:iCs/>
              </w:rPr>
            </w:pPr>
            <w:r>
              <w:rPr>
                <w:iCs/>
              </w:rPr>
              <w:t>(1</w:t>
            </w:r>
            <w:r w:rsidR="00CC5ACB">
              <w:rPr>
                <w:iCs/>
              </w:rPr>
              <w:t>3</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070876A" w:rsidR="00D438B2" w:rsidRDefault="00D438B2" w:rsidP="00D438B2">
            <w:pPr>
              <w:pStyle w:val="List2"/>
              <w:rPr>
                <w:iCs/>
              </w:rPr>
            </w:pPr>
            <w:r w:rsidRPr="00B37C88">
              <w:lastRenderedPageBreak/>
              <w:t>(a)</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807A062" w:rsidR="00D438B2" w:rsidRPr="00B95437" w:rsidRDefault="00D438B2" w:rsidP="00D438B2">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CB1CF8C" w:rsidR="00D438B2" w:rsidRDefault="00D438B2" w:rsidP="00D438B2">
            <w:pPr>
              <w:spacing w:after="240"/>
              <w:ind w:left="720" w:hanging="720"/>
            </w:pPr>
            <w:r>
              <w:t>(1</w:t>
            </w:r>
            <w:r w:rsidR="00CC5ACB">
              <w:t>4</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2CD58B66" w:rsidR="00A316E8" w:rsidRPr="003166ED" w:rsidDel="00B23B98" w:rsidRDefault="00D438B2" w:rsidP="00D438B2">
            <w:pPr>
              <w:spacing w:after="240"/>
              <w:ind w:left="720" w:hanging="720"/>
            </w:pPr>
            <w:r>
              <w:t>(1</w:t>
            </w:r>
            <w:r w:rsidR="00CC5ACB">
              <w:t>5</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6DB82460" w:rsidR="00A316E8" w:rsidRPr="003166ED" w:rsidRDefault="00D438B2" w:rsidP="00A316E8">
            <w:pPr>
              <w:spacing w:after="240"/>
              <w:ind w:left="720" w:hanging="720"/>
            </w:pPr>
            <w:r>
              <w:t>(1</w:t>
            </w:r>
            <w:r w:rsidR="00CC5ACB">
              <w:t>6</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sidR="001122B2">
              <w:t xml:space="preserve"> For ESRs, Ancillary Service Offer costs are not considered in determining projected Ancillary Service awards.</w:t>
            </w:r>
          </w:p>
          <w:p w14:paraId="156754DD" w14:textId="390A0966" w:rsidR="00A316E8" w:rsidRPr="003166ED" w:rsidRDefault="00A316E8" w:rsidP="00A316E8">
            <w:pPr>
              <w:spacing w:after="240"/>
              <w:ind w:left="720" w:hanging="720"/>
            </w:pPr>
            <w:r w:rsidRPr="003166ED">
              <w:lastRenderedPageBreak/>
              <w:t>(</w:t>
            </w:r>
            <w:r w:rsidR="00D438B2">
              <w:t>1</w:t>
            </w:r>
            <w:r w:rsidR="00CC5ACB">
              <w:t>7</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39D346C3" w:rsidR="00A316E8" w:rsidRPr="003166ED" w:rsidRDefault="00A316E8" w:rsidP="00A316E8">
            <w:pPr>
              <w:spacing w:before="240" w:after="240"/>
              <w:ind w:left="720" w:hanging="720"/>
            </w:pPr>
            <w:r w:rsidRPr="003166ED">
              <w:t>(</w:t>
            </w:r>
            <w:r w:rsidR="00D438B2">
              <w:t>1</w:t>
            </w:r>
            <w:r w:rsidR="00CC5ACB">
              <w:t>8</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lastRenderedPageBreak/>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4E19E779" w:rsidR="00A316E8" w:rsidRPr="003166ED" w:rsidRDefault="00A316E8" w:rsidP="00A316E8">
            <w:pPr>
              <w:spacing w:after="240"/>
              <w:ind w:left="720" w:hanging="720"/>
            </w:pPr>
            <w:r w:rsidRPr="003166ED">
              <w:t>(</w:t>
            </w:r>
            <w:r w:rsidR="00D438B2">
              <w:t>1</w:t>
            </w:r>
            <w:r w:rsidR="00CC5ACB">
              <w:t>9</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15B25FF" w14:textId="6EC4D843" w:rsidR="00A316E8" w:rsidRPr="003166ED" w:rsidRDefault="00A316E8" w:rsidP="00A316E8">
            <w:pPr>
              <w:spacing w:after="240"/>
              <w:ind w:left="720" w:hanging="720"/>
            </w:pPr>
            <w:r w:rsidRPr="003166ED">
              <w:rPr>
                <w:iCs/>
              </w:rPr>
              <w:t>(</w:t>
            </w:r>
            <w:r w:rsidR="00CC5ACB">
              <w:rPr>
                <w:iCs/>
              </w:rPr>
              <w:t>20</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w:t>
            </w:r>
            <w:r w:rsidR="00127BAE" w:rsidRPr="00EA71DD">
              <w:lastRenderedPageBreak/>
              <w:t>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78A150C7" w:rsidR="00A316E8" w:rsidRPr="003166ED" w:rsidRDefault="00D438B2" w:rsidP="00A316E8">
            <w:pPr>
              <w:spacing w:after="240"/>
              <w:ind w:left="720" w:hanging="720"/>
              <w:rPr>
                <w:iCs/>
              </w:rPr>
            </w:pPr>
            <w:r>
              <w:rPr>
                <w:iCs/>
              </w:rPr>
              <w:t>(</w:t>
            </w:r>
            <w:r w:rsidR="0018228C">
              <w:rPr>
                <w:iCs/>
              </w:rPr>
              <w:t>2</w:t>
            </w:r>
            <w:r w:rsidR="00CC5ACB">
              <w:rPr>
                <w:iCs/>
              </w:rPr>
              <w:t>1</w:t>
            </w:r>
            <w:r w:rsidR="00A316E8" w:rsidRPr="003166ED">
              <w:rPr>
                <w:iCs/>
              </w:rPr>
              <w:t>)</w:t>
            </w:r>
            <w:r w:rsidR="00A316E8" w:rsidRPr="003166ED">
              <w:rPr>
                <w:iCs/>
              </w:rPr>
              <w:tab/>
              <w:t xml:space="preserve">ERCOT shall, as soon as practicable, post to the </w:t>
            </w:r>
            <w:r w:rsidR="000A55DE">
              <w:rPr>
                <w:iCs/>
              </w:rPr>
              <w:t>ERCOT website</w:t>
            </w:r>
            <w:r w:rsidR="00A316E8" w:rsidRPr="003166ED">
              <w:rPr>
                <w:iCs/>
              </w:rPr>
              <w:t xml:space="preserve"> a report identifying those hours that were considered RUC Buy-Back Hours, along with the name of each RUC-committed Resource whose QSE opted out of RUC Settlement.</w:t>
            </w:r>
          </w:p>
          <w:p w14:paraId="77C4F410" w14:textId="7B5E64D5" w:rsidR="00A316E8" w:rsidRDefault="00D438B2" w:rsidP="00A316E8">
            <w:pPr>
              <w:spacing w:after="240"/>
              <w:ind w:left="720" w:hanging="720"/>
            </w:pPr>
            <w:r>
              <w:rPr>
                <w:iCs/>
              </w:rPr>
              <w:t>(2</w:t>
            </w:r>
            <w:r w:rsidR="00CC5ACB">
              <w:rPr>
                <w:iCs/>
              </w:rPr>
              <w:t>2</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4EFF2E1B" w:rsidR="00127BAE" w:rsidRPr="00A316E8" w:rsidRDefault="00127BAE" w:rsidP="00A316E8">
            <w:pPr>
              <w:spacing w:after="240"/>
              <w:ind w:left="720" w:hanging="720"/>
              <w:rPr>
                <w:iCs/>
              </w:rPr>
            </w:pPr>
            <w:r w:rsidRPr="00EA71DD">
              <w:t>(2</w:t>
            </w:r>
            <w:r w:rsidR="00CC5ACB">
              <w:t>3</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 xml:space="preserve">ERCOT shall notify each QSE in the Day-Ahead of the DRUC Resource commitments and advisory decommitments that have been cleared by the RUC for the Resources that </w:t>
      </w:r>
      <w:r>
        <w:lastRenderedPageBreak/>
        <w:t>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lastRenderedPageBreak/>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lastRenderedPageBreak/>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lastRenderedPageBreak/>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99656400"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lastRenderedPageBreak/>
        <w:t xml:space="preserve">(2) </w:t>
      </w:r>
      <w:r w:rsidRPr="00F057BA">
        <w:tab/>
        <w:t>Notwithstanding the clawback provisions described in Section 5.7.2, RUC Clawback Charge,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lastRenderedPageBreak/>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lastRenderedPageBreak/>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2pt;height:23.4pt" o:ole="">
            <v:imagedata r:id="rId19" o:title=""/>
          </v:shape>
          <o:OLEObject Type="Embed" ProgID="Equation.3" ShapeID="_x0000_i1026" DrawAspect="Content" ObjectID="_1799656401"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99656402"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FC4FCC">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FC4FCC">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lastRenderedPageBreak/>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FC4FC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FC4FCC">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FCC">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FC4FCC">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FCC">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FCC">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lastRenderedPageBreak/>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lastRenderedPageBreak/>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10.2pt;height:23.4pt" o:ole="">
            <v:imagedata r:id="rId25" o:title=""/>
          </v:shape>
          <o:OLEObject Type="Embed" ProgID="Equation.3" ShapeID="_x0000_i1028" DrawAspect="Content" ObjectID="_1799656403"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lastRenderedPageBreak/>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10.2pt;height:23.4pt" o:ole="">
            <v:imagedata r:id="rId25" o:title=""/>
          </v:shape>
          <o:OLEObject Type="Embed" ProgID="Equation.3" ShapeID="_x0000_i1029" DrawAspect="Content" ObjectID="_1799656404"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10.2pt;height:23.4pt" o:ole="">
                  <v:imagedata r:id="rId25" o:title=""/>
                </v:shape>
                <o:OLEObject Type="Embed" ProgID="Equation.3" ShapeID="_x0000_i1030" DrawAspect="Content" ObjectID="_1799656405"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10.2pt;height:23.4pt" o:ole="">
                  <v:imagedata r:id="rId25" o:title=""/>
                </v:shape>
                <o:OLEObject Type="Embed" ProgID="Equation.3" ShapeID="_x0000_i1031" DrawAspect="Content" ObjectID="_1799656406"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lastRenderedPageBreak/>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Revenue Less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10.2pt;height:23.4pt" o:ole="">
            <v:imagedata r:id="rId30" o:title=""/>
          </v:shape>
          <o:OLEObject Type="Embed" ProgID="Equation.3" ShapeID="_x0000_i1032" DrawAspect="Content" ObjectID="_1799656407"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FC4FC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FCC">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FCC">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FCC">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FCC">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10.2pt;height:23.4pt" o:ole="">
                  <v:imagedata r:id="rId30" o:title=""/>
                </v:shape>
                <o:OLEObject Type="Embed" ProgID="Equation.3" ShapeID="_x0000_i1033" DrawAspect="Content" ObjectID="_1799656408"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FC4FCC">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rsidP="00FC4FCC">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FC4FCC">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FC4FCC">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FCC">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FCC">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proofErr w:type="spellStart"/>
            <w:r w:rsidR="00E3326A">
              <w:rPr>
                <w:i/>
              </w:rPr>
              <w:t>r</w:t>
            </w:r>
            <w:proofErr w:type="spellEnd"/>
            <w:r w:rsidR="00E3326A">
              <w:rPr>
                <w:i/>
              </w:rPr>
              <w:t xml:space="preserve">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QSE-Clawback Intervals calculated in Section 5.7.1.4, Revenue Less Cost During QSE Clawback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Clawback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10.2pt;height:23.4pt" o:ole="">
            <v:imagedata r:id="rId25" o:title=""/>
          </v:shape>
          <o:OLEObject Type="Embed" ProgID="Equation.3" ShapeID="_x0000_i1034" DrawAspect="Content" ObjectID="_1799656409"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10.2pt;height:23.4pt" o:ole="">
            <v:imagedata r:id="rId25" o:title=""/>
          </v:shape>
          <o:OLEObject Type="Embed" ProgID="Equation.3" ShapeID="_x0000_i1035" DrawAspect="Content" ObjectID="_1799656410"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lastRenderedPageBreak/>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lastRenderedPageBreak/>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 (2)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For each RUC-committed Resource, the RUC Clawback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10.2pt;height:23.4pt" o:ole="">
                  <v:imagedata r:id="rId25" o:title=""/>
                </v:shape>
                <o:OLEObject Type="Embed" ProgID="Equation.3" ShapeID="_x0000_i1036" DrawAspect="Content" ObjectID="_1799656411"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10.2pt;height:23.4pt" o:ole="">
                  <v:imagedata r:id="rId25" o:title=""/>
                </v:shape>
                <o:OLEObject Type="Embed" ProgID="Equation.3" ShapeID="_x0000_i1037" DrawAspect="Content" ObjectID="_1799656412"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lastRenderedPageBreak/>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lastRenderedPageBreak/>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lastRenderedPageBreak/>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r>
        <w:t>RUCDCAMT</w:t>
      </w:r>
      <w:r>
        <w:rPr>
          <w:i/>
          <w:vertAlign w:val="subscript"/>
        </w:rPr>
        <w:t>q,r,h</w:t>
      </w:r>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10.2pt;height:23.4pt" o:ole="">
            <v:imagedata r:id="rId30" o:title=""/>
          </v:shape>
          <o:OLEObject Type="Embed" ProgID="Equation.3" ShapeID="_x0000_i1038" DrawAspect="Content" ObjectID="_1799656413"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FC4FC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FC4FCC">
      <w:pPr>
        <w:pStyle w:val="Formula"/>
      </w:pPr>
      <w:r>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FCC">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FCC">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FCC">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FC4FCC">
      <w:pPr>
        <w:pStyle w:val="Formula"/>
      </w:pPr>
      <w:r>
        <w:t>If ERCOT has approved verifiable Startup Costs and minimum-energy costs for the Resource,</w:t>
      </w:r>
    </w:p>
    <w:p w14:paraId="1220D574" w14:textId="77777777" w:rsidR="00F80C33" w:rsidRDefault="00723BFB" w:rsidP="00FC4FCC">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FC4FCC">
      <w:pPr>
        <w:pStyle w:val="Formula"/>
      </w:pPr>
      <w:r>
        <w:lastRenderedPageBreak/>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FC4FCC">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FC4FCC">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lastRenderedPageBreak/>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0C3B35C" w14:textId="77777777" w:rsidTr="00233D64">
        <w:trPr>
          <w:trHeight w:val="1205"/>
        </w:trPr>
        <w:tc>
          <w:tcPr>
            <w:tcW w:w="9350" w:type="dxa"/>
            <w:shd w:val="pct12" w:color="auto" w:fill="auto"/>
          </w:tcPr>
          <w:p w14:paraId="411B9BFB" w14:textId="6130E853" w:rsidR="000A55DE" w:rsidRPr="004B32CF" w:rsidRDefault="000A55DE" w:rsidP="00233D64">
            <w:pPr>
              <w:spacing w:after="240"/>
              <w:rPr>
                <w:b/>
                <w:i/>
                <w:iCs/>
              </w:rPr>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2</w:t>
            </w:r>
            <w:r w:rsidRPr="004B32CF">
              <w:rPr>
                <w:b/>
                <w:i/>
                <w:iCs/>
              </w:rPr>
              <w:t>) above with the following upon system implementation:]</w:t>
            </w:r>
          </w:p>
          <w:p w14:paraId="5B3BD0BC" w14:textId="68617F06" w:rsidR="000A55DE" w:rsidRPr="000A55DE" w:rsidRDefault="000A55DE" w:rsidP="000A55DE">
            <w:pPr>
              <w:spacing w:after="240"/>
              <w:ind w:left="720" w:hanging="720"/>
              <w:rPr>
                <w:iCs/>
              </w:rPr>
            </w:pPr>
            <w:r w:rsidRPr="00705F01">
              <w:rPr>
                <w:iCs/>
              </w:rPr>
              <w:t>(2)</w:t>
            </w:r>
            <w:r w:rsidRPr="00705F01">
              <w:rPr>
                <w:iCs/>
              </w:rPr>
              <w:tab/>
              <w:t xml:space="preserve">On a monthly basis, within ten days after the Initial Settlement of the last day of the month has been completed, ERCOT shall post on the </w:t>
            </w:r>
            <w:r>
              <w:rPr>
                <w:iCs/>
              </w:rPr>
              <w:t>ERCOT website</w:t>
            </w:r>
            <w:r w:rsidRPr="00705F01">
              <w:rPr>
                <w:iCs/>
              </w:rPr>
              <w:t xml:space="preserve"> the total RUC Make-Whole Charges and RUC Clawback Payment Amounts, by Settlement Interval, by QSE capacity-shortfall and by amount uplifted.</w:t>
            </w:r>
          </w:p>
        </w:tc>
      </w:tr>
    </w:tbl>
    <w:p w14:paraId="26EBE405" w14:textId="77777777" w:rsidR="00F80C33" w:rsidRDefault="00723BFB" w:rsidP="001A585E">
      <w:pPr>
        <w:pStyle w:val="H4"/>
        <w:spacing w:before="480"/>
        <w:ind w:left="1267" w:hanging="1267"/>
      </w:pPr>
      <w:r>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w:t>
      </w:r>
      <w:r w:rsidR="00723BFB">
        <w:lastRenderedPageBreak/>
        <w:t xml:space="preserve">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FC4FC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10.2pt;height:22.8pt" o:ole="">
            <v:imagedata r:id="rId38" o:title=""/>
          </v:shape>
          <o:OLEObject Type="Embed" ProgID="Equation.3" ShapeID="_x0000_i1039" DrawAspect="Content" ObjectID="_1799656414" r:id="rId39"/>
        </w:object>
      </w:r>
      <w:r w:rsidR="00F80C33" w:rsidRPr="00F80C33">
        <w:rPr>
          <w:position w:val="-18"/>
        </w:rPr>
        <w:object w:dxaOrig="220" w:dyaOrig="420" w14:anchorId="44F0D0A1">
          <v:shape id="_x0000_i1040" type="#_x0000_t75" style="width:10.2pt;height:21pt" o:ole="">
            <v:imagedata r:id="rId40" o:title=""/>
          </v:shape>
          <o:OLEObject Type="Embed" ProgID="Equation.3" ShapeID="_x0000_i1040" DrawAspect="Content" ObjectID="_1799656415"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35B6EFAB" w:rsidR="00F80C33" w:rsidRDefault="00723BFB" w:rsidP="00FC4FCC">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2944A8">
        <w:tab/>
      </w:r>
      <w:r>
        <w:t xml:space="preserve"> =</w:t>
      </w:r>
      <w:r>
        <w:tab/>
      </w:r>
      <w:r w:rsidR="00F80C33" w:rsidRPr="00F80C33">
        <w:rPr>
          <w:position w:val="-18"/>
        </w:rPr>
        <w:object w:dxaOrig="220" w:dyaOrig="420" w14:anchorId="65807CB0">
          <v:shape id="_x0000_i1041" type="#_x0000_t75" style="width:10.2pt;height:21pt" o:ole="">
            <v:imagedata r:id="rId42" o:title=""/>
          </v:shape>
          <o:OLEObject Type="Embed" ProgID="Equation.3" ShapeID="_x0000_i1041" DrawAspect="Content" ObjectID="_1799656416" r:id="rId43"/>
        </w:object>
      </w:r>
      <w:r w:rsidR="001D6962">
        <w:rPr>
          <w:lang w:val="en-US"/>
        </w:rPr>
        <w:t>(</w:t>
      </w:r>
      <w:r w:rsidR="00FC4FCC">
        <w:rPr>
          <w:lang w:val="en-US"/>
        </w:rPr>
        <w:t>RUC</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w:t>
      </w:r>
      <w:r w:rsidR="00FC4FCC">
        <w:rPr>
          <w:lang w:val="en-US"/>
        </w:rPr>
        <w:t>RUC</w:t>
      </w:r>
      <w:r w:rsidR="001D6962">
        <w:t>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C32FD8">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2BA69E8B" w:rsidR="00F80C33" w:rsidRDefault="00BA19D8">
            <w:pPr>
              <w:pStyle w:val="TableBody"/>
            </w:pPr>
            <w:r>
              <w:t>RUC</w:t>
            </w:r>
            <w:r w:rsidR="00723BFB">
              <w:t>HSL</w:t>
            </w:r>
            <w:r w:rsidR="00D75181">
              <w:t xml:space="preserve"> </w:t>
            </w:r>
            <w:proofErr w:type="spellStart"/>
            <w:r w:rsidR="00723BFB">
              <w:rPr>
                <w:i/>
                <w:vertAlign w:val="subscript"/>
              </w:rPr>
              <w:t>ruc</w:t>
            </w:r>
            <w:proofErr w:type="spellEnd"/>
            <w:r w:rsidR="00723BFB">
              <w:rPr>
                <w:i/>
                <w:vertAlign w:val="subscript"/>
              </w:rPr>
              <w:t>,</w:t>
            </w:r>
            <w:r w:rsidR="00D75181">
              <w:rPr>
                <w:i/>
                <w:vertAlign w:val="subscript"/>
              </w:rPr>
              <w:t xml:space="preserve"> </w:t>
            </w:r>
            <w:r>
              <w:rPr>
                <w:i/>
                <w:vertAlign w:val="subscript"/>
              </w:rPr>
              <w:t xml:space="preserve">q, r, </w:t>
            </w:r>
            <w:r w:rsidR="00723BFB">
              <w:rPr>
                <w:i/>
                <w:vertAlign w:val="subscript"/>
              </w:rPr>
              <w:t>h</w:t>
            </w:r>
          </w:p>
        </w:tc>
        <w:tc>
          <w:tcPr>
            <w:tcW w:w="342" w:type="pct"/>
          </w:tcPr>
          <w:p w14:paraId="0A78C57A" w14:textId="77777777" w:rsidR="00F80C33" w:rsidRDefault="00723BFB">
            <w:pPr>
              <w:pStyle w:val="TableBody"/>
              <w:jc w:val="center"/>
            </w:pPr>
            <w:r>
              <w:t>MW</w:t>
            </w:r>
          </w:p>
        </w:tc>
        <w:tc>
          <w:tcPr>
            <w:tcW w:w="3221" w:type="pct"/>
          </w:tcPr>
          <w:p w14:paraId="563C8A06" w14:textId="5724DAA2" w:rsidR="00F80C33" w:rsidRDefault="00FC4FCC" w:rsidP="00006F4D">
            <w:pPr>
              <w:pStyle w:val="TableBody"/>
            </w:pPr>
            <w:r w:rsidRPr="004C674A">
              <w:rPr>
                <w:i/>
              </w:rPr>
              <w:t>High Sustained Limit at RUC Snapshot</w:t>
            </w:r>
            <w:r w:rsidRPr="004C674A">
              <w:t xml:space="preserve">—The HSL of Generation Resource </w:t>
            </w:r>
            <w:r w:rsidRPr="004C674A">
              <w:rPr>
                <w:i/>
              </w:rPr>
              <w:t xml:space="preserve">r </w:t>
            </w:r>
            <w:r w:rsidRPr="004C674A">
              <w:t xml:space="preserve">represented by QSE </w:t>
            </w:r>
            <w:r w:rsidRPr="004C674A">
              <w:rPr>
                <w:i/>
              </w:rPr>
              <w:t>q</w:t>
            </w:r>
            <w:r w:rsidRPr="004C674A">
              <w:t xml:space="preserve"> for the hour </w:t>
            </w:r>
            <w:r w:rsidRPr="004C674A">
              <w:rPr>
                <w:i/>
              </w:rPr>
              <w:t>h</w:t>
            </w:r>
            <w:r w:rsidRPr="004C674A">
              <w:t xml:space="preserve">, according to the COP and Trades Snapshot for the RUC process </w:t>
            </w:r>
            <w:proofErr w:type="spellStart"/>
            <w:r w:rsidRPr="004C674A">
              <w:rPr>
                <w:i/>
              </w:rPr>
              <w:t>ruc</w:t>
            </w:r>
            <w:proofErr w:type="spellEnd"/>
            <w:r w:rsidRPr="004C674A">
              <w:t xml:space="preserve">.  Where for a Combined </w:t>
            </w:r>
            <w:r w:rsidRPr="004C674A">
              <w:lastRenderedPageBreak/>
              <w:t xml:space="preserve">Cycle Train, the Resource </w:t>
            </w:r>
            <w:r w:rsidRPr="004C674A">
              <w:rPr>
                <w:i/>
              </w:rPr>
              <w:t xml:space="preserve">r </w:t>
            </w:r>
            <w:r w:rsidRPr="004C674A">
              <w:t>is a 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lastRenderedPageBreak/>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042D1695" w:rsidR="00F80C33" w:rsidRDefault="00723BFB">
      <w:pPr>
        <w:pStyle w:val="BodyTextNumbered"/>
      </w:pPr>
      <w:r>
        <w:t>(1)</w:t>
      </w:r>
      <w:r>
        <w:tab/>
      </w:r>
      <w:r w:rsidR="00FC4FCC" w:rsidRPr="004C674A">
        <w:t xml:space="preserve">In calculating the amount short for each QSE, the available capacity of an IRR when determining responsibility for the corresponding RUC charges shall be the </w:t>
      </w:r>
      <w:r w:rsidR="00833991" w:rsidRPr="004C674A">
        <w:t>less</w:t>
      </w:r>
      <w:r w:rsidR="00833991">
        <w:t>e</w:t>
      </w:r>
      <w:r w:rsidR="00833991" w:rsidRPr="004C674A">
        <w:t xml:space="preserve">r </w:t>
      </w:r>
      <w:r w:rsidR="00FC4FCC"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00FC4FCC" w:rsidRPr="004C674A" w:rsidDel="00DD4128">
        <w:t xml:space="preserve"> </w:t>
      </w:r>
      <w:r w:rsidR="00FC4FCC" w:rsidRPr="004C674A">
        <w:t>at the time of RUC execution.  For an IRR, the HASLSNAP variable used below shall be equal to the minimum of the WGRPP or PVGRPP described above and the HSL value as reflected in the QSE’s COP, at the time of the RUC execution.</w:t>
      </w:r>
      <w:r w:rsidR="00FC4FCC" w:rsidDel="00FC4FCC">
        <w:t xml:space="preserve"> </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lastRenderedPageBreak/>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2" type="#_x0000_t75" style="width:10.2pt;height:22.8pt" o:ole="">
            <v:imagedata r:id="rId44" o:title=""/>
          </v:shape>
          <o:OLEObject Type="Embed" ProgID="Equation.3" ShapeID="_x0000_i1042" DrawAspect="Content" ObjectID="_1799656417" r:id="rId45"/>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3" type="#_x0000_t75" style="width:48.6pt;height:22.8pt" o:ole="">
            <v:imagedata r:id="rId46" o:title=""/>
          </v:shape>
          <o:OLEObject Type="Embed" ProgID="Equation.3" ShapeID="_x0000_i1043" DrawAspect="Content" ObjectID="_1799656418" r:id="rId47"/>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4" type="#_x0000_t75" style="width:10.2pt;height:22.8pt" o:ole="">
            <v:imagedata r:id="rId48" o:title=""/>
          </v:shape>
          <o:OLEObject Type="Embed" ProgID="Equation.3" ShapeID="_x0000_i1044" DrawAspect="Content" ObjectID="_1799656419" r:id="rId49"/>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5" type="#_x0000_t75" style="width:10.2pt;height:21pt" o:ole="">
            <v:imagedata r:id="rId50" o:title=""/>
          </v:shape>
          <o:OLEObject Type="Embed" ProgID="Equation.3" ShapeID="_x0000_i1045" DrawAspect="Content" ObjectID="_1799656420" r:id="rId51"/>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6" type="#_x0000_t75" style="width:10.2pt;height:22.8pt" o:ole="">
            <v:imagedata r:id="rId52" o:title=""/>
          </v:shape>
          <o:OLEObject Type="Embed" ProgID="Equation.3" ShapeID="_x0000_i1046" DrawAspect="Content" ObjectID="_1799656421" r:id="rId53"/>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7" type="#_x0000_t75" style="width:10.2pt;height:22.8pt" o:ole="">
            <v:imagedata r:id="rId54" o:title=""/>
          </v:shape>
          <o:OLEObject Type="Embed" ProgID="Equation.3" ShapeID="_x0000_i1047" DrawAspect="Content" ObjectID="_1799656422" r:id="rId5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8" type="#_x0000_t75" style="width:10.2pt;height:22.8pt" o:ole="">
            <v:imagedata r:id="rId56" o:title=""/>
          </v:shape>
          <o:OLEObject Type="Embed" ProgID="Equation.3" ShapeID="_x0000_i1048" DrawAspect="Content" ObjectID="_1799656423"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9" type="#_x0000_t75" style="width:10.2pt;height:22.8pt" o:ole="">
            <v:imagedata r:id="rId58" o:title=""/>
          </v:shape>
          <o:OLEObject Type="Embed" ProgID="Equation.3" ShapeID="_x0000_i1049" DrawAspect="Content" ObjectID="_1799656424"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0" type="#_x0000_t75" style="width:7.8pt;height:22.8pt" o:ole="">
            <v:imagedata r:id="rId52" o:title=""/>
          </v:shape>
          <o:OLEObject Type="Embed" ProgID="Equation.3" ShapeID="_x0000_i1050" DrawAspect="Content" ObjectID="_1799656425"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1" type="#_x0000_t75" style="width:10.2pt;height:22.8pt" o:ole="">
            <v:imagedata r:id="rId48" o:title=""/>
          </v:shape>
          <o:OLEObject Type="Embed" ProgID="Equation.3" ShapeID="_x0000_i1051" DrawAspect="Content" ObjectID="_1799656426" r:id="rId61"/>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2" type="#_x0000_t75" style="width:37.8pt;height:22.8pt" o:ole="">
            <v:imagedata r:id="rId62" o:title=""/>
          </v:shape>
          <o:OLEObject Type="Embed" ProgID="Equation.3" ShapeID="_x0000_i1052" DrawAspect="Content" ObjectID="_1799656427" r:id="rId63"/>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lastRenderedPageBreak/>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3" type="#_x0000_t75" style="width:10.2pt;height:21pt" o:ole="">
            <v:imagedata r:id="rId64" o:title=""/>
          </v:shape>
          <o:OLEObject Type="Embed" ProgID="Equation.3" ShapeID="_x0000_i1053" DrawAspect="Content" ObjectID="_1799656428" r:id="rId65"/>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4" type="#_x0000_t75" style="width:7.8pt;height:22.8pt" o:ole="">
            <v:imagedata r:id="rId52" o:title=""/>
          </v:shape>
          <o:OLEObject Type="Embed" ProgID="Equation.3" ShapeID="_x0000_i1054" DrawAspect="Content" ObjectID="_1799656429" r:id="rId6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5" type="#_x0000_t75" style="width:10.2pt;height:22.8pt" o:ole="">
            <v:imagedata r:id="rId54" o:title=""/>
          </v:shape>
          <o:OLEObject Type="Embed" ProgID="Equation.3" ShapeID="_x0000_i1055" DrawAspect="Content" ObjectID="_1799656430" r:id="rId67"/>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6" type="#_x0000_t75" style="width:10.2pt;height:22.8pt" o:ole="">
            <v:imagedata r:id="rId52" o:title=""/>
          </v:shape>
          <o:OLEObject Type="Embed" ProgID="Equation.3" ShapeID="_x0000_i1056" DrawAspect="Content" ObjectID="_1799656431" r:id="rId68"/>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7" type="#_x0000_t75" style="width:10.2pt;height:22.8pt" o:ole="">
            <v:imagedata r:id="rId52" o:title=""/>
          </v:shape>
          <o:OLEObject Type="Embed" ProgID="Equation.3" ShapeID="_x0000_i1057" DrawAspect="Content" ObjectID="_1799656432" r:id="rId69"/>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8" type="#_x0000_t75" style="width:7.8pt;height:22.8pt" o:ole="">
            <v:imagedata r:id="rId52" o:title=""/>
          </v:shape>
          <o:OLEObject Type="Embed" ProgID="Equation.3" ShapeID="_x0000_i1058" DrawAspect="Content" ObjectID="_1799656433" r:id="rId70"/>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lastRenderedPageBreak/>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lastRenderedPageBreak/>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6D0AD0DE"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763C79">
              <w:rPr>
                <w:b/>
                <w:i/>
                <w:iCs/>
              </w:rPr>
              <w:t>, and NPRR1236</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w:t>
            </w:r>
            <w:r w:rsidR="00763C79">
              <w:rPr>
                <w:b/>
                <w:i/>
                <w:iCs/>
              </w:rPr>
              <w:t xml:space="preserve"> and NPRR1236</w:t>
            </w:r>
            <w:r w:rsidR="00291B10">
              <w:rPr>
                <w:b/>
                <w:i/>
                <w:iCs/>
              </w:rPr>
              <w:t xml:space="preserve">; or upon system implementation </w:t>
            </w:r>
            <w:r w:rsidR="003E2880">
              <w:rPr>
                <w:b/>
                <w:i/>
                <w:iCs/>
              </w:rPr>
              <w:t>for NPRR1014</w:t>
            </w:r>
            <w:r w:rsidR="00417783">
              <w:rPr>
                <w:b/>
                <w:i/>
                <w:iCs/>
              </w:rPr>
              <w:t>,</w:t>
            </w:r>
            <w:r w:rsidR="002B1894">
              <w:rPr>
                <w:b/>
                <w:i/>
                <w:iCs/>
              </w:rPr>
              <w:t xml:space="preserve"> NPRR1029</w:t>
            </w:r>
            <w:r w:rsidR="00417783">
              <w:rPr>
                <w:b/>
                <w:i/>
                <w:iCs/>
              </w:rPr>
              <w:t>,</w:t>
            </w:r>
            <w:r w:rsidR="00FC4FCC">
              <w:rPr>
                <w:b/>
                <w:i/>
                <w:iCs/>
              </w:rPr>
              <w:t xml:space="preserve"> or</w:t>
            </w:r>
            <w:r w:rsidR="00417783">
              <w:rPr>
                <w:b/>
                <w:i/>
                <w:iCs/>
              </w:rPr>
              <w:t xml:space="preserve"> NPRR1032</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759353B6"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763C79">
              <w:t xml:space="preserve"> (RCAPSNAP and RCAPADJ)</w:t>
            </w:r>
            <w:r w:rsidR="00B970B6" w:rsidRPr="004B6091">
              <w:t xml:space="preserve"> </w:t>
            </w:r>
            <w:r w:rsidR="00B970B6">
              <w:t>shall be</w:t>
            </w:r>
            <w:r w:rsidR="00B970B6" w:rsidRPr="004B6091">
              <w:t xml:space="preserve"> </w:t>
            </w:r>
            <w:r w:rsidR="00B970B6" w:rsidRPr="004B6091">
              <w:rPr>
                <w:szCs w:val="24"/>
              </w:rPr>
              <w:t>calculated for a Generation Resource</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06FB02D1"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w:t>
            </w:r>
            <w:r w:rsidR="0035379F" w:rsidRPr="004C674A">
              <w:t>less</w:t>
            </w:r>
            <w:r w:rsidR="0035379F">
              <w:t>e</w:t>
            </w:r>
            <w:r w:rsidR="0035379F" w:rsidRPr="004C674A">
              <w:t xml:space="preserve">r </w:t>
            </w:r>
            <w:r w:rsidR="00260613" w:rsidRPr="004C674A">
              <w:t>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w:t>
            </w:r>
            <w:r w:rsidRPr="004B6091">
              <w:lastRenderedPageBreak/>
              <w:t>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3F08077" w14:textId="77777777" w:rsidR="00763C79" w:rsidRDefault="00763C79" w:rsidP="00763C79">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A QSE’s Ancillary Service shortfall</w:t>
            </w:r>
            <w:r>
              <w:t xml:space="preserve"> for an hour</w:t>
            </w:r>
            <w:r w:rsidRPr="005F2EC7">
              <w:t xml:space="preserve"> is the difference between the QSE’s net </w:t>
            </w:r>
            <w:r>
              <w:t>Ancillary Service</w:t>
            </w:r>
            <w:r w:rsidRPr="005F2EC7">
              <w:t xml:space="preserve"> position and </w:t>
            </w:r>
            <w:r>
              <w:t>its coverage of Ancillary 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7C7D39A2" w14:textId="77777777" w:rsidR="00763C79" w:rsidRDefault="00763C79" w:rsidP="00763C79">
            <w:pPr>
              <w:spacing w:after="240"/>
              <w:ind w:left="1416" w:hanging="696"/>
            </w:pPr>
            <w:r>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for a given hour in the RUC Snapshot or at 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6B18E4F9" w14:textId="77777777" w:rsidR="00763C79" w:rsidRPr="00C20335" w:rsidRDefault="00763C79" w:rsidP="00763C79">
            <w:pPr>
              <w:spacing w:after="240" w:line="259" w:lineRule="auto"/>
              <w:ind w:left="2136" w:hanging="720"/>
            </w:pPr>
            <w:r>
              <w:t>(i)</w:t>
            </w:r>
            <w:r w:rsidRPr="004B6091">
              <w:tab/>
            </w:r>
            <w:r w:rsidRPr="00C20335">
              <w:t>HSL minus LSL in the COP if the Resource is On-</w:t>
            </w:r>
            <w:r>
              <w:t>L</w:t>
            </w:r>
            <w:r w:rsidRPr="00C20335">
              <w:t>ine</w:t>
            </w:r>
            <w:r>
              <w:t xml:space="preserve"> (ON, ONOS, ONSC, and ONL)</w:t>
            </w:r>
            <w:r w:rsidRPr="00C20335">
              <w:t xml:space="preserve">. </w:t>
            </w:r>
            <w:r>
              <w:t xml:space="preserve"> </w:t>
            </w:r>
            <w:r w:rsidRPr="00C20335">
              <w:t>If a Generation Resource COP Resource Status is OFF or OFFQS, only the COP HSL is used</w:t>
            </w:r>
            <w:r>
              <w:t>.  For a Combined Cycle Train, the Resource refers to a particular Combined Cycle Generation Resource belonging to that Combined Cycle Train.  For a Combined Cycle Train, select the Combined Cycle Generation Resource that is On-Line (ON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35151EAB" w14:textId="77777777" w:rsidR="00763C79" w:rsidRPr="00C20335" w:rsidRDefault="00763C79" w:rsidP="00763C79">
            <w:pPr>
              <w:spacing w:after="240" w:line="259" w:lineRule="auto"/>
              <w:ind w:left="2136" w:hanging="720"/>
            </w:pPr>
            <w:r>
              <w:lastRenderedPageBreak/>
              <w:t>(ii)</w:t>
            </w:r>
            <w:r w:rsidRPr="004B6091">
              <w:tab/>
            </w:r>
            <w:r w:rsidRPr="00C20335">
              <w:t>Submitted Ancillary Service Offer MW quantity for the Ancillary Service type/sub-type;</w:t>
            </w:r>
          </w:p>
          <w:p w14:paraId="0646437E" w14:textId="77777777" w:rsidR="00763C79" w:rsidRPr="00C20335" w:rsidRDefault="00763C79" w:rsidP="00763C79">
            <w:pPr>
              <w:spacing w:after="240" w:line="259" w:lineRule="auto"/>
              <w:ind w:left="2136" w:hanging="720"/>
            </w:pPr>
            <w:r>
              <w:t>(iii)</w:t>
            </w:r>
            <w:r w:rsidRPr="004B6091">
              <w:tab/>
            </w:r>
            <w:r w:rsidRPr="00C20335">
              <w:t>Submitted COP Ancillary Service MW capability; and</w:t>
            </w:r>
          </w:p>
          <w:p w14:paraId="5097E32F" w14:textId="77777777" w:rsidR="00763C79" w:rsidRPr="00C20335" w:rsidRDefault="00763C79" w:rsidP="00763C79">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p>
          <w:p w14:paraId="6DF35491" w14:textId="77777777" w:rsidR="00763C79" w:rsidRDefault="00763C79" w:rsidP="00763C79">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2B003E5B" w14:textId="77777777" w:rsidR="00763C79" w:rsidRPr="00C20335" w:rsidRDefault="00763C79" w:rsidP="00763C79">
            <w:pPr>
              <w:spacing w:after="240" w:line="259" w:lineRule="auto"/>
              <w:ind w:left="2136" w:hanging="720"/>
            </w:pPr>
            <w:r>
              <w:t>(i)</w:t>
            </w:r>
            <w:r w:rsidRPr="004B6091">
              <w:tab/>
            </w:r>
            <w:r w:rsidRPr="00C20335">
              <w:t>Ensure that a QSE’s portfolio of Resource capacities are only used to cover that QSE’s net Ancillary Service position by each Ancillary Service sub-type.</w:t>
            </w:r>
          </w:p>
          <w:p w14:paraId="4364F051" w14:textId="30E57445" w:rsidR="00763C79" w:rsidRPr="00C20335" w:rsidRDefault="00763C79" w:rsidP="00763C79">
            <w:pPr>
              <w:spacing w:after="240" w:line="259" w:lineRule="auto"/>
              <w:ind w:left="2136" w:hanging="720"/>
            </w:pPr>
            <w:r>
              <w:t>(ii)</w:t>
            </w:r>
            <w:r w:rsidRPr="004B6091">
              <w:tab/>
            </w:r>
            <w:r w:rsidRPr="00C20335">
              <w:t xml:space="preserve">A QSE’s Fast Frequency Response Service (FFRS) position can be covered by the QSE’s portfolio of </w:t>
            </w:r>
            <w:r>
              <w:t>Energy Storage Resources (</w:t>
            </w:r>
            <w:r w:rsidRPr="00C20335">
              <w:t>ESRs</w:t>
            </w:r>
            <w:r>
              <w:t>)</w:t>
            </w:r>
            <w:r w:rsidRPr="00C20335">
              <w:t xml:space="preserve"> 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rsidR="00922CC9">
              <w:t xml:space="preserve"> (CLRs)</w:t>
            </w:r>
            <w:r w:rsidRPr="00C20335">
              <w:t>, Generation Resources, and ESRs that are qualified to provide RRS as Primary Frequency Response.</w:t>
            </w:r>
          </w:p>
          <w:p w14:paraId="1264234D" w14:textId="37448E0E" w:rsidR="00763C79" w:rsidRPr="00C20335" w:rsidRDefault="00763C79" w:rsidP="00763C79">
            <w:pPr>
              <w:spacing w:after="240" w:line="259" w:lineRule="auto"/>
              <w:ind w:left="2136" w:hanging="720"/>
            </w:pPr>
            <w:r>
              <w:t>(iii)</w:t>
            </w:r>
            <w:r w:rsidRPr="004B6091">
              <w:tab/>
            </w:r>
            <w:r w:rsidRPr="00C20335">
              <w:t>A QSE’s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this type of RRS or </w:t>
            </w:r>
            <w:r w:rsidR="00922CC9">
              <w:t>CLRs</w:t>
            </w:r>
            <w:r w:rsidRPr="00C20335">
              <w:t>, Generation Resources, and ESRs that are qualified to provide RRS as Primary Frequency Response.</w:t>
            </w:r>
          </w:p>
          <w:p w14:paraId="26AB0C94" w14:textId="6B58E909" w:rsidR="00763C79" w:rsidRPr="00C20335" w:rsidRDefault="00763C79" w:rsidP="00763C79">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rsidR="00922CC9">
              <w:t>CLRs</w:t>
            </w:r>
            <w:r w:rsidRPr="00C20335">
              <w:t>, Generation Resources, and ESRs that are qualified to provide ECRS of the type that is SCED</w:t>
            </w:r>
            <w:r>
              <w:t>-</w:t>
            </w:r>
            <w:r w:rsidRPr="00C20335">
              <w:t>dispatchable.</w:t>
            </w:r>
          </w:p>
          <w:p w14:paraId="0B0E47CF" w14:textId="65E42B90" w:rsidR="00763C79" w:rsidRPr="00C20335" w:rsidRDefault="00763C79" w:rsidP="00763C79">
            <w:pPr>
              <w:spacing w:after="240" w:line="259" w:lineRule="auto"/>
              <w:ind w:left="2136" w:hanging="720"/>
            </w:pPr>
            <w:r>
              <w:t>(v)</w:t>
            </w:r>
            <w:r w:rsidRPr="004B6091">
              <w:tab/>
            </w:r>
            <w:r w:rsidRPr="00C20335">
              <w:t xml:space="preserve">A QSE’s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rsidR="00922CC9">
              <w:t>CLRs</w:t>
            </w:r>
            <w:r w:rsidRPr="00C20335">
              <w:t>, Generation Resources, and ESRs that are qualified to provide Non-Spin of the type that is SCED-dispatchable.</w:t>
            </w:r>
          </w:p>
          <w:p w14:paraId="3DE592F6" w14:textId="77777777" w:rsidR="00763C79" w:rsidRPr="00C20335" w:rsidRDefault="00763C79" w:rsidP="00763C79">
            <w:pPr>
              <w:spacing w:after="240" w:line="259" w:lineRule="auto"/>
              <w:ind w:left="2136" w:hanging="720"/>
            </w:pPr>
            <w:r>
              <w:lastRenderedPageBreak/>
              <w:t>(vi)</w:t>
            </w:r>
            <w:r w:rsidRPr="004B6091">
              <w:tab/>
            </w:r>
            <w:r w:rsidRPr="00C20335">
              <w:t>For each Resource and Ancillary Service sub-type:</w:t>
            </w:r>
          </w:p>
          <w:p w14:paraId="2B43BB23" w14:textId="77777777" w:rsidR="00763C79" w:rsidRPr="00C20335" w:rsidRDefault="00763C79" w:rsidP="00763C79">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p>
          <w:p w14:paraId="606F0A66" w14:textId="77777777" w:rsidR="00763C79" w:rsidRPr="00C20335" w:rsidRDefault="00763C79" w:rsidP="00763C79">
            <w:pPr>
              <w:spacing w:after="160" w:line="259" w:lineRule="auto"/>
              <w:ind w:left="2856" w:hanging="720"/>
            </w:pPr>
            <w:r>
              <w:t>(B)</w:t>
            </w:r>
            <w:r w:rsidRPr="004B6091">
              <w:tab/>
            </w:r>
            <w:r w:rsidRPr="00C20335">
              <w:t>The sum of all the Ancillary Service capacities used for each Ancillary Service sub-type cannot exceed the COP HSL minus LSL limits.</w:t>
            </w:r>
            <w:r>
              <w:t xml:space="preserve"> </w:t>
            </w:r>
            <w:r w:rsidRPr="00C20335">
              <w:t xml:space="preserve"> For Generation Resources that have a Resource Status of OFF and the Ancillary Service type is Non-Spin, consider LSL to be zero.  Likewise, for Generation Resources that have a Resource Status of </w:t>
            </w:r>
            <w:proofErr w:type="gramStart"/>
            <w:r w:rsidRPr="00C20335">
              <w:t>OFFQS</w:t>
            </w:r>
            <w:proofErr w:type="gramEnd"/>
            <w:r w:rsidRPr="00C20335">
              <w:t xml:space="preserve"> and the Ancillary Service type is Non-Spin or ECRS, consider LSL to be zero.</w:t>
            </w:r>
          </w:p>
          <w:p w14:paraId="1EEEDF59" w14:textId="77777777" w:rsidR="00763C79" w:rsidRPr="001E7593" w:rsidRDefault="00763C79" w:rsidP="00763C79">
            <w:pPr>
              <w:spacing w:after="160" w:line="259" w:lineRule="auto"/>
              <w:ind w:left="2856" w:hanging="720"/>
            </w:pPr>
            <w:r>
              <w:t>(C)</w:t>
            </w:r>
            <w:r w:rsidRPr="004B6091">
              <w:tab/>
            </w:r>
            <w:r w:rsidRPr="001E7593">
              <w:t>For ESRs, consider:</w:t>
            </w:r>
          </w:p>
          <w:p w14:paraId="4CFB0936" w14:textId="77777777" w:rsidR="00763C79" w:rsidRPr="001E7593" w:rsidRDefault="00763C79" w:rsidP="00763C79">
            <w:pPr>
              <w:spacing w:after="240" w:line="259" w:lineRule="auto"/>
              <w:ind w:left="3576" w:hanging="720"/>
            </w:pPr>
            <w:r>
              <w:t>(1)</w:t>
            </w:r>
            <w:r w:rsidRPr="004B6091">
              <w:tab/>
            </w:r>
            <w:r w:rsidRPr="001E7593">
              <w:t>Duration requirements for each Ancillary Service type and the submitted COP values for Hour Beginning Planned State</w:t>
            </w:r>
            <w:r>
              <w:t xml:space="preserve"> </w:t>
            </w:r>
            <w:r w:rsidRPr="001E7593">
              <w:t>of</w:t>
            </w:r>
            <w:r>
              <w:t xml:space="preserve"> </w:t>
            </w:r>
            <w:r w:rsidRPr="001E7593">
              <w:t xml:space="preserve">Charge (SOC), </w:t>
            </w:r>
            <w:r>
              <w:t>M</w:t>
            </w:r>
            <w:r w:rsidRPr="001E7593">
              <w:t>inimum</w:t>
            </w:r>
            <w:r>
              <w:t xml:space="preserve"> SOC (MinSOC)</w:t>
            </w:r>
            <w:r w:rsidRPr="001E7593">
              <w:t xml:space="preserve"> and </w:t>
            </w:r>
            <w:r>
              <w:t>M</w:t>
            </w:r>
            <w:r w:rsidRPr="001E7593">
              <w:t>aximum SOC</w:t>
            </w:r>
            <w:r>
              <w:t xml:space="preserve"> (MaxSOC)</w:t>
            </w:r>
            <w:r w:rsidRPr="001E7593">
              <w:t xml:space="preserve">; </w:t>
            </w:r>
          </w:p>
          <w:p w14:paraId="559D3914" w14:textId="77777777" w:rsidR="00763C79" w:rsidRPr="001E7593" w:rsidRDefault="00763C79" w:rsidP="00763C79">
            <w:pPr>
              <w:spacing w:after="240" w:line="259" w:lineRule="auto"/>
              <w:ind w:left="3576" w:hanging="720"/>
            </w:pPr>
            <w:r>
              <w:t>(2)</w:t>
            </w:r>
            <w:r w:rsidRPr="004B6091">
              <w:tab/>
            </w:r>
            <w:r w:rsidRPr="001E7593">
              <w:t>Ancillary Service deployment factors, duration requirements for different Ancillary Service types or sub-types, and the difference between the submitted COP Hour Beginning Planned SOC for the hour under consideration and the next hour; and</w:t>
            </w:r>
          </w:p>
          <w:p w14:paraId="0BA393A7" w14:textId="77777777" w:rsidR="00763C79" w:rsidRPr="001E7593" w:rsidRDefault="00763C79" w:rsidP="00763C79">
            <w:pPr>
              <w:spacing w:after="240" w:line="259" w:lineRule="auto"/>
              <w:ind w:left="3576" w:hanging="720"/>
            </w:pPr>
            <w:r>
              <w:t>(3)</w:t>
            </w:r>
            <w:r w:rsidRPr="004B6091">
              <w:tab/>
            </w:r>
            <w:r w:rsidRPr="001E7593">
              <w:t xml:space="preserve">The charge or discharge MW required to satisfy the above constraints. </w:t>
            </w:r>
          </w:p>
          <w:p w14:paraId="1D6429EA" w14:textId="77777777" w:rsidR="00763C79" w:rsidRDefault="00763C79" w:rsidP="00763C79">
            <w:pPr>
              <w:spacing w:after="240"/>
              <w:ind w:left="1416" w:hanging="696"/>
            </w:pPr>
            <w:r>
              <w:t>(c)</w:t>
            </w:r>
            <w:r w:rsidRPr="004B6091">
              <w:tab/>
            </w:r>
            <w:r w:rsidRPr="005F2EC7">
              <w:t>The output</w:t>
            </w:r>
            <w:r>
              <w:t>s</w:t>
            </w:r>
            <w:r w:rsidRPr="005F2EC7">
              <w:t xml:space="preserve"> of the optimization</w:t>
            </w:r>
            <w:r>
              <w:t xml:space="preserve"> for each Resource are: </w:t>
            </w:r>
          </w:p>
          <w:p w14:paraId="26A8AAFC" w14:textId="56653D7D" w:rsidR="00763C79" w:rsidRPr="001E7593" w:rsidRDefault="00763C79" w:rsidP="00763C79">
            <w:pPr>
              <w:spacing w:after="240" w:line="259" w:lineRule="auto"/>
              <w:ind w:left="2136" w:hanging="720"/>
            </w:pPr>
            <w:r w:rsidRPr="001E7593">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58EA72A" w14:textId="77777777" w:rsidR="00763C79" w:rsidRDefault="00763C79" w:rsidP="00763C79">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r>
              <w:t>Min</w:t>
            </w:r>
            <w:r w:rsidRPr="001E7593">
              <w:t xml:space="preserve">SOC, </w:t>
            </w:r>
            <w:r>
              <w:t>Max</w:t>
            </w:r>
            <w:r w:rsidRPr="001E7593">
              <w:t xml:space="preserve">SOC, and the difference in the Hour Beginning Planned SOC for the hour under consideration and the next hour.  This value will also account for Ancillary Service deployment factors and the duration requirements for energy and different Ancillary Service types.  These </w:t>
            </w:r>
            <w:r w:rsidRPr="001E7593">
              <w:lastRenderedPageBreak/>
              <w:t>values are MWSNAP for a given hour in the RUC Snapshot and MWADJ for the end of the Adjustment Period.</w:t>
            </w:r>
          </w:p>
          <w:p w14:paraId="100421A9" w14:textId="67AADEFC" w:rsidR="004B6091" w:rsidRPr="004B6091" w:rsidRDefault="004B6091" w:rsidP="00763C79">
            <w:pPr>
              <w:spacing w:after="240"/>
              <w:ind w:left="720" w:hanging="720"/>
            </w:pPr>
            <w:r w:rsidRPr="004B6091">
              <w:t>(</w:t>
            </w:r>
            <w:r w:rsidR="00763C79">
              <w:t>8</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9" type="#_x0000_t75" style="width:7.8pt;height:20.4pt" o:ole="">
                  <v:imagedata r:id="rId44" o:title=""/>
                </v:shape>
                <o:OLEObject Type="Embed" ProgID="Equation.3" ShapeID="_x0000_i1059" DrawAspect="Content" ObjectID="_1799656434" r:id="rId71"/>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596761F2" w:rsidR="004B6091" w:rsidRPr="004B6091" w:rsidRDefault="004B6091" w:rsidP="004B6091">
            <w:pPr>
              <w:spacing w:after="240"/>
              <w:ind w:left="720" w:hanging="720"/>
            </w:pPr>
            <w:r w:rsidRPr="004B6091">
              <w:t>(</w:t>
            </w:r>
            <w:r w:rsidR="00763C79">
              <w:t>9</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0" type="#_x0000_t75" style="width:51.6pt;height:20.4pt" o:ole="">
                  <v:imagedata r:id="rId46" o:title=""/>
                </v:shape>
                <o:OLEObject Type="Embed" ProgID="Equation.3" ShapeID="_x0000_i1060" DrawAspect="Content" ObjectID="_1799656435" r:id="rId72"/>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1B1031C1" w:rsidR="004B6091" w:rsidRPr="004B6091" w:rsidRDefault="004B6091" w:rsidP="004B6091">
            <w:pPr>
              <w:spacing w:after="240"/>
              <w:ind w:left="720" w:hanging="720"/>
            </w:pPr>
            <w:r w:rsidRPr="004B6091">
              <w:t>(</w:t>
            </w:r>
            <w:r w:rsidR="00763C79">
              <w:t>10</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525CA094" w:rsidR="004B6091" w:rsidRPr="004B6091" w:rsidRDefault="004B6091" w:rsidP="004B6091">
            <w:pPr>
              <w:spacing w:after="240"/>
              <w:ind w:left="720" w:hanging="720"/>
            </w:pPr>
            <w:r w:rsidRPr="004B6091">
              <w:t>(1</w:t>
            </w:r>
            <w:r w:rsidR="00763C79">
              <w:t>1</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1" type="#_x0000_t75" style="width:10.2pt;height:22.8pt" o:ole="">
                  <v:imagedata r:id="rId48" o:title=""/>
                </v:shape>
                <o:OLEObject Type="Embed" ProgID="Equation.3" ShapeID="_x0000_i1061" DrawAspect="Content" ObjectID="_1799656436" r:id="rId73"/>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5B625128"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w:t>
            </w:r>
            <w:r w:rsidR="00763C79" w:rsidRPr="0093076E">
              <w:rPr>
                <w:b/>
              </w:rPr>
              <w:t xml:space="preserve">ECRPOSSNAP </w:t>
            </w:r>
            <w:proofErr w:type="spellStart"/>
            <w:r w:rsidR="00763C79" w:rsidRPr="0093076E">
              <w:rPr>
                <w:b/>
                <w:i/>
                <w:vertAlign w:val="subscript"/>
              </w:rPr>
              <w:t>ruc</w:t>
            </w:r>
            <w:proofErr w:type="spellEnd"/>
            <w:r w:rsidR="00763C79" w:rsidRPr="0093076E">
              <w:rPr>
                <w:b/>
                <w:i/>
                <w:vertAlign w:val="subscript"/>
              </w:rPr>
              <w:t>, q, h</w:t>
            </w:r>
            <w:r w:rsidR="00763C79">
              <w:rPr>
                <w:b/>
              </w:rPr>
              <w:t xml:space="preserve"> </w:t>
            </w:r>
            <w:r w:rsidR="00763C79" w:rsidRPr="0093076E">
              <w:rPr>
                <w:b/>
              </w:rPr>
              <w:t>+</w:t>
            </w:r>
            <w:r w:rsidR="00763C79">
              <w:rPr>
                <w:b/>
              </w:rPr>
              <w:t xml:space="preserve"> </w:t>
            </w:r>
            <w:r w:rsidRPr="0093076E">
              <w:rPr>
                <w:b/>
              </w:rPr>
              <w:t xml:space="preserve">Max (0, (NSPOSSNAP </w:t>
            </w:r>
            <w:proofErr w:type="spellStart"/>
            <w:r w:rsidRPr="0093076E">
              <w:rPr>
                <w:b/>
                <w:i/>
                <w:vertAlign w:val="subscript"/>
              </w:rPr>
              <w:t>ruc</w:t>
            </w:r>
            <w:proofErr w:type="spellEnd"/>
            <w:r w:rsidRPr="0093076E">
              <w:rPr>
                <w:b/>
                <w:i/>
                <w:vertAlign w:val="subscript"/>
              </w:rPr>
              <w:t>, q, h</w:t>
            </w:r>
            <w:r w:rsidR="00763C79" w:rsidRPr="0093076E">
              <w:rPr>
                <w:b/>
              </w:rPr>
              <w:t xml:space="preserve"> </w:t>
            </w:r>
            <w:r w:rsidRPr="0093076E">
              <w:rPr>
                <w:b/>
              </w:rPr>
              <w:t xml:space="preserve">– </w:t>
            </w:r>
            <w:r w:rsidRPr="004721AF">
              <w:rPr>
                <w:b/>
                <w:position w:val="-18"/>
              </w:rPr>
              <w:object w:dxaOrig="220" w:dyaOrig="420" w14:anchorId="424F5745">
                <v:shape id="_x0000_i1062" type="#_x0000_t75" style="width:10.2pt;height:21pt" o:ole="">
                  <v:imagedata r:id="rId42" o:title=""/>
                </v:shape>
                <o:OLEObject Type="Embed" ProgID="Equation.3" ShapeID="_x0000_i1062" DrawAspect="Content" ObjectID="_1799656437" r:id="rId74"/>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5F723A38" w14:textId="7282D9F5" w:rsidR="00763C79" w:rsidRDefault="004B6091" w:rsidP="00763C79">
            <w:pPr>
              <w:tabs>
                <w:tab w:val="left" w:pos="2340"/>
                <w:tab w:val="left" w:pos="3420"/>
              </w:tabs>
              <w:spacing w:after="240"/>
              <w:ind w:left="3420" w:hanging="2700"/>
              <w:rPr>
                <w:b/>
                <w:bCs/>
                <w:position w:val="-22"/>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3" type="#_x0000_t75" style="width:7.8pt;height:21pt" o:ole="">
                  <v:imagedata r:id="rId50" o:title=""/>
                </v:shape>
                <o:OLEObject Type="Embed" ProgID="Equation.3" ShapeID="_x0000_i1063" DrawAspect="Content" ObjectID="_1799656438" r:id="rId75"/>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4" type="#_x0000_t75" style="width:7.8pt;height:20.4pt" o:ole="">
                  <v:imagedata r:id="rId52" o:title=""/>
                </v:shape>
                <o:OLEObject Type="Embed" ProgID="Equation.3" ShapeID="_x0000_i1064" DrawAspect="Content" ObjectID="_1799656439" r:id="rId76"/>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5" type="#_x0000_t75" style="width:7.8pt;height:20.4pt" o:ole="">
                  <v:imagedata r:id="rId54" o:title=""/>
                </v:shape>
                <o:OLEObject Type="Embed" ProgID="Equation.3" ShapeID="_x0000_i1065" DrawAspect="Content" ObjectID="_1799656440" r:id="rId77"/>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6" type="#_x0000_t75" style="width:7.8pt;height:20.4pt" o:ole="">
                  <v:imagedata r:id="rId56" o:title=""/>
                </v:shape>
                <o:OLEObject Type="Embed" ProgID="Equation.3" ShapeID="_x0000_i1066" DrawAspect="Content" ObjectID="_1799656441" r:id="rId78"/>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7" type="#_x0000_t75" style="width:7.8pt;height:20.4pt" o:ole="">
                  <v:imagedata r:id="rId58" o:title=""/>
                </v:shape>
                <o:OLEObject Type="Embed" ProgID="Equation.3" ShapeID="_x0000_i1067" DrawAspect="Content" ObjectID="_1799656442" r:id="rId79"/>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8" type="#_x0000_t75" style="width:7.8pt;height:20.4pt" o:ole="">
                  <v:imagedata r:id="rId52" o:title=""/>
                </v:shape>
                <o:OLEObject Type="Embed" ProgID="Equation.3" ShapeID="_x0000_i1068" DrawAspect="Content" ObjectID="_1799656443" r:id="rId80"/>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9" type="#_x0000_t75" style="width:10.2pt;height:21pt" o:ole="">
                  <v:imagedata r:id="rId42" o:title=""/>
                </v:shape>
                <o:OLEObject Type="Embed" ProgID="Equation.3" ShapeID="_x0000_i1069" DrawAspect="Content" ObjectID="_1799656444" r:id="rId81"/>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00763C79">
              <w:rPr>
                <w:b/>
                <w:bCs/>
                <w:i/>
                <w:vertAlign w:val="subscript"/>
              </w:rPr>
              <w:t xml:space="preserve"> </w:t>
            </w:r>
            <w:r w:rsidR="00763C79" w:rsidRPr="0093076E">
              <w:rPr>
                <w:b/>
                <w:bCs/>
              </w:rPr>
              <w:t>+</w:t>
            </w:r>
            <w:r w:rsidR="00763C79">
              <w:rPr>
                <w:b/>
                <w:bCs/>
              </w:rPr>
              <w:t xml:space="preserve"> ESRMWSNAP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Pr>
                <w:b/>
                <w:bCs/>
              </w:rPr>
              <w:t>+ ESRASSNAP</w:t>
            </w:r>
            <w:r w:rsidR="00763C79" w:rsidRPr="0093076E">
              <w:rPr>
                <w:b/>
                <w:bCs/>
              </w:rPr>
              <w:t xml:space="preserve"> </w:t>
            </w:r>
            <w:proofErr w:type="spellStart"/>
            <w:r w:rsidR="00763C79" w:rsidRPr="0093076E">
              <w:rPr>
                <w:b/>
                <w:bCs/>
                <w:i/>
                <w:vertAlign w:val="subscript"/>
              </w:rPr>
              <w:t>ruc</w:t>
            </w:r>
            <w:proofErr w:type="spellEnd"/>
            <w:r w:rsidR="00763C79" w:rsidRPr="0093076E">
              <w:rPr>
                <w:b/>
                <w:bCs/>
                <w:i/>
                <w:vertAlign w:val="subscript"/>
              </w:rPr>
              <w:t>, q,</w:t>
            </w:r>
            <w:r w:rsidR="00763C79">
              <w:rPr>
                <w:b/>
                <w:bCs/>
                <w:i/>
                <w:vertAlign w:val="subscript"/>
              </w:rPr>
              <w:t xml:space="preserve"> h</w:t>
            </w:r>
            <w:r w:rsidR="00763C79" w:rsidRPr="0093076E">
              <w:rPr>
                <w:b/>
                <w:bCs/>
              </w:rPr>
              <w:t xml:space="preserve"> </w:t>
            </w:r>
            <w:r w:rsidR="00763C79" w:rsidRPr="0093076E">
              <w:rPr>
                <w:b/>
                <w:bCs/>
                <w:position w:val="-22"/>
              </w:rPr>
              <w:t xml:space="preserve"> </w:t>
            </w:r>
          </w:p>
          <w:p w14:paraId="3C304FBC" w14:textId="77777777" w:rsidR="00763C79" w:rsidRPr="00365953" w:rsidRDefault="00763C79" w:rsidP="00763C79">
            <w:pPr>
              <w:tabs>
                <w:tab w:val="left" w:pos="2340"/>
                <w:tab w:val="left" w:pos="3420"/>
              </w:tabs>
              <w:spacing w:after="240"/>
              <w:ind w:left="692"/>
            </w:pPr>
            <w:r w:rsidRPr="00365953">
              <w:t xml:space="preserve">Where: </w:t>
            </w:r>
          </w:p>
          <w:p w14:paraId="246FAD86" w14:textId="77777777" w:rsidR="00763C79" w:rsidRPr="00493313" w:rsidRDefault="00763C79" w:rsidP="00763C79">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r w:rsidRPr="00493313">
              <w:t>) covered by the QSE’s portfolio of ESRs</w:t>
            </w:r>
            <w:r>
              <w:t xml:space="preserve"> is: </w:t>
            </w:r>
          </w:p>
          <w:p w14:paraId="6B60B96E" w14:textId="40116F9E" w:rsidR="00763C79" w:rsidRPr="00B07FA1" w:rsidRDefault="00763C79" w:rsidP="00763C79">
            <w:pPr>
              <w:spacing w:after="240"/>
              <w:ind w:left="692"/>
            </w:pPr>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t xml:space="preserve"> = </w:t>
            </w:r>
            <w:bookmarkStart w:id="307" w:name="_Hlk162948230"/>
            <w:r w:rsidRPr="00A92B03">
              <w:rPr>
                <w:position w:val="-18"/>
              </w:rPr>
              <w:object w:dxaOrig="220" w:dyaOrig="420" w14:anchorId="1C35646A">
                <v:shape id="_x0000_i1070" type="#_x0000_t75" style="width:12.6pt;height:24pt" o:ole="">
                  <v:imagedata r:id="rId42" o:title=""/>
                </v:shape>
                <o:OLEObject Type="Embed" ProgID="Equation.3" ShapeID="_x0000_i1070" DrawAspect="Content" ObjectID="_1799656445" r:id="rId82"/>
              </w:object>
            </w:r>
            <w:bookmarkEnd w:id="307"/>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p>
          <w:p w14:paraId="78B6A34C" w14:textId="77777777" w:rsidR="00763C79" w:rsidRPr="00493313" w:rsidRDefault="00763C79" w:rsidP="00763C79">
            <w:pPr>
              <w:spacing w:after="240" w:line="259" w:lineRule="auto"/>
              <w:ind w:left="692"/>
            </w:pPr>
            <w:r w:rsidRPr="00493313">
              <w:t xml:space="preserve">The sum of the QSE’s ESR discharging (positive) or charging (negative) output </w:t>
            </w:r>
            <w:r>
              <w:t xml:space="preserve">is: </w:t>
            </w:r>
          </w:p>
          <w:p w14:paraId="6FC2ACCD" w14:textId="219C6D0A" w:rsidR="004B6091" w:rsidRPr="0093076E" w:rsidRDefault="00763C79" w:rsidP="00763C79">
            <w:pPr>
              <w:tabs>
                <w:tab w:val="left" w:pos="2340"/>
                <w:tab w:val="left" w:pos="3420"/>
              </w:tabs>
              <w:spacing w:after="240"/>
              <w:ind w:left="3420" w:hanging="2700"/>
              <w:rPr>
                <w:b/>
                <w:bCs/>
                <w:szCs w:val="24"/>
              </w:rPr>
            </w:pPr>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A92B03">
              <w:rPr>
                <w:position w:val="-18"/>
              </w:rPr>
              <w:object w:dxaOrig="220" w:dyaOrig="420" w14:anchorId="4759E9FC">
                <v:shape id="_x0000_i1071" type="#_x0000_t75" style="width:13.2pt;height:24pt" o:ole="">
                  <v:imagedata r:id="rId42" o:title=""/>
                </v:shape>
                <o:OLEObject Type="Embed" ProgID="Equation.3" ShapeID="_x0000_i1071" DrawAspect="Content" ObjectID="_1799656446" r:id="rId83"/>
              </w:object>
            </w:r>
            <w:r w:rsidRPr="00365953">
              <w:rPr>
                <w:szCs w:val="28"/>
              </w:rPr>
              <w:t xml:space="preserve">MWSNAP </w:t>
            </w:r>
            <w:proofErr w:type="spellStart"/>
            <w:r w:rsidRPr="00365953">
              <w:rPr>
                <w:i/>
                <w:vertAlign w:val="subscript"/>
              </w:rPr>
              <w:t>ruc</w:t>
            </w:r>
            <w:proofErr w:type="spellEnd"/>
            <w:r w:rsidRPr="00365953">
              <w:rPr>
                <w:i/>
                <w:vertAlign w:val="subscript"/>
              </w:rPr>
              <w:t>, q, h, r</w:t>
            </w:r>
          </w:p>
          <w:p w14:paraId="738B0840" w14:textId="77777777" w:rsidR="00763C79" w:rsidRDefault="00763C79" w:rsidP="00763C79">
            <w:pPr>
              <w:spacing w:after="240"/>
              <w:ind w:left="720" w:hanging="720"/>
            </w:pPr>
            <w:r w:rsidRPr="004B6091">
              <w:t>(1</w:t>
            </w:r>
            <w:r>
              <w:t>2</w:t>
            </w:r>
            <w:r w:rsidRPr="004B6091">
              <w:t>)</w:t>
            </w:r>
            <w:r w:rsidRPr="004B6091">
              <w:tab/>
            </w:r>
            <w:r w:rsidRPr="00A90B58">
              <w:t>The Ancillary Service shortfall in MW that a QSE had according to the RUC Snapshot for a 15-minute Settlement Interval is:</w:t>
            </w:r>
          </w:p>
          <w:p w14:paraId="37C87184" w14:textId="77777777" w:rsidR="00763C79" w:rsidRDefault="00763C79" w:rsidP="00763C79">
            <w:pPr>
              <w:spacing w:after="240"/>
              <w:ind w:left="720"/>
              <w:rPr>
                <w:bCs/>
                <w:iCs/>
              </w:rPr>
            </w:pPr>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1FB7AEF2" w14:textId="77777777" w:rsidR="00763C79" w:rsidRDefault="00763C79" w:rsidP="00763C79">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64BF3328" w14:textId="77777777" w:rsidR="00763C79" w:rsidRPr="00BB61AA" w:rsidRDefault="00763C79" w:rsidP="00763C79">
            <w:pPr>
              <w:spacing w:after="240"/>
              <w:ind w:left="3122" w:firstLine="90"/>
              <w:rPr>
                <w:b/>
                <w:bCs/>
                <w:iCs/>
              </w:rPr>
            </w:pPr>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Pr>
                <w:b/>
                <w:bCs/>
              </w:rPr>
              <w:t xml:space="preserve">– </w:t>
            </w:r>
            <w:r w:rsidRPr="00BB61AA">
              <w:rPr>
                <w:b/>
                <w:bCs/>
              </w:rPr>
              <w:t>ASMWCAPUQSNAP</w:t>
            </w:r>
            <w:r w:rsidRPr="00934E33">
              <w:rPr>
                <w:b/>
                <w:bCs/>
                <w:i/>
                <w:vertAlign w:val="subscript"/>
              </w:rPr>
              <w:t xml:space="preserve"> </w:t>
            </w:r>
            <w:proofErr w:type="spellStart"/>
            <w:r w:rsidRPr="00934E33">
              <w:rPr>
                <w:b/>
                <w:bCs/>
                <w:i/>
                <w:vertAlign w:val="subscript"/>
              </w:rPr>
              <w:t>ruc</w:t>
            </w:r>
            <w:proofErr w:type="spellEnd"/>
            <w:r w:rsidRPr="00934E33">
              <w:rPr>
                <w:b/>
                <w:bCs/>
                <w:i/>
                <w:vertAlign w:val="subscript"/>
              </w:rPr>
              <w:t>, q, h</w:t>
            </w:r>
          </w:p>
          <w:p w14:paraId="161A7D0B" w14:textId="77777777" w:rsidR="00763C79" w:rsidRDefault="00763C79" w:rsidP="00763C79">
            <w:pPr>
              <w:spacing w:after="240"/>
              <w:ind w:left="720"/>
            </w:pPr>
            <w:r>
              <w:t>Where:</w:t>
            </w:r>
          </w:p>
          <w:p w14:paraId="113BDDF9" w14:textId="14273B23" w:rsidR="00763C79" w:rsidRDefault="00763C79" w:rsidP="00763C79">
            <w:pPr>
              <w:spacing w:after="240"/>
              <w:ind w:left="720"/>
            </w:pPr>
            <w:r>
              <w:t>ASMWCAPUQSNAP</w:t>
            </w:r>
            <w:r w:rsidRPr="00DE1AC6">
              <w:rPr>
                <w:i/>
                <w:vertAlign w:val="subscript"/>
                <w:lang w:val="it-IT"/>
              </w:rPr>
              <w:t xml:space="preserve"> 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 </w:t>
            </w:r>
            <w:r>
              <w:t xml:space="preserve"> = </w:t>
            </w:r>
            <w:r w:rsidRPr="004721AF">
              <w:rPr>
                <w:b/>
                <w:bCs/>
                <w:position w:val="-18"/>
              </w:rPr>
              <w:object w:dxaOrig="220" w:dyaOrig="420" w14:anchorId="34607591">
                <v:shape id="_x0000_i1072" type="#_x0000_t75" style="width:13.2pt;height:24pt" o:ole="">
                  <v:imagedata r:id="rId50" o:title=""/>
                </v:shape>
                <o:OLEObject Type="Embed" ProgID="Equation.3" ShapeID="_x0000_i1072" DrawAspect="Content" ObjectID="_1799656447" r:id="rId84"/>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BB61AA">
              <w:rPr>
                <w:szCs w:val="28"/>
              </w:rPr>
              <w:t xml:space="preserve">ASMWCAPUSNAP </w:t>
            </w:r>
            <w:proofErr w:type="spellStart"/>
            <w:r w:rsidRPr="00BB61AA">
              <w:rPr>
                <w:i/>
                <w:vertAlign w:val="subscript"/>
              </w:rPr>
              <w:t>ruc</w:t>
            </w:r>
            <w:proofErr w:type="spellEnd"/>
            <w:r w:rsidRPr="00BB61AA">
              <w:rPr>
                <w:i/>
                <w:vertAlign w:val="subscript"/>
              </w:rPr>
              <w:t xml:space="preserve">, q, h, </w:t>
            </w:r>
            <w:proofErr w:type="spellStart"/>
            <w:r w:rsidRPr="00BB61AA">
              <w:rPr>
                <w:i/>
                <w:vertAlign w:val="subscript"/>
              </w:rPr>
              <w:t>ASSubType</w:t>
            </w:r>
            <w:proofErr w:type="spellEnd"/>
            <w:r w:rsidRPr="00BB61AA">
              <w:rPr>
                <w:i/>
                <w:vertAlign w:val="subscript"/>
              </w:rPr>
              <w:t>, r</w:t>
            </w:r>
          </w:p>
          <w:p w14:paraId="40BF5E2B" w14:textId="77777777" w:rsidR="00763C79" w:rsidRPr="00DA6718" w:rsidRDefault="00763C79" w:rsidP="00763C79">
            <w:pPr>
              <w:spacing w:after="240"/>
              <w:ind w:left="2946" w:hanging="2226"/>
              <w:rPr>
                <w:iCs/>
              </w:rPr>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88C60C1" w14:textId="77777777" w:rsidR="00763C79" w:rsidRPr="00BB61AA" w:rsidRDefault="00763C79" w:rsidP="00763C79">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C688A62" w14:textId="77777777" w:rsidR="00763C79" w:rsidRPr="0072673D" w:rsidRDefault="00763C79" w:rsidP="00763C79">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0BE40091" w14:textId="40F50F95" w:rsidR="004B6091" w:rsidRPr="004B6091" w:rsidRDefault="004B6091" w:rsidP="004B6091">
            <w:pPr>
              <w:spacing w:after="240"/>
              <w:ind w:left="720" w:hanging="720"/>
            </w:pPr>
            <w:r w:rsidRPr="004B6091">
              <w:t>(1</w:t>
            </w:r>
            <w:r w:rsidR="00763C79">
              <w:t>3</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4A10242F" w:rsidR="004B6091" w:rsidRPr="004B6091" w:rsidRDefault="004B6091" w:rsidP="004B6091">
            <w:pPr>
              <w:spacing w:after="240"/>
              <w:ind w:left="720" w:hanging="720"/>
            </w:pPr>
            <w:r w:rsidRPr="004B6091">
              <w:t>(1</w:t>
            </w:r>
            <w:r w:rsidR="00763C79">
              <w:t>4</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3" type="#_x0000_t75" style="width:10.2pt;height:22.8pt" o:ole="">
                  <v:imagedata r:id="rId48" o:title=""/>
                </v:shape>
                <o:OLEObject Type="Embed" ProgID="Equation.3" ShapeID="_x0000_i1073" DrawAspect="Content" ObjectID="_1799656448" r:id="rId85"/>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4" type="#_x0000_t75" style="width:37.8pt;height:24.6pt" o:ole="">
                  <v:imagedata r:id="rId62" o:title=""/>
                </v:shape>
                <o:OLEObject Type="Embed" ProgID="Equation.3" ShapeID="_x0000_i1074" DrawAspect="Content" ObjectID="_1799656449" r:id="rId86"/>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2EC49996"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w:t>
            </w:r>
            <w:r w:rsidR="00763C79" w:rsidRPr="004B6091">
              <w:t xml:space="preserve">ECRPOSADJ </w:t>
            </w:r>
            <w:r w:rsidR="00763C79" w:rsidRPr="004B6091">
              <w:rPr>
                <w:i/>
                <w:vertAlign w:val="subscript"/>
              </w:rPr>
              <w:t>q, h</w:t>
            </w:r>
            <w:r w:rsidR="00763C79" w:rsidRPr="004B6091">
              <w:t xml:space="preserve"> +</w:t>
            </w:r>
            <w:r w:rsidRPr="004B6091">
              <w:t xml:space="preserve"> Max (0, (NSPOSADJ </w:t>
            </w:r>
            <w:r w:rsidRPr="004B6091">
              <w:rPr>
                <w:i/>
                <w:vertAlign w:val="subscript"/>
              </w:rPr>
              <w:t>q,</w:t>
            </w:r>
            <w:r w:rsidR="00763C79">
              <w:rPr>
                <w:i/>
                <w:vertAlign w:val="subscript"/>
              </w:rPr>
              <w:t xml:space="preserve"> </w:t>
            </w:r>
            <w:r w:rsidRPr="004B6091">
              <w:rPr>
                <w:i/>
                <w:vertAlign w:val="subscript"/>
              </w:rPr>
              <w:t>h</w:t>
            </w:r>
            <w:r w:rsidR="00763C79" w:rsidRPr="004B6091">
              <w:t xml:space="preserve"> </w:t>
            </w:r>
            <w:r w:rsidRPr="004B6091">
              <w:t xml:space="preserve">– </w:t>
            </w:r>
            <w:r w:rsidRPr="004B6091">
              <w:rPr>
                <w:position w:val="-18"/>
              </w:rPr>
              <w:object w:dxaOrig="220" w:dyaOrig="420" w14:anchorId="28FFFB08">
                <v:shape id="_x0000_i1075" type="#_x0000_t75" style="width:10.2pt;height:21pt" o:ole="">
                  <v:imagedata r:id="rId42" o:title=""/>
                </v:shape>
                <o:OLEObject Type="Embed" ProgID="Equation.3" ShapeID="_x0000_i1075" DrawAspect="Content" ObjectID="_1799656450" r:id="rId87"/>
              </w:object>
            </w:r>
            <w:r w:rsidRPr="004B6091">
              <w:t>ASOFFOFRADJ</w:t>
            </w:r>
            <w:r w:rsidRPr="004B6091">
              <w:rPr>
                <w:i/>
                <w:vertAlign w:val="subscript"/>
              </w:rPr>
              <w:t xml:space="preserve">  q, r, h</w:t>
            </w:r>
            <w:r w:rsidRPr="004B6091">
              <w:t>))</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5C7DFCBB"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6" type="#_x0000_t75" style="width:7.8pt;height:21pt" o:ole="">
                  <v:imagedata r:id="rId64" o:title=""/>
                </v:shape>
                <o:OLEObject Type="Embed" ProgID="Equation.3" ShapeID="_x0000_i1076" DrawAspect="Content" ObjectID="_1799656451" r:id="rId88"/>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77" type="#_x0000_t75" style="width:7.8pt;height:20.4pt" o:ole="">
                  <v:imagedata r:id="rId52" o:title=""/>
                </v:shape>
                <o:OLEObject Type="Embed" ProgID="Equation.3" ShapeID="_x0000_i1077" DrawAspect="Content" ObjectID="_1799656452" r:id="rId89"/>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78" type="#_x0000_t75" style="width:7.8pt;height:20.4pt" o:ole="">
                  <v:imagedata r:id="rId54" o:title=""/>
                </v:shape>
                <o:OLEObject Type="Embed" ProgID="Equation.3" ShapeID="_x0000_i1078" DrawAspect="Content" ObjectID="_1799656453" r:id="rId90"/>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79" type="#_x0000_t75" style="width:7.8pt;height:20.4pt" o:ole="">
                  <v:imagedata r:id="rId52" o:title=""/>
                </v:shape>
                <o:OLEObject Type="Embed" ProgID="Equation.3" ShapeID="_x0000_i1079" DrawAspect="Content" ObjectID="_1799656454" r:id="rId91"/>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0" type="#_x0000_t75" style="width:7.8pt;height:20.4pt" o:ole="">
                  <v:imagedata r:id="rId52" o:title=""/>
                </v:shape>
                <o:OLEObject Type="Embed" ProgID="Equation.3" ShapeID="_x0000_i1080" DrawAspect="Content" ObjectID="_1799656455" r:id="rId92"/>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1" type="#_x0000_t75" style="width:7.8pt;height:20.4pt" o:ole="">
                  <v:imagedata r:id="rId52" o:title=""/>
                </v:shape>
                <o:OLEObject Type="Embed" ProgID="Equation.3" ShapeID="_x0000_i1081" DrawAspect="Content" ObjectID="_1799656456" r:id="rId93"/>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2" type="#_x0000_t75" style="width:7.8pt;height:21pt" o:ole="">
                  <v:imagedata r:id="rId42" o:title=""/>
                </v:shape>
                <o:OLEObject Type="Embed" ProgID="Equation.3" ShapeID="_x0000_i1082" DrawAspect="Content" ObjectID="_1799656457" r:id="rId94"/>
              </w:object>
            </w:r>
            <w:r w:rsidRPr="004B6091">
              <w:t>ASOFRLRADJ</w:t>
            </w:r>
            <w:r w:rsidRPr="004B6091">
              <w:rPr>
                <w:i/>
                <w:vertAlign w:val="subscript"/>
              </w:rPr>
              <w:t xml:space="preserve">  q, r, h</w:t>
            </w:r>
            <w:r w:rsidR="00763C79" w:rsidRPr="00365953">
              <w:t xml:space="preserve"> + ESRMWADJ </w:t>
            </w:r>
            <w:r w:rsidR="00763C79" w:rsidRPr="00365953">
              <w:rPr>
                <w:i/>
                <w:vertAlign w:val="subscript"/>
              </w:rPr>
              <w:t>q, h</w:t>
            </w:r>
            <w:r w:rsidR="00763C79" w:rsidRPr="00365953">
              <w:t xml:space="preserve"> </w:t>
            </w:r>
            <w:r w:rsidR="00763C79">
              <w:t>+</w:t>
            </w:r>
            <w:r w:rsidR="00763C79" w:rsidRPr="00365953">
              <w:t xml:space="preserve"> ESRASADJ</w:t>
            </w:r>
            <w:r w:rsidR="00763C79" w:rsidRPr="00365953">
              <w:rPr>
                <w:i/>
                <w:vertAlign w:val="subscript"/>
              </w:rPr>
              <w:t xml:space="preserve"> q, h</w:t>
            </w:r>
          </w:p>
          <w:p w14:paraId="51359930" w14:textId="77777777" w:rsidR="00763C79" w:rsidRPr="00365953" w:rsidRDefault="00763C79" w:rsidP="00763C79">
            <w:pPr>
              <w:spacing w:after="160" w:line="259" w:lineRule="auto"/>
              <w:ind w:left="782"/>
              <w:rPr>
                <w:szCs w:val="28"/>
              </w:rPr>
            </w:pPr>
            <w:r w:rsidRPr="00365953">
              <w:rPr>
                <w:szCs w:val="28"/>
              </w:rPr>
              <w:t xml:space="preserve">Where: </w:t>
            </w:r>
          </w:p>
          <w:p w14:paraId="1042AFB7" w14:textId="77777777" w:rsidR="00763C79" w:rsidRDefault="00763C79" w:rsidP="00763C79">
            <w:pPr>
              <w:pStyle w:val="ListParagraph"/>
              <w:spacing w:after="160" w:line="259" w:lineRule="auto"/>
              <w:ind w:left="782"/>
              <w:rPr>
                <w:szCs w:val="24"/>
              </w:rPr>
            </w:pPr>
            <w:r>
              <w:rPr>
                <w:szCs w:val="24"/>
              </w:rPr>
              <w:t>The QSE’s net up Ancillary Service position (Reg-Up + RRS + ECRS + No</w:t>
            </w:r>
            <w:r w:rsidRPr="00365953">
              <w:rPr>
                <w:szCs w:val="24"/>
              </w:rPr>
              <w:t>n-Spin</w:t>
            </w:r>
            <w:r>
              <w:rPr>
                <w:szCs w:val="24"/>
              </w:rPr>
              <w:t xml:space="preserve">) covered by the QSE’s portfolio of ESRs is: </w:t>
            </w:r>
          </w:p>
          <w:p w14:paraId="695BBAD2" w14:textId="77777777" w:rsidR="00763C79" w:rsidRDefault="00763C79" w:rsidP="00763C79">
            <w:pPr>
              <w:pStyle w:val="ListParagraph"/>
              <w:ind w:left="1440"/>
              <w:rPr>
                <w:szCs w:val="24"/>
              </w:rPr>
            </w:pPr>
          </w:p>
          <w:p w14:paraId="7F1B0518" w14:textId="675795E5" w:rsidR="00763C79" w:rsidRPr="00365953" w:rsidRDefault="00763C79" w:rsidP="00763C79">
            <w:pPr>
              <w:ind w:left="782"/>
              <w:rPr>
                <w:i/>
                <w:vertAlign w:val="subscript"/>
              </w:rPr>
            </w:pPr>
            <w:r w:rsidRPr="00365953">
              <w:rPr>
                <w:szCs w:val="28"/>
              </w:rPr>
              <w:t xml:space="preserve">ESRASADJ </w:t>
            </w:r>
            <w:r w:rsidRPr="00365953">
              <w:rPr>
                <w:i/>
                <w:vertAlign w:val="subscript"/>
              </w:rPr>
              <w:t>q, h</w:t>
            </w:r>
            <w:r w:rsidRPr="00B07FA1">
              <w:rPr>
                <w:iCs/>
              </w:rPr>
              <w:t xml:space="preserve"> </w:t>
            </w:r>
            <w:r w:rsidRPr="00B07FA1">
              <w:t xml:space="preserve">= </w:t>
            </w:r>
            <w:r w:rsidRPr="00B07FA1">
              <w:rPr>
                <w:position w:val="-18"/>
              </w:rPr>
              <w:object w:dxaOrig="220" w:dyaOrig="420" w14:anchorId="1CBB0D8C">
                <v:shape id="_x0000_i1083" type="#_x0000_t75" style="width:13.2pt;height:24pt" o:ole="">
                  <v:imagedata r:id="rId42" o:title=""/>
                </v:shape>
                <o:OLEObject Type="Embed" ProgID="Equation.3" ShapeID="_x0000_i1083" DrawAspect="Content" ObjectID="_1799656458" r:id="rId95"/>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p>
          <w:p w14:paraId="4A9F5EC2" w14:textId="77777777" w:rsidR="00763C79" w:rsidRPr="00EF06D3" w:rsidRDefault="00763C79" w:rsidP="00763C79">
            <w:pPr>
              <w:ind w:left="1440"/>
            </w:pPr>
          </w:p>
          <w:p w14:paraId="5F0307D3" w14:textId="77777777" w:rsidR="00763C79" w:rsidRPr="0017427E" w:rsidRDefault="00763C79" w:rsidP="00763C79">
            <w:pPr>
              <w:spacing w:after="160" w:line="259" w:lineRule="auto"/>
              <w:ind w:left="782"/>
            </w:pPr>
            <w:r w:rsidRPr="0017427E">
              <w:t xml:space="preserve">The sum of the QSE’s ESR discharging (positive) or charging (negative) output </w:t>
            </w:r>
            <w:r>
              <w:t xml:space="preserve">is: </w:t>
            </w:r>
          </w:p>
          <w:p w14:paraId="12501135" w14:textId="1CDBB8EE" w:rsidR="00763C79" w:rsidRPr="00B07FA1" w:rsidRDefault="00763C79" w:rsidP="00763C79">
            <w:pPr>
              <w:spacing w:after="240"/>
              <w:ind w:left="782"/>
            </w:pPr>
            <w:r w:rsidRPr="00365953">
              <w:rPr>
                <w:szCs w:val="28"/>
              </w:rPr>
              <w:t xml:space="preserve">ESRMWADJ </w:t>
            </w:r>
            <w:r w:rsidRPr="00365953">
              <w:rPr>
                <w:i/>
                <w:vertAlign w:val="subscript"/>
              </w:rPr>
              <w:t>q, h</w:t>
            </w:r>
            <w:r w:rsidRPr="00B07FA1">
              <w:t xml:space="preserve"> = </w:t>
            </w:r>
            <w:r w:rsidRPr="00B07FA1">
              <w:rPr>
                <w:position w:val="-18"/>
              </w:rPr>
              <w:object w:dxaOrig="220" w:dyaOrig="420" w14:anchorId="4F036B3B">
                <v:shape id="_x0000_i1084" type="#_x0000_t75" style="width:13.2pt;height:24pt" o:ole="">
                  <v:imagedata r:id="rId42" o:title=""/>
                </v:shape>
                <o:OLEObject Type="Embed" ProgID="Equation.3" ShapeID="_x0000_i1084" DrawAspect="Content" ObjectID="_1799656459" r:id="rId96"/>
              </w:object>
            </w:r>
            <w:r w:rsidRPr="00365953">
              <w:rPr>
                <w:szCs w:val="28"/>
              </w:rPr>
              <w:t xml:space="preserve">MWADJ </w:t>
            </w:r>
            <w:r w:rsidRPr="00365953">
              <w:rPr>
                <w:i/>
                <w:vertAlign w:val="subscript"/>
              </w:rPr>
              <w:t>q, h, r</w:t>
            </w:r>
          </w:p>
          <w:p w14:paraId="2A8FFDB7" w14:textId="77777777" w:rsidR="00F16B02" w:rsidRPr="004B6091" w:rsidRDefault="00F16B02" w:rsidP="00F16B02">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71051CBC" w14:textId="036369E6" w:rsidR="00F16B02" w:rsidRPr="00CE15A5" w:rsidRDefault="00F16B02" w:rsidP="00F16B02">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6C2C4E88" w14:textId="20ED2CB6" w:rsidR="00F16B02" w:rsidRDefault="00F16B02" w:rsidP="00F16B02">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7ACDA985" w14:textId="77777777" w:rsidR="00F16B02" w:rsidRPr="00AB5CC1" w:rsidRDefault="00F16B02" w:rsidP="00F16B02">
            <w:pPr>
              <w:spacing w:after="240"/>
              <w:ind w:left="2160"/>
              <w:rPr>
                <w:b/>
                <w:bCs/>
                <w:iCs/>
              </w:rPr>
            </w:pPr>
            <w:r w:rsidRPr="003334B5">
              <w:t>–</w:t>
            </w:r>
            <w:r w:rsidRPr="00AB5CC1">
              <w:rPr>
                <w:b/>
                <w:bCs/>
              </w:rPr>
              <w:t xml:space="preserve"> ASMWCAPUQADJ</w:t>
            </w:r>
            <w:r w:rsidRPr="00934E33">
              <w:rPr>
                <w:b/>
                <w:bCs/>
                <w:i/>
                <w:vertAlign w:val="subscript"/>
              </w:rPr>
              <w:t xml:space="preserve"> q, h</w:t>
            </w:r>
          </w:p>
          <w:p w14:paraId="3EED45BB" w14:textId="77777777" w:rsidR="00F16B02" w:rsidRDefault="00F16B02" w:rsidP="00F16B02">
            <w:pPr>
              <w:spacing w:after="240"/>
              <w:ind w:left="720"/>
            </w:pPr>
            <w:r>
              <w:t>Where:</w:t>
            </w:r>
          </w:p>
          <w:p w14:paraId="2F98FEDC" w14:textId="77777777" w:rsidR="00F16B02" w:rsidRDefault="00F16B02" w:rsidP="00F16B02">
            <w:pPr>
              <w:spacing w:after="240"/>
              <w:ind w:left="720"/>
            </w:pPr>
            <w:r>
              <w:lastRenderedPageBreak/>
              <w:t>ASMWCAPUQADJ</w:t>
            </w:r>
            <w:r w:rsidRPr="002F4D26">
              <w:rPr>
                <w:i/>
                <w:vertAlign w:val="subscript"/>
              </w:rPr>
              <w:t xml:space="preserve"> q,</w:t>
            </w:r>
            <w:r>
              <w:rPr>
                <w:i/>
                <w:vertAlign w:val="subscript"/>
              </w:rPr>
              <w:t xml:space="preserve"> h</w:t>
            </w:r>
            <w:r>
              <w:t xml:space="preserve"> = </w:t>
            </w:r>
            <w:r w:rsidRPr="00CE15A5">
              <w:rPr>
                <w:b/>
                <w:bCs/>
                <w:position w:val="-18"/>
              </w:rPr>
              <w:object w:dxaOrig="220" w:dyaOrig="420" w14:anchorId="1E93E39F">
                <v:shape id="_x0000_i1085" type="#_x0000_t75" style="width:13.2pt;height:24pt" o:ole="">
                  <v:imagedata r:id="rId50" o:title=""/>
                </v:shape>
                <o:OLEObject Type="Embed" ProgID="Equation.3" ShapeID="_x0000_i1085" DrawAspect="Content" ObjectID="_1799656460" r:id="rId97"/>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p>
          <w:p w14:paraId="1B76154A" w14:textId="77777777" w:rsidR="00F16B02" w:rsidRPr="0072673D" w:rsidRDefault="00F16B02" w:rsidP="00F16B02">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1C1B89C8" w14:textId="77777777" w:rsidR="00F16B02" w:rsidRPr="00AB5CC1" w:rsidRDefault="00F16B02" w:rsidP="00F16B02">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67818596" w14:textId="77777777" w:rsidR="00F16B02" w:rsidRPr="0072673D" w:rsidRDefault="00F16B02" w:rsidP="00F16B02">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461"/>
            </w:tblGrid>
            <w:tr w:rsidR="004B6091" w14:paraId="2D5603B6" w14:textId="77777777" w:rsidTr="00E62C37">
              <w:trPr>
                <w:cantSplit/>
                <w:tblHeader/>
              </w:trPr>
              <w:tc>
                <w:tcPr>
                  <w:tcW w:w="1104" w:type="pct"/>
                </w:tcPr>
                <w:p w14:paraId="2053FDF2" w14:textId="77777777" w:rsidR="004B6091" w:rsidRDefault="004B6091" w:rsidP="004B6091">
                  <w:pPr>
                    <w:pStyle w:val="TableHead"/>
                  </w:pPr>
                  <w:r>
                    <w:t>Variable</w:t>
                  </w:r>
                </w:p>
              </w:tc>
              <w:tc>
                <w:tcPr>
                  <w:tcW w:w="378" w:type="pct"/>
                </w:tcPr>
                <w:p w14:paraId="5141EDE0" w14:textId="77777777" w:rsidR="004B6091" w:rsidRDefault="004B6091" w:rsidP="004B6091">
                  <w:pPr>
                    <w:pStyle w:val="TableHead"/>
                    <w:jc w:val="center"/>
                  </w:pPr>
                  <w:r>
                    <w:t>Unit</w:t>
                  </w:r>
                </w:p>
              </w:tc>
              <w:tc>
                <w:tcPr>
                  <w:tcW w:w="3518" w:type="pct"/>
                </w:tcPr>
                <w:p w14:paraId="694F96B8" w14:textId="77777777" w:rsidR="004B6091" w:rsidRDefault="004B6091" w:rsidP="004B6091">
                  <w:pPr>
                    <w:pStyle w:val="TableHead"/>
                  </w:pPr>
                  <w:r>
                    <w:t>Definition</w:t>
                  </w:r>
                </w:p>
              </w:tc>
            </w:tr>
            <w:tr w:rsidR="004B6091" w14:paraId="701E4DD0" w14:textId="77777777" w:rsidTr="00E62C37">
              <w:trPr>
                <w:cantSplit/>
              </w:trPr>
              <w:tc>
                <w:tcPr>
                  <w:tcW w:w="1104"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78" w:type="pct"/>
                </w:tcPr>
                <w:p w14:paraId="3FFC2AC2" w14:textId="77777777" w:rsidR="004B6091" w:rsidRDefault="004B6091" w:rsidP="004B6091">
                  <w:pPr>
                    <w:pStyle w:val="TableBody"/>
                    <w:jc w:val="center"/>
                  </w:pPr>
                  <w:r>
                    <w:t>none</w:t>
                  </w:r>
                </w:p>
              </w:tc>
              <w:tc>
                <w:tcPr>
                  <w:tcW w:w="3518"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E62C37">
              <w:trPr>
                <w:cantSplit/>
              </w:trPr>
              <w:tc>
                <w:tcPr>
                  <w:tcW w:w="1104"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78" w:type="pct"/>
                </w:tcPr>
                <w:p w14:paraId="5DE2D6EC" w14:textId="77777777" w:rsidR="004B6091" w:rsidRDefault="004B6091" w:rsidP="004B6091">
                  <w:pPr>
                    <w:pStyle w:val="TableBody"/>
                    <w:jc w:val="center"/>
                  </w:pPr>
                  <w:r>
                    <w:t>MW</w:t>
                  </w:r>
                </w:p>
              </w:tc>
              <w:tc>
                <w:tcPr>
                  <w:tcW w:w="3518"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E62C37">
              <w:trPr>
                <w:cantSplit/>
              </w:trPr>
              <w:tc>
                <w:tcPr>
                  <w:tcW w:w="1104"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78" w:type="pct"/>
                </w:tcPr>
                <w:p w14:paraId="188AC9AB" w14:textId="77777777" w:rsidR="004B6091" w:rsidRDefault="004B6091" w:rsidP="004B6091">
                  <w:pPr>
                    <w:pStyle w:val="TableBody"/>
                    <w:jc w:val="center"/>
                  </w:pPr>
                  <w:r>
                    <w:t>MW</w:t>
                  </w:r>
                </w:p>
              </w:tc>
              <w:tc>
                <w:tcPr>
                  <w:tcW w:w="3518"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E62C37">
              <w:trPr>
                <w:cantSplit/>
              </w:trPr>
              <w:tc>
                <w:tcPr>
                  <w:tcW w:w="1104"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78" w:type="pct"/>
                </w:tcPr>
                <w:p w14:paraId="4092B354" w14:textId="77777777" w:rsidR="004B6091" w:rsidRDefault="004B6091" w:rsidP="004B6091">
                  <w:pPr>
                    <w:pStyle w:val="TableBody"/>
                    <w:jc w:val="center"/>
                  </w:pPr>
                  <w:r>
                    <w:t>MW</w:t>
                  </w:r>
                </w:p>
              </w:tc>
              <w:tc>
                <w:tcPr>
                  <w:tcW w:w="3518"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E62C37">
              <w:trPr>
                <w:cantSplit/>
              </w:trPr>
              <w:tc>
                <w:tcPr>
                  <w:tcW w:w="1104"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78" w:type="pct"/>
                </w:tcPr>
                <w:p w14:paraId="0503A5E4" w14:textId="77777777" w:rsidR="004B6091" w:rsidRDefault="004B6091" w:rsidP="004B6091">
                  <w:pPr>
                    <w:pStyle w:val="TableBody"/>
                    <w:jc w:val="center"/>
                  </w:pPr>
                  <w:r>
                    <w:t>MW</w:t>
                  </w:r>
                </w:p>
              </w:tc>
              <w:tc>
                <w:tcPr>
                  <w:tcW w:w="3518"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E62C37">
              <w:trPr>
                <w:cantSplit/>
              </w:trPr>
              <w:tc>
                <w:tcPr>
                  <w:tcW w:w="1104" w:type="pct"/>
                </w:tcPr>
                <w:p w14:paraId="39F6B9C0" w14:textId="77777777" w:rsidR="004B6091" w:rsidRDefault="004B6091" w:rsidP="004B6091">
                  <w:pPr>
                    <w:pStyle w:val="TableBody"/>
                  </w:pPr>
                  <w:r>
                    <w:t xml:space="preserve">RUCCAPCREDIT </w:t>
                  </w:r>
                  <w:r>
                    <w:rPr>
                      <w:i/>
                      <w:vertAlign w:val="subscript"/>
                    </w:rPr>
                    <w:t>q, i, z</w:t>
                  </w:r>
                </w:p>
              </w:tc>
              <w:tc>
                <w:tcPr>
                  <w:tcW w:w="378" w:type="pct"/>
                </w:tcPr>
                <w:p w14:paraId="4940BAE3" w14:textId="77777777" w:rsidR="004B6091" w:rsidRDefault="004B6091" w:rsidP="004B6091">
                  <w:pPr>
                    <w:pStyle w:val="TableBody"/>
                    <w:jc w:val="center"/>
                  </w:pPr>
                  <w:r>
                    <w:t>MW</w:t>
                  </w:r>
                </w:p>
              </w:tc>
              <w:tc>
                <w:tcPr>
                  <w:tcW w:w="3518"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E62C37">
              <w:trPr>
                <w:cantSplit/>
              </w:trPr>
              <w:tc>
                <w:tcPr>
                  <w:tcW w:w="1104"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28AA0F69" w14:textId="77777777" w:rsidR="004B6091" w:rsidRDefault="004B6091" w:rsidP="004B6091">
                  <w:pPr>
                    <w:pStyle w:val="TableBody"/>
                    <w:jc w:val="center"/>
                  </w:pPr>
                  <w:r>
                    <w:t>MW</w:t>
                  </w:r>
                </w:p>
              </w:tc>
              <w:tc>
                <w:tcPr>
                  <w:tcW w:w="3518"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E62C37">
              <w:trPr>
                <w:cantSplit/>
              </w:trPr>
              <w:tc>
                <w:tcPr>
                  <w:tcW w:w="1104"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78" w:type="pct"/>
                </w:tcPr>
                <w:p w14:paraId="4036FABC" w14:textId="77777777" w:rsidR="004B6091" w:rsidRDefault="004B6091" w:rsidP="004B6091">
                  <w:pPr>
                    <w:pStyle w:val="TableBody"/>
                    <w:jc w:val="center"/>
                  </w:pPr>
                  <w:r>
                    <w:t>MW</w:t>
                  </w:r>
                </w:p>
              </w:tc>
              <w:tc>
                <w:tcPr>
                  <w:tcW w:w="3518"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E62C37">
              <w:trPr>
                <w:cantSplit/>
              </w:trPr>
              <w:tc>
                <w:tcPr>
                  <w:tcW w:w="1104"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78" w:type="pct"/>
                </w:tcPr>
                <w:p w14:paraId="1602BF4F" w14:textId="77777777" w:rsidR="004B6091" w:rsidRDefault="004B6091" w:rsidP="004B6091">
                  <w:pPr>
                    <w:pStyle w:val="TableBody"/>
                    <w:jc w:val="center"/>
                  </w:pPr>
                  <w:r>
                    <w:t>MW</w:t>
                  </w:r>
                </w:p>
              </w:tc>
              <w:tc>
                <w:tcPr>
                  <w:tcW w:w="3518"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E62C37">
              <w:trPr>
                <w:cantSplit/>
              </w:trPr>
              <w:tc>
                <w:tcPr>
                  <w:tcW w:w="1104"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54A9133" w14:textId="77777777" w:rsidR="004B6091" w:rsidRDefault="004B6091" w:rsidP="004B6091">
                  <w:pPr>
                    <w:pStyle w:val="TableBody"/>
                    <w:jc w:val="center"/>
                  </w:pPr>
                  <w:r>
                    <w:t>MW</w:t>
                  </w:r>
                </w:p>
              </w:tc>
              <w:tc>
                <w:tcPr>
                  <w:tcW w:w="3518" w:type="pct"/>
                </w:tcPr>
                <w:p w14:paraId="28B13FAC" w14:textId="38A2BBD2"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E62C37">
              <w:trPr>
                <w:cantSplit/>
              </w:trPr>
              <w:tc>
                <w:tcPr>
                  <w:tcW w:w="1104"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FC76B63" w14:textId="77777777" w:rsidR="004B6091" w:rsidRDefault="004B6091" w:rsidP="004B6091">
                  <w:pPr>
                    <w:pStyle w:val="TableBody"/>
                    <w:jc w:val="center"/>
                  </w:pPr>
                  <w:r>
                    <w:t>MW</w:t>
                  </w:r>
                </w:p>
              </w:tc>
              <w:tc>
                <w:tcPr>
                  <w:tcW w:w="3518" w:type="pct"/>
                </w:tcPr>
                <w:p w14:paraId="106F8571" w14:textId="31057229"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E62C37">
              <w:trPr>
                <w:cantSplit/>
              </w:trPr>
              <w:tc>
                <w:tcPr>
                  <w:tcW w:w="1104"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0F72CC48" w14:textId="77777777" w:rsidR="004B6091" w:rsidRDefault="004B6091" w:rsidP="004B6091">
                  <w:pPr>
                    <w:pStyle w:val="TableBody"/>
                    <w:jc w:val="center"/>
                  </w:pPr>
                  <w:r>
                    <w:t>MW</w:t>
                  </w:r>
                </w:p>
              </w:tc>
              <w:tc>
                <w:tcPr>
                  <w:tcW w:w="3518" w:type="pct"/>
                </w:tcPr>
                <w:p w14:paraId="42139DC1" w14:textId="2E166DE9"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E62C37">
              <w:trPr>
                <w:cantSplit/>
              </w:trPr>
              <w:tc>
                <w:tcPr>
                  <w:tcW w:w="1104" w:type="pct"/>
                </w:tcPr>
                <w:p w14:paraId="2AA3870F" w14:textId="77777777" w:rsidR="004B6091" w:rsidRDefault="004B6091" w:rsidP="004B6091">
                  <w:pPr>
                    <w:pStyle w:val="TableBody"/>
                  </w:pPr>
                  <w:r w:rsidRPr="002F4D26">
                    <w:lastRenderedPageBreak/>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E8106EA" w14:textId="77777777" w:rsidR="004B6091" w:rsidRDefault="004B6091" w:rsidP="004B6091">
                  <w:pPr>
                    <w:pStyle w:val="TableBody"/>
                    <w:jc w:val="center"/>
                  </w:pPr>
                  <w:r>
                    <w:t>MW</w:t>
                  </w:r>
                </w:p>
              </w:tc>
              <w:tc>
                <w:tcPr>
                  <w:tcW w:w="3518" w:type="pct"/>
                </w:tcPr>
                <w:p w14:paraId="16F32F41" w14:textId="79AFF72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rsidR="00F16B02"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E62C37">
              <w:trPr>
                <w:cantSplit/>
              </w:trPr>
              <w:tc>
                <w:tcPr>
                  <w:tcW w:w="1104"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3552EC77" w14:textId="77777777" w:rsidR="004B6091" w:rsidRDefault="004B6091" w:rsidP="004B6091">
                  <w:pPr>
                    <w:pStyle w:val="TableBody"/>
                    <w:jc w:val="center"/>
                  </w:pPr>
                  <w:r>
                    <w:t>MW</w:t>
                  </w:r>
                </w:p>
              </w:tc>
              <w:tc>
                <w:tcPr>
                  <w:tcW w:w="3518" w:type="pct"/>
                </w:tcPr>
                <w:p w14:paraId="49467230" w14:textId="0A1A097A"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rsidR="00F16B02" w:rsidRPr="00F16B02">
                    <w:rPr>
                      <w:iCs w:val="0"/>
                    </w:rPr>
                    <w:t xml:space="preserve">net positive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E62C37">
              <w:trPr>
                <w:cantSplit/>
              </w:trPr>
              <w:tc>
                <w:tcPr>
                  <w:tcW w:w="1104"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78" w:type="pct"/>
                </w:tcPr>
                <w:p w14:paraId="195B2638" w14:textId="77777777" w:rsidR="004B6091" w:rsidRDefault="004B6091" w:rsidP="004B6091">
                  <w:pPr>
                    <w:pStyle w:val="TableBody"/>
                    <w:jc w:val="center"/>
                  </w:pPr>
                  <w:r>
                    <w:t>MW</w:t>
                  </w:r>
                </w:p>
              </w:tc>
              <w:tc>
                <w:tcPr>
                  <w:tcW w:w="3518" w:type="pct"/>
                </w:tcPr>
                <w:p w14:paraId="58D5E272" w14:textId="0FC7EE08" w:rsidR="004B6091" w:rsidRDefault="004B6091" w:rsidP="004B6091">
                  <w:pPr>
                    <w:pStyle w:val="TableBody"/>
                    <w:rPr>
                      <w:i/>
                    </w:rPr>
                  </w:pPr>
                  <w:r>
                    <w:rPr>
                      <w:i/>
                    </w:rPr>
                    <w:t>Ancillary Service Offline Offers at Snapshot –</w:t>
                  </w:r>
                  <w:r>
                    <w:t xml:space="preserve">The capacity represented by validated Ancillary Service Offers for Non-Spin for Resource </w:t>
                  </w:r>
                  <w:r>
                    <w:rPr>
                      <w:i/>
                    </w:rPr>
                    <w:t xml:space="preserve">r </w:t>
                  </w:r>
                  <w:r w:rsidR="00F16B02">
                    <w:rPr>
                      <w:iCs w:val="0"/>
                    </w:rPr>
                    <w:t xml:space="preserve">with COP status of “OFF”,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E62C37">
              <w:trPr>
                <w:cantSplit/>
              </w:trPr>
              <w:tc>
                <w:tcPr>
                  <w:tcW w:w="1104"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5D92AF93" w14:textId="77777777" w:rsidR="004B6091" w:rsidRDefault="004B6091" w:rsidP="004B6091">
                  <w:pPr>
                    <w:pStyle w:val="TableBody"/>
                    <w:jc w:val="center"/>
                  </w:pPr>
                  <w:r>
                    <w:t>MW</w:t>
                  </w:r>
                </w:p>
              </w:tc>
              <w:tc>
                <w:tcPr>
                  <w:tcW w:w="3518"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F16B02" w14:paraId="6F20132B" w14:textId="77777777" w:rsidTr="00E62C37">
              <w:trPr>
                <w:cantSplit/>
              </w:trPr>
              <w:tc>
                <w:tcPr>
                  <w:tcW w:w="1104" w:type="pct"/>
                </w:tcPr>
                <w:p w14:paraId="4E030D21" w14:textId="4BA05F22" w:rsidR="00F16B02" w:rsidRPr="002F4D26" w:rsidRDefault="00F16B02" w:rsidP="00F16B02">
                  <w:pPr>
                    <w:pStyle w:val="TableBody"/>
                  </w:pPr>
                  <w:r w:rsidRPr="008F36C0">
                    <w:rPr>
                      <w:bCs/>
                    </w:rPr>
                    <w:t xml:space="preserve">PFPOSSNAP </w:t>
                  </w:r>
                  <w:proofErr w:type="spellStart"/>
                  <w:r w:rsidRPr="008F36C0">
                    <w:rPr>
                      <w:bCs/>
                      <w:i/>
                      <w:vertAlign w:val="subscript"/>
                    </w:rPr>
                    <w:t>ruc</w:t>
                  </w:r>
                  <w:proofErr w:type="spellEnd"/>
                  <w:r w:rsidRPr="008F36C0">
                    <w:rPr>
                      <w:bCs/>
                      <w:i/>
                      <w:vertAlign w:val="subscript"/>
                    </w:rPr>
                    <w:t>, q, h</w:t>
                  </w:r>
                </w:p>
              </w:tc>
              <w:tc>
                <w:tcPr>
                  <w:tcW w:w="378" w:type="pct"/>
                </w:tcPr>
                <w:p w14:paraId="661B87AC" w14:textId="626E87B2" w:rsidR="00F16B02" w:rsidRDefault="00F16B02" w:rsidP="00F16B02">
                  <w:pPr>
                    <w:pStyle w:val="TableBody"/>
                    <w:jc w:val="center"/>
                  </w:pPr>
                  <w:r>
                    <w:t>MW</w:t>
                  </w:r>
                </w:p>
              </w:tc>
              <w:tc>
                <w:tcPr>
                  <w:tcW w:w="3518" w:type="pct"/>
                </w:tcPr>
                <w:p w14:paraId="4930C5C6" w14:textId="4558AA87" w:rsidR="00F16B02" w:rsidRDefault="00F16B02" w:rsidP="00F16B02">
                  <w:pPr>
                    <w:pStyle w:val="TableBody"/>
                    <w:rPr>
                      <w:i/>
                    </w:rPr>
                  </w:pPr>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3FDA844E" w14:textId="77777777" w:rsidTr="00E62C37">
              <w:trPr>
                <w:cantSplit/>
              </w:trPr>
              <w:tc>
                <w:tcPr>
                  <w:tcW w:w="1104" w:type="pct"/>
                </w:tcPr>
                <w:p w14:paraId="5638B3A3" w14:textId="7592E856" w:rsidR="00F16B02" w:rsidRPr="002F4D26" w:rsidRDefault="00F16B02" w:rsidP="00F16B02">
                  <w:pPr>
                    <w:pStyle w:val="TableBody"/>
                  </w:pPr>
                  <w:r w:rsidRPr="008F36C0">
                    <w:rPr>
                      <w:bCs/>
                    </w:rPr>
                    <w:t xml:space="preserve">UFPOSSNAP </w:t>
                  </w:r>
                  <w:proofErr w:type="spellStart"/>
                  <w:r w:rsidRPr="008F36C0">
                    <w:rPr>
                      <w:bCs/>
                      <w:i/>
                      <w:vertAlign w:val="subscript"/>
                    </w:rPr>
                    <w:t>ruc</w:t>
                  </w:r>
                  <w:proofErr w:type="spellEnd"/>
                  <w:r w:rsidRPr="008F36C0">
                    <w:rPr>
                      <w:bCs/>
                      <w:i/>
                      <w:vertAlign w:val="subscript"/>
                    </w:rPr>
                    <w:t>, q, h</w:t>
                  </w:r>
                </w:p>
              </w:tc>
              <w:tc>
                <w:tcPr>
                  <w:tcW w:w="378" w:type="pct"/>
                </w:tcPr>
                <w:p w14:paraId="58504DC1" w14:textId="1FE82FA5" w:rsidR="00F16B02" w:rsidRDefault="00F16B02" w:rsidP="00F16B02">
                  <w:pPr>
                    <w:pStyle w:val="TableBody"/>
                    <w:jc w:val="center"/>
                  </w:pPr>
                  <w:r>
                    <w:t>MW</w:t>
                  </w:r>
                </w:p>
              </w:tc>
              <w:tc>
                <w:tcPr>
                  <w:tcW w:w="3518" w:type="pct"/>
                </w:tcPr>
                <w:p w14:paraId="1BC3C147" w14:textId="29787EEC" w:rsidR="00F16B02" w:rsidRDefault="00F16B02" w:rsidP="00F16B02">
                  <w:pPr>
                    <w:pStyle w:val="TableBody"/>
                    <w:rPr>
                      <w:i/>
                    </w:rPr>
                  </w:pPr>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4214FF72" w14:textId="77777777" w:rsidTr="00E62C37">
              <w:trPr>
                <w:cantSplit/>
              </w:trPr>
              <w:tc>
                <w:tcPr>
                  <w:tcW w:w="1104" w:type="pct"/>
                </w:tcPr>
                <w:p w14:paraId="0D2C8388" w14:textId="0EA9DD22" w:rsidR="00F16B02" w:rsidRPr="002F4D26" w:rsidRDefault="00F16B02" w:rsidP="00F16B02">
                  <w:pPr>
                    <w:pStyle w:val="TableBody"/>
                  </w:pPr>
                  <w:r w:rsidRPr="008F36C0">
                    <w:rPr>
                      <w:bCs/>
                    </w:rPr>
                    <w:t xml:space="preserve">FFPOSSNAP </w:t>
                  </w:r>
                  <w:proofErr w:type="spellStart"/>
                  <w:r w:rsidRPr="008F36C0">
                    <w:rPr>
                      <w:bCs/>
                      <w:i/>
                      <w:vertAlign w:val="subscript"/>
                    </w:rPr>
                    <w:t>ruc</w:t>
                  </w:r>
                  <w:proofErr w:type="spellEnd"/>
                  <w:r w:rsidRPr="008F36C0">
                    <w:rPr>
                      <w:bCs/>
                      <w:i/>
                      <w:vertAlign w:val="subscript"/>
                    </w:rPr>
                    <w:t>, q, h</w:t>
                  </w:r>
                </w:p>
              </w:tc>
              <w:tc>
                <w:tcPr>
                  <w:tcW w:w="378" w:type="pct"/>
                </w:tcPr>
                <w:p w14:paraId="7FBEB2B2" w14:textId="25951A13" w:rsidR="00F16B02" w:rsidRDefault="00F16B02" w:rsidP="00F16B02">
                  <w:pPr>
                    <w:pStyle w:val="TableBody"/>
                    <w:jc w:val="center"/>
                  </w:pPr>
                  <w:r>
                    <w:t>MW</w:t>
                  </w:r>
                </w:p>
              </w:tc>
              <w:tc>
                <w:tcPr>
                  <w:tcW w:w="3518" w:type="pct"/>
                </w:tcPr>
                <w:p w14:paraId="51DA6301" w14:textId="641611A2" w:rsidR="00F16B02" w:rsidRDefault="00F16B02" w:rsidP="00F16B02">
                  <w:pPr>
                    <w:pStyle w:val="TableBody"/>
                    <w:rPr>
                      <w:i/>
                    </w:rPr>
                  </w:pPr>
                  <w:r w:rsidRPr="008F36C0">
                    <w:rPr>
                      <w:i/>
                    </w:rPr>
                    <w:t>Responsive Reserve (Fast Frequency Response) Position at Snapshot</w:t>
                  </w:r>
                  <w:r w:rsidRPr="008F36C0">
                    <w:sym w:font="Symbol" w:char="F0BE"/>
                  </w:r>
                  <w:r w:rsidRPr="008F36C0">
                    <w:t xml:space="preserve">The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p>
              </w:tc>
            </w:tr>
            <w:tr w:rsidR="00F16B02" w14:paraId="3E1FBB40" w14:textId="77777777" w:rsidTr="00E62C37">
              <w:trPr>
                <w:cantSplit/>
              </w:trPr>
              <w:tc>
                <w:tcPr>
                  <w:tcW w:w="1104" w:type="pct"/>
                </w:tcPr>
                <w:p w14:paraId="29D7E2CF" w14:textId="3DAF5FAD" w:rsidR="00F16B02" w:rsidRPr="002F4D26" w:rsidRDefault="00F16B02" w:rsidP="00F16B02">
                  <w:pPr>
                    <w:pStyle w:val="TableBody"/>
                  </w:pPr>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p>
              </w:tc>
              <w:tc>
                <w:tcPr>
                  <w:tcW w:w="378" w:type="pct"/>
                </w:tcPr>
                <w:p w14:paraId="5A24EE66" w14:textId="0BF631F0" w:rsidR="00F16B02" w:rsidRDefault="00F16B02" w:rsidP="00F16B02">
                  <w:pPr>
                    <w:pStyle w:val="TableBody"/>
                    <w:jc w:val="center"/>
                  </w:pPr>
                  <w:r>
                    <w:t>MW</w:t>
                  </w:r>
                </w:p>
              </w:tc>
              <w:tc>
                <w:tcPr>
                  <w:tcW w:w="3518" w:type="pct"/>
                </w:tcPr>
                <w:p w14:paraId="55DA98AB" w14:textId="7EE67F9A" w:rsidR="00F16B02" w:rsidRDefault="00F16B02" w:rsidP="00F16B02">
                  <w:pPr>
                    <w:pStyle w:val="TableBody"/>
                    <w:rPr>
                      <w:i/>
                    </w:rPr>
                  </w:pPr>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75387439" w14:textId="77777777" w:rsidTr="00E62C37">
              <w:trPr>
                <w:cantSplit/>
              </w:trPr>
              <w:tc>
                <w:tcPr>
                  <w:tcW w:w="1104" w:type="pct"/>
                </w:tcPr>
                <w:p w14:paraId="6B155798" w14:textId="6BBA38B8" w:rsidR="00F16B02" w:rsidRPr="002F4D26" w:rsidRDefault="00F16B02" w:rsidP="00F16B02">
                  <w:pPr>
                    <w:pStyle w:val="TableBody"/>
                  </w:pPr>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2CCE59BB" w14:textId="621EDBC2" w:rsidR="00F16B02" w:rsidRDefault="00F16B02" w:rsidP="00F16B02">
                  <w:pPr>
                    <w:pStyle w:val="TableBody"/>
                    <w:jc w:val="center"/>
                  </w:pPr>
                  <w:r>
                    <w:t>MW</w:t>
                  </w:r>
                </w:p>
              </w:tc>
              <w:tc>
                <w:tcPr>
                  <w:tcW w:w="3518" w:type="pct"/>
                </w:tcPr>
                <w:p w14:paraId="035529FD" w14:textId="54E1977D" w:rsidR="00F16B02" w:rsidRDefault="00F16B02" w:rsidP="00F16B02">
                  <w:pPr>
                    <w:pStyle w:val="TableBody"/>
                    <w:rPr>
                      <w:i/>
                    </w:rPr>
                  </w:pPr>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4B68C06E" w14:textId="77777777" w:rsidTr="00E62C37">
              <w:trPr>
                <w:cantSplit/>
              </w:trPr>
              <w:tc>
                <w:tcPr>
                  <w:tcW w:w="1104" w:type="pct"/>
                </w:tcPr>
                <w:p w14:paraId="10B03219" w14:textId="6D7D7378" w:rsidR="00F16B02" w:rsidRPr="002F4D26" w:rsidRDefault="00F16B02" w:rsidP="00F16B02">
                  <w:pPr>
                    <w:pStyle w:val="TableBody"/>
                  </w:pPr>
                  <w:r w:rsidRPr="008F36C0">
                    <w:rPr>
                      <w:bCs/>
                    </w:rPr>
                    <w:lastRenderedPageBreak/>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p>
              </w:tc>
              <w:tc>
                <w:tcPr>
                  <w:tcW w:w="378" w:type="pct"/>
                </w:tcPr>
                <w:p w14:paraId="527EB668" w14:textId="00C3B35D" w:rsidR="00F16B02" w:rsidRDefault="00F16B02" w:rsidP="00F16B02">
                  <w:pPr>
                    <w:pStyle w:val="TableBody"/>
                    <w:jc w:val="center"/>
                  </w:pPr>
                  <w:r>
                    <w:t>MW</w:t>
                  </w:r>
                </w:p>
              </w:tc>
              <w:tc>
                <w:tcPr>
                  <w:tcW w:w="3518" w:type="pct"/>
                </w:tcPr>
                <w:p w14:paraId="62289F00" w14:textId="6EC4B87F" w:rsidR="00F16B02" w:rsidRDefault="00F16B02" w:rsidP="00F16B02">
                  <w:pPr>
                    <w:pStyle w:val="TableBody"/>
                    <w:rPr>
                      <w:i/>
                    </w:rPr>
                  </w:pPr>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F16B02" w14:paraId="6D7D41D9" w14:textId="77777777" w:rsidTr="00E62C37">
              <w:trPr>
                <w:cantSplit/>
              </w:trPr>
              <w:tc>
                <w:tcPr>
                  <w:tcW w:w="1104" w:type="pct"/>
                </w:tcPr>
                <w:p w14:paraId="674FAC07" w14:textId="0BE6C572" w:rsidR="00F16B02" w:rsidRPr="002F4D26" w:rsidRDefault="00F16B02" w:rsidP="00F16B02">
                  <w:pPr>
                    <w:pStyle w:val="TableBody"/>
                  </w:pPr>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7687702A" w14:textId="2F31553F" w:rsidR="00F16B02" w:rsidRDefault="00F16B02" w:rsidP="00F16B02">
                  <w:pPr>
                    <w:pStyle w:val="TableBody"/>
                    <w:jc w:val="center"/>
                  </w:pPr>
                  <w:r>
                    <w:t>MW</w:t>
                  </w:r>
                </w:p>
              </w:tc>
              <w:tc>
                <w:tcPr>
                  <w:tcW w:w="3518" w:type="pct"/>
                </w:tcPr>
                <w:p w14:paraId="44E7037A" w14:textId="12A01985" w:rsidR="00F16B02" w:rsidRDefault="00F16B02" w:rsidP="00F16B02">
                  <w:pPr>
                    <w:pStyle w:val="TableBody"/>
                    <w:rPr>
                      <w:i/>
                    </w:rPr>
                  </w:pPr>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3D9F5AB" w14:textId="77777777" w:rsidTr="00E62C37">
              <w:trPr>
                <w:cantSplit/>
              </w:trPr>
              <w:tc>
                <w:tcPr>
                  <w:tcW w:w="1104" w:type="pct"/>
                </w:tcPr>
                <w:p w14:paraId="0A7B92B4" w14:textId="22FFCFAC" w:rsidR="00F16B02" w:rsidRPr="002F4D26" w:rsidRDefault="00F16B02" w:rsidP="00F16B02">
                  <w:pPr>
                    <w:pStyle w:val="TableBody"/>
                  </w:pPr>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p>
              </w:tc>
              <w:tc>
                <w:tcPr>
                  <w:tcW w:w="378" w:type="pct"/>
                </w:tcPr>
                <w:p w14:paraId="41B7C6FA" w14:textId="4ACEB07B" w:rsidR="00F16B02" w:rsidRDefault="00F16B02" w:rsidP="00F16B02">
                  <w:pPr>
                    <w:pStyle w:val="TableBody"/>
                    <w:jc w:val="center"/>
                  </w:pPr>
                  <w:r>
                    <w:t>MW</w:t>
                  </w:r>
                </w:p>
              </w:tc>
              <w:tc>
                <w:tcPr>
                  <w:tcW w:w="3518" w:type="pct"/>
                </w:tcPr>
                <w:p w14:paraId="42593884" w14:textId="765544F5"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7D5412F" w14:textId="77777777" w:rsidTr="00E62C37">
              <w:trPr>
                <w:cantSplit/>
              </w:trPr>
              <w:tc>
                <w:tcPr>
                  <w:tcW w:w="1104" w:type="pct"/>
                </w:tcPr>
                <w:p w14:paraId="2A0E7D44" w14:textId="404368E2" w:rsidR="00F16B02" w:rsidRPr="002F4D26" w:rsidRDefault="00F16B02" w:rsidP="00F16B02">
                  <w:pPr>
                    <w:pStyle w:val="TableBody"/>
                  </w:pPr>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8E85A12" w14:textId="751B85EF" w:rsidR="00F16B02" w:rsidRDefault="00F16B02" w:rsidP="00F16B02">
                  <w:pPr>
                    <w:pStyle w:val="TableBody"/>
                    <w:jc w:val="center"/>
                  </w:pPr>
                  <w:r>
                    <w:t>MW</w:t>
                  </w:r>
                </w:p>
              </w:tc>
              <w:tc>
                <w:tcPr>
                  <w:tcW w:w="3518" w:type="pct"/>
                </w:tcPr>
                <w:p w14:paraId="54D41923" w14:textId="3BEE07E1"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692EDA45" w14:textId="77777777" w:rsidTr="00E62C37">
              <w:trPr>
                <w:cantSplit/>
              </w:trPr>
              <w:tc>
                <w:tcPr>
                  <w:tcW w:w="1104" w:type="pct"/>
                </w:tcPr>
                <w:p w14:paraId="171329DD" w14:textId="35B10580" w:rsidR="00F16B02" w:rsidRPr="002F4D26" w:rsidRDefault="00F16B02" w:rsidP="00F16B02">
                  <w:pPr>
                    <w:pStyle w:val="TableBody"/>
                  </w:pPr>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p>
              </w:tc>
              <w:tc>
                <w:tcPr>
                  <w:tcW w:w="378" w:type="pct"/>
                </w:tcPr>
                <w:p w14:paraId="5539B064" w14:textId="632CD345" w:rsidR="00F16B02" w:rsidRDefault="00F16B02" w:rsidP="00F16B02">
                  <w:pPr>
                    <w:pStyle w:val="TableBody"/>
                    <w:jc w:val="center"/>
                  </w:pPr>
                  <w:r>
                    <w:t>MW</w:t>
                  </w:r>
                </w:p>
              </w:tc>
              <w:tc>
                <w:tcPr>
                  <w:tcW w:w="3518" w:type="pct"/>
                </w:tcPr>
                <w:p w14:paraId="2130D382" w14:textId="49B1DAC1" w:rsidR="00F16B02" w:rsidRDefault="00F16B02" w:rsidP="00F16B02">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F16B02" w14:paraId="7815D1AC" w14:textId="77777777" w:rsidTr="00E62C37">
              <w:trPr>
                <w:cantSplit/>
              </w:trPr>
              <w:tc>
                <w:tcPr>
                  <w:tcW w:w="1104" w:type="pct"/>
                </w:tcPr>
                <w:p w14:paraId="7A0C9FEC" w14:textId="4721EC0A" w:rsidR="00F16B02" w:rsidRPr="002F4D26" w:rsidRDefault="00F16B02" w:rsidP="00F16B02">
                  <w:pPr>
                    <w:pStyle w:val="TableBody"/>
                  </w:pPr>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1601027" w14:textId="7B6911DF" w:rsidR="00F16B02" w:rsidRDefault="00F16B02" w:rsidP="00F16B02">
                  <w:pPr>
                    <w:pStyle w:val="TableBody"/>
                    <w:jc w:val="center"/>
                  </w:pPr>
                  <w:r w:rsidRPr="00FD3CC9">
                    <w:t>MW</w:t>
                  </w:r>
                </w:p>
              </w:tc>
              <w:tc>
                <w:tcPr>
                  <w:tcW w:w="3518" w:type="pct"/>
                </w:tcPr>
                <w:p w14:paraId="6D5885E7" w14:textId="08DF9AD7" w:rsidR="00F16B02" w:rsidRDefault="00F16B02" w:rsidP="00F16B02">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p>
              </w:tc>
            </w:tr>
            <w:tr w:rsidR="00F16B02" w14:paraId="481FC484" w14:textId="77777777" w:rsidTr="00E62C37">
              <w:trPr>
                <w:cantSplit/>
              </w:trPr>
              <w:tc>
                <w:tcPr>
                  <w:tcW w:w="1104" w:type="pct"/>
                </w:tcPr>
                <w:p w14:paraId="58A1C084" w14:textId="0543E348" w:rsidR="00F16B02" w:rsidRPr="002F4D26" w:rsidRDefault="00F16B02" w:rsidP="00F16B02">
                  <w:pPr>
                    <w:pStyle w:val="TableBody"/>
                  </w:pPr>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0636C95" w14:textId="1872E4FA" w:rsidR="00F16B02" w:rsidRDefault="00F16B02" w:rsidP="00F16B02">
                  <w:pPr>
                    <w:pStyle w:val="TableBody"/>
                    <w:jc w:val="center"/>
                  </w:pPr>
                  <w:r w:rsidRPr="00FD3CC9">
                    <w:t>MW</w:t>
                  </w:r>
                </w:p>
              </w:tc>
              <w:tc>
                <w:tcPr>
                  <w:tcW w:w="3518" w:type="pct"/>
                </w:tcPr>
                <w:p w14:paraId="114967CC" w14:textId="0AC6F78E" w:rsidR="00F16B02" w:rsidRDefault="00F16B02" w:rsidP="00F16B02">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taking into account the COP SOC values from COP.</w:t>
                  </w:r>
                </w:p>
              </w:tc>
            </w:tr>
            <w:tr w:rsidR="004B6091" w14:paraId="7783AE97" w14:textId="77777777" w:rsidTr="00E62C37">
              <w:trPr>
                <w:cantSplit/>
              </w:trPr>
              <w:tc>
                <w:tcPr>
                  <w:tcW w:w="1104"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78" w:type="pct"/>
                </w:tcPr>
                <w:p w14:paraId="23454525" w14:textId="77777777" w:rsidR="004B6091" w:rsidRDefault="004B6091" w:rsidP="004B6091">
                  <w:pPr>
                    <w:pStyle w:val="TableBody"/>
                    <w:jc w:val="center"/>
                  </w:pPr>
                  <w:r w:rsidRPr="00C93BDD">
                    <w:t>MW</w:t>
                  </w:r>
                </w:p>
              </w:tc>
              <w:tc>
                <w:tcPr>
                  <w:tcW w:w="3518"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E62C37">
              <w:trPr>
                <w:cantSplit/>
              </w:trPr>
              <w:tc>
                <w:tcPr>
                  <w:tcW w:w="1104"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78" w:type="pct"/>
                </w:tcPr>
                <w:p w14:paraId="1FB1F85B" w14:textId="77777777" w:rsidR="004B6091" w:rsidRDefault="004B6091" w:rsidP="004B6091">
                  <w:pPr>
                    <w:pStyle w:val="TableBody"/>
                    <w:jc w:val="center"/>
                  </w:pPr>
                  <w:r w:rsidRPr="0043255B">
                    <w:t>MW</w:t>
                  </w:r>
                </w:p>
              </w:tc>
              <w:tc>
                <w:tcPr>
                  <w:tcW w:w="3518"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E62C37">
              <w:trPr>
                <w:cantSplit/>
              </w:trPr>
              <w:tc>
                <w:tcPr>
                  <w:tcW w:w="1104"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78" w:type="pct"/>
                </w:tcPr>
                <w:p w14:paraId="6F21580D" w14:textId="77777777" w:rsidR="004B6091" w:rsidRDefault="004B6091" w:rsidP="004B6091">
                  <w:pPr>
                    <w:pStyle w:val="TableBody"/>
                    <w:jc w:val="center"/>
                  </w:pPr>
                  <w:r>
                    <w:t>MW</w:t>
                  </w:r>
                </w:p>
              </w:tc>
              <w:tc>
                <w:tcPr>
                  <w:tcW w:w="3518"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E62C37">
              <w:trPr>
                <w:cantSplit/>
              </w:trPr>
              <w:tc>
                <w:tcPr>
                  <w:tcW w:w="1104" w:type="pct"/>
                </w:tcPr>
                <w:p w14:paraId="3C1DF8DC" w14:textId="77777777" w:rsidR="004B6091" w:rsidRDefault="004B6091" w:rsidP="004B6091">
                  <w:pPr>
                    <w:pStyle w:val="TableBody"/>
                  </w:pPr>
                  <w:r w:rsidRPr="009A0FB8">
                    <w:lastRenderedPageBreak/>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64E0EFFA" w14:textId="77777777" w:rsidR="004B6091" w:rsidRDefault="004B6091" w:rsidP="004B6091">
                  <w:pPr>
                    <w:pStyle w:val="TableBody"/>
                    <w:jc w:val="center"/>
                  </w:pPr>
                  <w:r w:rsidRPr="00C93BDD">
                    <w:t>MW</w:t>
                  </w:r>
                </w:p>
              </w:tc>
              <w:tc>
                <w:tcPr>
                  <w:tcW w:w="3518" w:type="pct"/>
                </w:tcPr>
                <w:p w14:paraId="246344C8" w14:textId="23DCA02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00F16B02" w:rsidRPr="00E24D9A">
                    <w:rPr>
                      <w:iCs w:val="0"/>
                    </w:rPr>
                    <w:t xml:space="preserve">net </w:t>
                  </w:r>
                  <w:r w:rsidR="00F16B02">
                    <w:rPr>
                      <w:iCs w:val="0"/>
                    </w:rPr>
                    <w:t>positive</w:t>
                  </w:r>
                  <w:r w:rsidR="00F16B02" w:rsidRPr="00C93BDD">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E62C37">
              <w:trPr>
                <w:cantSplit/>
              </w:trPr>
              <w:tc>
                <w:tcPr>
                  <w:tcW w:w="1104"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02066F87" w14:textId="77777777" w:rsidR="004B6091" w:rsidRDefault="004B6091" w:rsidP="004B6091">
                  <w:pPr>
                    <w:pStyle w:val="TableBody"/>
                    <w:jc w:val="center"/>
                  </w:pPr>
                  <w:r w:rsidRPr="0043255B">
                    <w:t>MW</w:t>
                  </w:r>
                </w:p>
              </w:tc>
              <w:tc>
                <w:tcPr>
                  <w:tcW w:w="3518" w:type="pct"/>
                </w:tcPr>
                <w:p w14:paraId="4BF143C4" w14:textId="44249D0F"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35379F" w:rsidRPr="0035379F">
                    <w:rPr>
                      <w:iCs w:val="0"/>
                    </w:rPr>
                    <w:t>net positive</w:t>
                  </w:r>
                  <w:r w:rsidR="0035379F">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E62C37">
              <w:trPr>
                <w:cantSplit/>
              </w:trPr>
              <w:tc>
                <w:tcPr>
                  <w:tcW w:w="1104"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0164994" w14:textId="77777777" w:rsidR="004B6091" w:rsidRDefault="004B6091" w:rsidP="004B6091">
                  <w:pPr>
                    <w:pStyle w:val="TableBody"/>
                    <w:jc w:val="center"/>
                  </w:pPr>
                  <w:r w:rsidRPr="0043255B">
                    <w:t>MW</w:t>
                  </w:r>
                </w:p>
              </w:tc>
              <w:tc>
                <w:tcPr>
                  <w:tcW w:w="3518" w:type="pct"/>
                </w:tcPr>
                <w:p w14:paraId="22119FCA" w14:textId="3872CB6B"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E62C37">
              <w:trPr>
                <w:cantSplit/>
              </w:trPr>
              <w:tc>
                <w:tcPr>
                  <w:tcW w:w="1104"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8B5B06E" w14:textId="77777777" w:rsidR="004B6091" w:rsidRDefault="004B6091" w:rsidP="004B6091">
                  <w:pPr>
                    <w:pStyle w:val="TableBody"/>
                    <w:jc w:val="center"/>
                  </w:pPr>
                  <w:r w:rsidRPr="0043255B">
                    <w:t>MW</w:t>
                  </w:r>
                </w:p>
              </w:tc>
              <w:tc>
                <w:tcPr>
                  <w:tcW w:w="3518" w:type="pct"/>
                </w:tcPr>
                <w:p w14:paraId="0D3E24E9" w14:textId="681340FB"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00F16B02" w:rsidRPr="00E24D9A">
                    <w:rPr>
                      <w:iCs w:val="0"/>
                    </w:rPr>
                    <w:t xml:space="preserve">net </w:t>
                  </w:r>
                  <w:r w:rsidR="00F16B02">
                    <w:rPr>
                      <w:iCs w:val="0"/>
                    </w:rPr>
                    <w:t>positive</w:t>
                  </w:r>
                  <w:r w:rsidR="00F16B02" w:rsidRPr="0043255B">
                    <w:t xml:space="preserve">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E62C37">
              <w:trPr>
                <w:cantSplit/>
              </w:trPr>
              <w:tc>
                <w:tcPr>
                  <w:tcW w:w="1104"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3B063797" w14:textId="77777777" w:rsidR="004B6091" w:rsidRDefault="004B6091" w:rsidP="004B6091">
                  <w:pPr>
                    <w:pStyle w:val="TableBody"/>
                    <w:jc w:val="center"/>
                  </w:pPr>
                  <w:r w:rsidRPr="0043255B">
                    <w:t>MW</w:t>
                  </w:r>
                </w:p>
              </w:tc>
              <w:tc>
                <w:tcPr>
                  <w:tcW w:w="3518" w:type="pct"/>
                </w:tcPr>
                <w:p w14:paraId="788F7312" w14:textId="1B21D099"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00F16B02" w:rsidRPr="00E24D9A">
                    <w:rPr>
                      <w:iCs w:val="0"/>
                    </w:rPr>
                    <w:t xml:space="preserve">net </w:t>
                  </w:r>
                  <w:r w:rsidR="00F16B02">
                    <w:rPr>
                      <w:iCs w:val="0"/>
                    </w:rPr>
                    <w:t>positive</w:t>
                  </w:r>
                  <w:r w:rsidR="00F16B02" w:rsidRPr="0043255B">
                    <w:t xml:space="preserve">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E62C37">
              <w:trPr>
                <w:cantSplit/>
              </w:trPr>
              <w:tc>
                <w:tcPr>
                  <w:tcW w:w="1104"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2B3780DA" w14:textId="77777777" w:rsidR="004B6091" w:rsidRDefault="004B6091" w:rsidP="004B6091">
                  <w:pPr>
                    <w:pStyle w:val="TableBody"/>
                    <w:jc w:val="center"/>
                  </w:pPr>
                  <w:r>
                    <w:t>MW</w:t>
                  </w:r>
                </w:p>
              </w:tc>
              <w:tc>
                <w:tcPr>
                  <w:tcW w:w="3518" w:type="pct"/>
                </w:tcPr>
                <w:p w14:paraId="0B56FAFF" w14:textId="0A9BAF7C" w:rsidR="004B6091" w:rsidRDefault="004B6091" w:rsidP="004B6091">
                  <w:pPr>
                    <w:pStyle w:val="TableBody"/>
                    <w:rPr>
                      <w:i/>
                    </w:rPr>
                  </w:pPr>
                  <w:r>
                    <w:rPr>
                      <w:i/>
                    </w:rPr>
                    <w:t>Ancillary Service Offline Offers at End of Adjustment Period –</w:t>
                  </w:r>
                  <w:r>
                    <w:t xml:space="preserve">The capacity represented by validated Ancillary Service Offers for Non-Spin for Resource </w:t>
                  </w:r>
                  <w:r>
                    <w:rPr>
                      <w:i/>
                    </w:rPr>
                    <w:t>r</w:t>
                  </w:r>
                  <w:r w:rsidR="00F16B02">
                    <w:rPr>
                      <w:iCs w:val="0"/>
                    </w:rPr>
                    <w:t xml:space="preserve"> with COP status of “OFF”,</w:t>
                  </w:r>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E62C37">
              <w:trPr>
                <w:cantSplit/>
              </w:trPr>
              <w:tc>
                <w:tcPr>
                  <w:tcW w:w="1104" w:type="pct"/>
                </w:tcPr>
                <w:p w14:paraId="31BAB898" w14:textId="77777777" w:rsidR="004B6091" w:rsidRDefault="004B6091" w:rsidP="004B6091">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6348619A" w14:textId="77777777" w:rsidR="004B6091" w:rsidRDefault="004B6091" w:rsidP="004B6091">
                  <w:pPr>
                    <w:pStyle w:val="TableBody"/>
                    <w:jc w:val="center"/>
                  </w:pPr>
                  <w:r>
                    <w:t>MW</w:t>
                  </w:r>
                </w:p>
              </w:tc>
              <w:tc>
                <w:tcPr>
                  <w:tcW w:w="3518"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F16B02" w14:paraId="04AEB154" w14:textId="77777777" w:rsidTr="00F16B02">
              <w:trPr>
                <w:cantSplit/>
              </w:trPr>
              <w:tc>
                <w:tcPr>
                  <w:tcW w:w="1104" w:type="pct"/>
                </w:tcPr>
                <w:p w14:paraId="725E2C9F" w14:textId="0DF2D8B7" w:rsidR="00F16B02" w:rsidRDefault="00F16B02" w:rsidP="00F16B02">
                  <w:pPr>
                    <w:pStyle w:val="TableBody"/>
                  </w:pPr>
                  <w:r w:rsidRPr="008F36C0">
                    <w:rPr>
                      <w:bCs/>
                    </w:rPr>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1E2BC56" w14:textId="3870A67E" w:rsidR="00F16B02" w:rsidRDefault="00F16B02" w:rsidP="00F16B02">
                  <w:pPr>
                    <w:pStyle w:val="TableBody"/>
                    <w:jc w:val="center"/>
                  </w:pPr>
                  <w:r>
                    <w:t>MW</w:t>
                  </w:r>
                </w:p>
              </w:tc>
              <w:tc>
                <w:tcPr>
                  <w:tcW w:w="3518" w:type="pct"/>
                </w:tcPr>
                <w:p w14:paraId="125FEA5D" w14:textId="54B00A96" w:rsidR="00F16B02" w:rsidRDefault="00F16B02" w:rsidP="00F16B02">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46EA1CD" w14:textId="77777777" w:rsidTr="00F16B02">
              <w:trPr>
                <w:cantSplit/>
              </w:trPr>
              <w:tc>
                <w:tcPr>
                  <w:tcW w:w="1104" w:type="pct"/>
                </w:tcPr>
                <w:p w14:paraId="3CD59831" w14:textId="0092FC08" w:rsidR="00F16B02" w:rsidRDefault="00F16B02" w:rsidP="00F16B02">
                  <w:pPr>
                    <w:pStyle w:val="TableBody"/>
                  </w:pPr>
                  <w:r w:rsidRPr="008F36C0">
                    <w:rPr>
                      <w:bCs/>
                    </w:rPr>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93C5DE0" w14:textId="21DB62B9" w:rsidR="00F16B02" w:rsidRDefault="00F16B02" w:rsidP="00F16B02">
                  <w:pPr>
                    <w:pStyle w:val="TableBody"/>
                    <w:jc w:val="center"/>
                  </w:pPr>
                  <w:r>
                    <w:t>MW</w:t>
                  </w:r>
                </w:p>
              </w:tc>
              <w:tc>
                <w:tcPr>
                  <w:tcW w:w="3518" w:type="pct"/>
                </w:tcPr>
                <w:p w14:paraId="4BEA3E8E" w14:textId="7867264D" w:rsidR="00F16B02" w:rsidRDefault="00F16B02" w:rsidP="00F16B02">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0D4F2AE8" w14:textId="77777777" w:rsidTr="00F16B02">
              <w:trPr>
                <w:cantSplit/>
              </w:trPr>
              <w:tc>
                <w:tcPr>
                  <w:tcW w:w="1104" w:type="pct"/>
                </w:tcPr>
                <w:p w14:paraId="53423BF8" w14:textId="28354E2C" w:rsidR="00F16B02" w:rsidRDefault="00F16B02" w:rsidP="00F16B02">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0374BB" w14:textId="2004C953" w:rsidR="00F16B02" w:rsidRDefault="00F16B02" w:rsidP="00F16B02">
                  <w:pPr>
                    <w:pStyle w:val="TableBody"/>
                    <w:jc w:val="center"/>
                  </w:pPr>
                  <w:r>
                    <w:t>MW</w:t>
                  </w:r>
                </w:p>
              </w:tc>
              <w:tc>
                <w:tcPr>
                  <w:tcW w:w="3518" w:type="pct"/>
                </w:tcPr>
                <w:p w14:paraId="32A20965" w14:textId="72AC38BC" w:rsidR="00F16B02" w:rsidRDefault="00F16B02" w:rsidP="00F16B02">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4A8754B" w14:textId="77777777" w:rsidTr="00F16B02">
              <w:trPr>
                <w:cantSplit/>
              </w:trPr>
              <w:tc>
                <w:tcPr>
                  <w:tcW w:w="1104" w:type="pct"/>
                </w:tcPr>
                <w:p w14:paraId="312DB723" w14:textId="54097E5B" w:rsidR="00F16B02" w:rsidRDefault="00F16B02" w:rsidP="00F16B02">
                  <w:pPr>
                    <w:pStyle w:val="TableBody"/>
                  </w:pPr>
                  <w:r w:rsidRPr="008F36C0">
                    <w:rPr>
                      <w:bCs/>
                    </w:rPr>
                    <w:lastRenderedPageBreak/>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41D77DAD" w14:textId="0B413EDB" w:rsidR="00F16B02" w:rsidRDefault="00F16B02" w:rsidP="00F16B02">
                  <w:pPr>
                    <w:pStyle w:val="TableBody"/>
                    <w:jc w:val="center"/>
                  </w:pPr>
                  <w:r>
                    <w:t>MW</w:t>
                  </w:r>
                </w:p>
              </w:tc>
              <w:tc>
                <w:tcPr>
                  <w:tcW w:w="3518" w:type="pct"/>
                </w:tcPr>
                <w:p w14:paraId="02FD2606" w14:textId="61150A35" w:rsidR="00F16B02" w:rsidRDefault="00F16B02" w:rsidP="00F16B02">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71901D6C" w14:textId="77777777" w:rsidTr="00F16B02">
              <w:trPr>
                <w:cantSplit/>
              </w:trPr>
              <w:tc>
                <w:tcPr>
                  <w:tcW w:w="1104" w:type="pct"/>
                </w:tcPr>
                <w:p w14:paraId="061BB0C6" w14:textId="7F358B5C" w:rsidR="00F16B02" w:rsidRDefault="00F16B02" w:rsidP="00F16B02">
                  <w:pPr>
                    <w:pStyle w:val="TableBody"/>
                  </w:pPr>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F59449D" w14:textId="44304F25" w:rsidR="00F16B02" w:rsidRDefault="00F16B02" w:rsidP="00F16B02">
                  <w:pPr>
                    <w:pStyle w:val="TableBody"/>
                    <w:jc w:val="center"/>
                  </w:pPr>
                  <w:r>
                    <w:t>MW</w:t>
                  </w:r>
                </w:p>
              </w:tc>
              <w:tc>
                <w:tcPr>
                  <w:tcW w:w="3518" w:type="pct"/>
                </w:tcPr>
                <w:p w14:paraId="4EAA2D13" w14:textId="0C5908B3" w:rsidR="00F16B02" w:rsidRDefault="00F16B02" w:rsidP="00F16B02">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6B3AB5D4" w14:textId="77777777" w:rsidTr="00F16B02">
              <w:trPr>
                <w:cantSplit/>
              </w:trPr>
              <w:tc>
                <w:tcPr>
                  <w:tcW w:w="1104" w:type="pct"/>
                </w:tcPr>
                <w:p w14:paraId="40C5AB2D" w14:textId="4EAF6EBA" w:rsidR="00F16B02" w:rsidRDefault="00F16B02" w:rsidP="00F16B02">
                  <w:pPr>
                    <w:pStyle w:val="TableBody"/>
                  </w:pPr>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A44A966" w14:textId="3B37BC26" w:rsidR="00F16B02" w:rsidRDefault="00F16B02" w:rsidP="00F16B02">
                  <w:pPr>
                    <w:pStyle w:val="TableBody"/>
                    <w:jc w:val="center"/>
                  </w:pPr>
                  <w:r>
                    <w:t>MW</w:t>
                  </w:r>
                </w:p>
              </w:tc>
              <w:tc>
                <w:tcPr>
                  <w:tcW w:w="3518" w:type="pct"/>
                </w:tcPr>
                <w:p w14:paraId="372395E8" w14:textId="6439CAD4" w:rsidR="00F16B02" w:rsidRDefault="00F16B02" w:rsidP="00F16B02">
                  <w:pPr>
                    <w:pStyle w:val="TableBody"/>
                    <w:rPr>
                      <w:i/>
                    </w:rPr>
                  </w:pPr>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F16B02" w14:paraId="50345208" w14:textId="77777777" w:rsidTr="00F16B02">
              <w:trPr>
                <w:cantSplit/>
              </w:trPr>
              <w:tc>
                <w:tcPr>
                  <w:tcW w:w="1104" w:type="pct"/>
                </w:tcPr>
                <w:p w14:paraId="465E69F8" w14:textId="18271CBB" w:rsidR="00F16B02" w:rsidRDefault="00F16B02" w:rsidP="00F16B02">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F1434EC" w14:textId="2F85F31F" w:rsidR="00F16B02" w:rsidRDefault="00F16B02" w:rsidP="00F16B02">
                  <w:pPr>
                    <w:pStyle w:val="TableBody"/>
                    <w:jc w:val="center"/>
                  </w:pPr>
                  <w:r>
                    <w:t>MW</w:t>
                  </w:r>
                </w:p>
              </w:tc>
              <w:tc>
                <w:tcPr>
                  <w:tcW w:w="3518" w:type="pct"/>
                </w:tcPr>
                <w:p w14:paraId="353F15CE" w14:textId="40CCC726" w:rsidR="00F16B02" w:rsidRDefault="00F16B02" w:rsidP="00F16B02">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F16B02" w14:paraId="4B30674D" w14:textId="77777777" w:rsidTr="00F16B02">
              <w:trPr>
                <w:cantSplit/>
              </w:trPr>
              <w:tc>
                <w:tcPr>
                  <w:tcW w:w="1104" w:type="pct"/>
                </w:tcPr>
                <w:p w14:paraId="023BE0B7" w14:textId="0B00E34F" w:rsidR="00F16B02" w:rsidRDefault="00F16B02" w:rsidP="00F16B02">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4E287DDC" w14:textId="3C1D13C2" w:rsidR="00F16B02" w:rsidRDefault="00F16B02" w:rsidP="00F16B02">
                  <w:pPr>
                    <w:pStyle w:val="TableBody"/>
                    <w:jc w:val="center"/>
                  </w:pPr>
                  <w:r>
                    <w:t>MW</w:t>
                  </w:r>
                </w:p>
              </w:tc>
              <w:tc>
                <w:tcPr>
                  <w:tcW w:w="3518" w:type="pct"/>
                </w:tcPr>
                <w:p w14:paraId="02712F4E" w14:textId="428BCCF2" w:rsidR="00F16B02" w:rsidRDefault="00F16B02" w:rsidP="00F16B02">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07D343FC" w14:textId="77777777" w:rsidTr="00F16B02">
              <w:trPr>
                <w:cantSplit/>
              </w:trPr>
              <w:tc>
                <w:tcPr>
                  <w:tcW w:w="1104" w:type="pct"/>
                </w:tcPr>
                <w:p w14:paraId="77EE2E35" w14:textId="08424718" w:rsidR="00F16B02" w:rsidRDefault="00F16B02" w:rsidP="00F16B02">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076F9FAB" w14:textId="71AE1BC3" w:rsidR="00F16B02" w:rsidRDefault="00F16B02" w:rsidP="00F16B02">
                  <w:pPr>
                    <w:pStyle w:val="TableBody"/>
                    <w:jc w:val="center"/>
                  </w:pPr>
                  <w:r>
                    <w:t>MW</w:t>
                  </w:r>
                </w:p>
              </w:tc>
              <w:tc>
                <w:tcPr>
                  <w:tcW w:w="3518" w:type="pct"/>
                </w:tcPr>
                <w:p w14:paraId="604D12B3" w14:textId="4C2CB5F7" w:rsidR="00F16B02" w:rsidRDefault="00F16B02" w:rsidP="00F16B02">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18AA584" w14:textId="77777777" w:rsidTr="00F16B02">
              <w:trPr>
                <w:cantSplit/>
              </w:trPr>
              <w:tc>
                <w:tcPr>
                  <w:tcW w:w="1104" w:type="pct"/>
                </w:tcPr>
                <w:p w14:paraId="4EE3BDB0" w14:textId="2DB9E88A" w:rsidR="00F16B02" w:rsidRDefault="00F16B02" w:rsidP="00F16B02">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11F0EA0C" w14:textId="501ABBD1" w:rsidR="00F16B02" w:rsidRDefault="00F16B02" w:rsidP="00F16B02">
                  <w:pPr>
                    <w:pStyle w:val="TableBody"/>
                    <w:jc w:val="center"/>
                  </w:pPr>
                  <w:r>
                    <w:t>MW</w:t>
                  </w:r>
                </w:p>
              </w:tc>
              <w:tc>
                <w:tcPr>
                  <w:tcW w:w="3518" w:type="pct"/>
                </w:tcPr>
                <w:p w14:paraId="624F916B" w14:textId="2CA417EB" w:rsidR="00F16B02" w:rsidRDefault="00F16B02" w:rsidP="00F16B02">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MinSOC, MaxSOC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F16B02" w14:paraId="2CDAACAA" w14:textId="77777777" w:rsidTr="00F16B02">
              <w:trPr>
                <w:cantSplit/>
              </w:trPr>
              <w:tc>
                <w:tcPr>
                  <w:tcW w:w="1104" w:type="pct"/>
                </w:tcPr>
                <w:p w14:paraId="5EFC8527" w14:textId="2E3667CA" w:rsidR="00F16B02" w:rsidRDefault="00F16B02" w:rsidP="00F16B02">
                  <w:pPr>
                    <w:pStyle w:val="TableBody"/>
                  </w:pPr>
                  <w:r w:rsidRPr="00BB61AA">
                    <w:rPr>
                      <w:bCs/>
                    </w:rPr>
                    <w:t xml:space="preserve">ESRASADJ </w:t>
                  </w:r>
                  <w:r w:rsidRPr="00BB61AA">
                    <w:rPr>
                      <w:bCs/>
                      <w:i/>
                      <w:vertAlign w:val="subscript"/>
                    </w:rPr>
                    <w:t>q, h</w:t>
                  </w:r>
                </w:p>
              </w:tc>
              <w:tc>
                <w:tcPr>
                  <w:tcW w:w="378" w:type="pct"/>
                </w:tcPr>
                <w:p w14:paraId="188D1EF5" w14:textId="78388CEB" w:rsidR="00F16B02" w:rsidRDefault="00F16B02" w:rsidP="00F16B02">
                  <w:pPr>
                    <w:pStyle w:val="TableBody"/>
                    <w:jc w:val="center"/>
                  </w:pPr>
                  <w:r w:rsidRPr="009E1304">
                    <w:t>MW</w:t>
                  </w:r>
                </w:p>
              </w:tc>
              <w:tc>
                <w:tcPr>
                  <w:tcW w:w="3518" w:type="pct"/>
                </w:tcPr>
                <w:p w14:paraId="78E96528" w14:textId="2C82F9BA" w:rsidR="00F16B02" w:rsidRDefault="00F16B02" w:rsidP="00F16B02">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F16B02" w14:paraId="4B7A2C19" w14:textId="77777777" w:rsidTr="00F16B02">
              <w:trPr>
                <w:cantSplit/>
              </w:trPr>
              <w:tc>
                <w:tcPr>
                  <w:tcW w:w="1104" w:type="pct"/>
                </w:tcPr>
                <w:p w14:paraId="4721F6CF" w14:textId="37B30CD8" w:rsidR="00F16B02" w:rsidRDefault="00F16B02" w:rsidP="00F16B02">
                  <w:pPr>
                    <w:pStyle w:val="TableBody"/>
                  </w:pPr>
                  <w:r w:rsidRPr="00BB61AA">
                    <w:rPr>
                      <w:bCs/>
                    </w:rPr>
                    <w:t xml:space="preserve">ESRMWADJ </w:t>
                  </w:r>
                  <w:r w:rsidRPr="00BB61AA">
                    <w:rPr>
                      <w:bCs/>
                      <w:i/>
                      <w:vertAlign w:val="subscript"/>
                    </w:rPr>
                    <w:t>q, h</w:t>
                  </w:r>
                </w:p>
              </w:tc>
              <w:tc>
                <w:tcPr>
                  <w:tcW w:w="378" w:type="pct"/>
                </w:tcPr>
                <w:p w14:paraId="7D063B76" w14:textId="6B007DC1" w:rsidR="00F16B02" w:rsidRDefault="00F16B02" w:rsidP="00F16B02">
                  <w:pPr>
                    <w:pStyle w:val="TableBody"/>
                    <w:jc w:val="center"/>
                  </w:pPr>
                  <w:r w:rsidRPr="009E1304">
                    <w:t>MW</w:t>
                  </w:r>
                </w:p>
              </w:tc>
              <w:tc>
                <w:tcPr>
                  <w:tcW w:w="3518" w:type="pct"/>
                </w:tcPr>
                <w:p w14:paraId="73241D05" w14:textId="0CE5334D" w:rsidR="00F16B02" w:rsidRDefault="00F16B02" w:rsidP="00F16B02">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taking into account the COP SOC values from COP.</w:t>
                  </w:r>
                </w:p>
              </w:tc>
            </w:tr>
            <w:tr w:rsidR="004B6091" w14:paraId="42EF36F4" w14:textId="77777777" w:rsidTr="00E62C37">
              <w:trPr>
                <w:cantSplit/>
              </w:trPr>
              <w:tc>
                <w:tcPr>
                  <w:tcW w:w="1104" w:type="pct"/>
                </w:tcPr>
                <w:p w14:paraId="71322499" w14:textId="77777777" w:rsidR="004B6091" w:rsidRDefault="004B6091" w:rsidP="004B6091">
                  <w:pPr>
                    <w:pStyle w:val="TableBody"/>
                  </w:pPr>
                  <w:r>
                    <w:t xml:space="preserve">RTAML </w:t>
                  </w:r>
                  <w:r>
                    <w:rPr>
                      <w:i/>
                      <w:vertAlign w:val="subscript"/>
                    </w:rPr>
                    <w:t>q, p, i</w:t>
                  </w:r>
                </w:p>
              </w:tc>
              <w:tc>
                <w:tcPr>
                  <w:tcW w:w="378" w:type="pct"/>
                </w:tcPr>
                <w:p w14:paraId="2BB2FEDD" w14:textId="77777777" w:rsidR="004B6091" w:rsidRDefault="004B6091" w:rsidP="004B6091">
                  <w:pPr>
                    <w:pStyle w:val="TableBody"/>
                    <w:jc w:val="center"/>
                  </w:pPr>
                  <w:r>
                    <w:t>MWh</w:t>
                  </w:r>
                </w:p>
              </w:tc>
              <w:tc>
                <w:tcPr>
                  <w:tcW w:w="3518"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E62C37">
              <w:trPr>
                <w:cantSplit/>
              </w:trPr>
              <w:tc>
                <w:tcPr>
                  <w:tcW w:w="1104" w:type="pct"/>
                </w:tcPr>
                <w:p w14:paraId="6E1C149E" w14:textId="77777777" w:rsidR="004B6091" w:rsidRDefault="004B6091" w:rsidP="004B6091">
                  <w:pPr>
                    <w:pStyle w:val="TableBody"/>
                  </w:pPr>
                  <w:r>
                    <w:lastRenderedPageBreak/>
                    <w:t xml:space="preserve">RUCCAPSNAP </w:t>
                  </w:r>
                  <w:proofErr w:type="spellStart"/>
                  <w:r>
                    <w:rPr>
                      <w:i/>
                      <w:vertAlign w:val="subscript"/>
                    </w:rPr>
                    <w:t>ruc</w:t>
                  </w:r>
                  <w:proofErr w:type="spellEnd"/>
                  <w:r>
                    <w:rPr>
                      <w:i/>
                      <w:vertAlign w:val="subscript"/>
                    </w:rPr>
                    <w:t>, q, i</w:t>
                  </w:r>
                </w:p>
              </w:tc>
              <w:tc>
                <w:tcPr>
                  <w:tcW w:w="378" w:type="pct"/>
                </w:tcPr>
                <w:p w14:paraId="464FD368" w14:textId="77777777" w:rsidR="004B6091" w:rsidRDefault="004B6091" w:rsidP="004B6091">
                  <w:pPr>
                    <w:pStyle w:val="TableBody"/>
                    <w:jc w:val="center"/>
                  </w:pPr>
                  <w:r>
                    <w:t>MW</w:t>
                  </w:r>
                </w:p>
              </w:tc>
              <w:tc>
                <w:tcPr>
                  <w:tcW w:w="3518"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E62C37">
              <w:trPr>
                <w:cantSplit/>
              </w:trPr>
              <w:tc>
                <w:tcPr>
                  <w:tcW w:w="1104"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78" w:type="pct"/>
                </w:tcPr>
                <w:p w14:paraId="32E03976" w14:textId="77777777" w:rsidR="004B6091" w:rsidRDefault="004B6091" w:rsidP="004B6091">
                  <w:pPr>
                    <w:pStyle w:val="TableBody"/>
                    <w:jc w:val="center"/>
                  </w:pPr>
                  <w:r w:rsidRPr="0043255B">
                    <w:t>MW</w:t>
                  </w:r>
                </w:p>
              </w:tc>
              <w:tc>
                <w:tcPr>
                  <w:tcW w:w="3518" w:type="pct"/>
                </w:tcPr>
                <w:p w14:paraId="5F09390F" w14:textId="139ACAAE"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w:t>
                  </w:r>
                  <w:r w:rsidR="00F16B02">
                    <w:t xml:space="preserve">lesser of the HSL or the </w:t>
                  </w:r>
                  <w:r>
                    <w:t xml:space="preserve">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E62C37">
              <w:trPr>
                <w:cantSplit/>
              </w:trPr>
              <w:tc>
                <w:tcPr>
                  <w:tcW w:w="1104"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3906C21E" w14:textId="77777777" w:rsidR="004B6091" w:rsidRDefault="004B6091" w:rsidP="004B6091">
                  <w:pPr>
                    <w:pStyle w:val="TableBody"/>
                    <w:jc w:val="center"/>
                  </w:pPr>
                  <w:r>
                    <w:t>MW</w:t>
                  </w:r>
                </w:p>
              </w:tc>
              <w:tc>
                <w:tcPr>
                  <w:tcW w:w="3518"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E62C37">
              <w:trPr>
                <w:cantSplit/>
              </w:trPr>
              <w:tc>
                <w:tcPr>
                  <w:tcW w:w="1104" w:type="pct"/>
                </w:tcPr>
                <w:p w14:paraId="24A08F3F" w14:textId="4F90D0EA" w:rsidR="00417783" w:rsidRDefault="00417783" w:rsidP="00417783">
                  <w:pPr>
                    <w:pStyle w:val="TableBody"/>
                  </w:pPr>
                  <w:r>
                    <w:t xml:space="preserve">RTDCIMP </w:t>
                  </w:r>
                  <w:r w:rsidRPr="006624C0">
                    <w:rPr>
                      <w:i/>
                      <w:vertAlign w:val="subscript"/>
                    </w:rPr>
                    <w:t>q, p</w:t>
                  </w:r>
                </w:p>
              </w:tc>
              <w:tc>
                <w:tcPr>
                  <w:tcW w:w="378" w:type="pct"/>
                </w:tcPr>
                <w:p w14:paraId="3EA43A34" w14:textId="01AB753B" w:rsidR="00417783" w:rsidRDefault="00417783" w:rsidP="00417783">
                  <w:pPr>
                    <w:pStyle w:val="TableBody"/>
                    <w:jc w:val="center"/>
                  </w:pPr>
                  <w:r>
                    <w:t>MW</w:t>
                  </w:r>
                </w:p>
              </w:tc>
              <w:tc>
                <w:tcPr>
                  <w:tcW w:w="3518"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E62C37">
              <w:trPr>
                <w:cantSplit/>
              </w:trPr>
              <w:tc>
                <w:tcPr>
                  <w:tcW w:w="1104"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1E1E7D" w14:textId="77777777" w:rsidR="004B6091" w:rsidRDefault="004B6091" w:rsidP="004B6091">
                  <w:pPr>
                    <w:pStyle w:val="TableBody"/>
                    <w:jc w:val="center"/>
                  </w:pPr>
                  <w:r>
                    <w:t>MW</w:t>
                  </w:r>
                </w:p>
              </w:tc>
              <w:tc>
                <w:tcPr>
                  <w:tcW w:w="3518"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E62C37">
              <w:trPr>
                <w:cantSplit/>
              </w:trPr>
              <w:tc>
                <w:tcPr>
                  <w:tcW w:w="1104"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4C000ED6" w14:textId="77777777" w:rsidR="004B6091" w:rsidRDefault="004B6091" w:rsidP="004B6091">
                  <w:pPr>
                    <w:pStyle w:val="TableBody"/>
                    <w:jc w:val="center"/>
                  </w:pPr>
                  <w:r>
                    <w:t>MW</w:t>
                  </w:r>
                </w:p>
              </w:tc>
              <w:tc>
                <w:tcPr>
                  <w:tcW w:w="3518"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E62C37">
              <w:trPr>
                <w:cantSplit/>
              </w:trPr>
              <w:tc>
                <w:tcPr>
                  <w:tcW w:w="1104" w:type="pct"/>
                </w:tcPr>
                <w:p w14:paraId="7C56323D" w14:textId="77777777" w:rsidR="004B6091" w:rsidRDefault="004B6091" w:rsidP="004B6091">
                  <w:pPr>
                    <w:pStyle w:val="TableBody"/>
                  </w:pPr>
                  <w:r>
                    <w:t xml:space="preserve">RUCCAPADJ </w:t>
                  </w:r>
                  <w:r>
                    <w:rPr>
                      <w:i/>
                      <w:vertAlign w:val="subscript"/>
                    </w:rPr>
                    <w:t>q, i</w:t>
                  </w:r>
                </w:p>
              </w:tc>
              <w:tc>
                <w:tcPr>
                  <w:tcW w:w="378" w:type="pct"/>
                </w:tcPr>
                <w:p w14:paraId="11D23D5B" w14:textId="77777777" w:rsidR="004B6091" w:rsidRDefault="004B6091" w:rsidP="004B6091">
                  <w:pPr>
                    <w:pStyle w:val="TableBody"/>
                    <w:jc w:val="center"/>
                  </w:pPr>
                  <w:r>
                    <w:t>MW</w:t>
                  </w:r>
                </w:p>
              </w:tc>
              <w:tc>
                <w:tcPr>
                  <w:tcW w:w="3518"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E62C37">
              <w:trPr>
                <w:cantSplit/>
              </w:trPr>
              <w:tc>
                <w:tcPr>
                  <w:tcW w:w="1104"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78" w:type="pct"/>
                </w:tcPr>
                <w:p w14:paraId="1C0EBADD" w14:textId="77777777" w:rsidR="004B6091" w:rsidRPr="007820D0" w:rsidRDefault="004B6091" w:rsidP="004B6091">
                  <w:pPr>
                    <w:pStyle w:val="TableBody"/>
                    <w:jc w:val="center"/>
                  </w:pPr>
                  <w:r w:rsidRPr="0043255B">
                    <w:t>MW</w:t>
                  </w:r>
                </w:p>
              </w:tc>
              <w:tc>
                <w:tcPr>
                  <w:tcW w:w="3518" w:type="pct"/>
                </w:tcPr>
                <w:p w14:paraId="7C237957" w14:textId="3E1C490A"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E62C37">
              <w:trPr>
                <w:cantSplit/>
              </w:trPr>
              <w:tc>
                <w:tcPr>
                  <w:tcW w:w="1104" w:type="pct"/>
                </w:tcPr>
                <w:p w14:paraId="3E6B70DD" w14:textId="77777777" w:rsidR="004B6091" w:rsidRDefault="004B6091" w:rsidP="004B6091">
                  <w:pPr>
                    <w:pStyle w:val="TableBody"/>
                  </w:pPr>
                  <w:r>
                    <w:t xml:space="preserve">RUCCPADJ </w:t>
                  </w:r>
                  <w:r>
                    <w:rPr>
                      <w:i/>
                      <w:vertAlign w:val="subscript"/>
                    </w:rPr>
                    <w:t>q, h</w:t>
                  </w:r>
                </w:p>
              </w:tc>
              <w:tc>
                <w:tcPr>
                  <w:tcW w:w="378" w:type="pct"/>
                </w:tcPr>
                <w:p w14:paraId="3AD59D2F" w14:textId="77777777" w:rsidR="004B6091" w:rsidRDefault="004B6091" w:rsidP="004B6091">
                  <w:pPr>
                    <w:pStyle w:val="TableBody"/>
                    <w:jc w:val="center"/>
                  </w:pPr>
                  <w:r>
                    <w:t>MW</w:t>
                  </w:r>
                </w:p>
              </w:tc>
              <w:tc>
                <w:tcPr>
                  <w:tcW w:w="3518"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E62C37">
              <w:trPr>
                <w:cantSplit/>
              </w:trPr>
              <w:tc>
                <w:tcPr>
                  <w:tcW w:w="1104" w:type="pct"/>
                </w:tcPr>
                <w:p w14:paraId="188CC6A0" w14:textId="77777777" w:rsidR="004B6091" w:rsidRDefault="004B6091" w:rsidP="004B6091">
                  <w:pPr>
                    <w:pStyle w:val="TableBody"/>
                  </w:pPr>
                  <w:r>
                    <w:t xml:space="preserve">RUCCSADJ </w:t>
                  </w:r>
                  <w:r>
                    <w:rPr>
                      <w:i/>
                      <w:vertAlign w:val="subscript"/>
                    </w:rPr>
                    <w:t>q, h</w:t>
                  </w:r>
                </w:p>
              </w:tc>
              <w:tc>
                <w:tcPr>
                  <w:tcW w:w="378" w:type="pct"/>
                </w:tcPr>
                <w:p w14:paraId="6BAC9D19" w14:textId="77777777" w:rsidR="004B6091" w:rsidRDefault="004B6091" w:rsidP="004B6091">
                  <w:pPr>
                    <w:pStyle w:val="TableBody"/>
                    <w:jc w:val="center"/>
                  </w:pPr>
                  <w:r>
                    <w:t>MW</w:t>
                  </w:r>
                </w:p>
              </w:tc>
              <w:tc>
                <w:tcPr>
                  <w:tcW w:w="3518"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E62C37">
              <w:trPr>
                <w:cantSplit/>
              </w:trPr>
              <w:tc>
                <w:tcPr>
                  <w:tcW w:w="1104" w:type="pct"/>
                </w:tcPr>
                <w:p w14:paraId="04069969" w14:textId="77777777" w:rsidR="004B6091" w:rsidRDefault="004B6091" w:rsidP="004B6091">
                  <w:pPr>
                    <w:pStyle w:val="TableBody"/>
                  </w:pPr>
                  <w:r>
                    <w:t xml:space="preserve">DAEP </w:t>
                  </w:r>
                  <w:r>
                    <w:rPr>
                      <w:i/>
                      <w:vertAlign w:val="subscript"/>
                    </w:rPr>
                    <w:t>q, p, h</w:t>
                  </w:r>
                </w:p>
              </w:tc>
              <w:tc>
                <w:tcPr>
                  <w:tcW w:w="378" w:type="pct"/>
                </w:tcPr>
                <w:p w14:paraId="0C37F497" w14:textId="77777777" w:rsidR="004B6091" w:rsidRDefault="004B6091" w:rsidP="004B6091">
                  <w:pPr>
                    <w:pStyle w:val="TableBody"/>
                    <w:jc w:val="center"/>
                  </w:pPr>
                  <w:r>
                    <w:t>MW</w:t>
                  </w:r>
                </w:p>
              </w:tc>
              <w:tc>
                <w:tcPr>
                  <w:tcW w:w="3518"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E62C37">
              <w:trPr>
                <w:cantSplit/>
              </w:trPr>
              <w:tc>
                <w:tcPr>
                  <w:tcW w:w="1104" w:type="pct"/>
                </w:tcPr>
                <w:p w14:paraId="58237F50" w14:textId="77777777" w:rsidR="004B6091" w:rsidRDefault="004B6091" w:rsidP="004B6091">
                  <w:pPr>
                    <w:pStyle w:val="TableBody"/>
                  </w:pPr>
                  <w:r>
                    <w:t xml:space="preserve">DAES </w:t>
                  </w:r>
                  <w:r>
                    <w:rPr>
                      <w:i/>
                      <w:vertAlign w:val="subscript"/>
                    </w:rPr>
                    <w:t>q, p, h</w:t>
                  </w:r>
                </w:p>
              </w:tc>
              <w:tc>
                <w:tcPr>
                  <w:tcW w:w="378" w:type="pct"/>
                </w:tcPr>
                <w:p w14:paraId="64D8048A" w14:textId="77777777" w:rsidR="004B6091" w:rsidRDefault="004B6091" w:rsidP="004B6091">
                  <w:pPr>
                    <w:pStyle w:val="TableBody"/>
                    <w:jc w:val="center"/>
                  </w:pPr>
                  <w:r>
                    <w:t>MW</w:t>
                  </w:r>
                </w:p>
              </w:tc>
              <w:tc>
                <w:tcPr>
                  <w:tcW w:w="3518"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E62C37">
              <w:trPr>
                <w:cantSplit/>
              </w:trPr>
              <w:tc>
                <w:tcPr>
                  <w:tcW w:w="1104"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78" w:type="pct"/>
                </w:tcPr>
                <w:p w14:paraId="5FCABBAF" w14:textId="77777777" w:rsidR="004B6091" w:rsidRDefault="004B6091" w:rsidP="004B6091">
                  <w:pPr>
                    <w:pStyle w:val="TableBody"/>
                    <w:jc w:val="center"/>
                  </w:pPr>
                  <w:r>
                    <w:t>MW</w:t>
                  </w:r>
                </w:p>
              </w:tc>
              <w:tc>
                <w:tcPr>
                  <w:tcW w:w="3518"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E62C37">
              <w:trPr>
                <w:cantSplit/>
              </w:trPr>
              <w:tc>
                <w:tcPr>
                  <w:tcW w:w="1104" w:type="pct"/>
                </w:tcPr>
                <w:p w14:paraId="5AF7E182" w14:textId="77777777" w:rsidR="004B6091" w:rsidRDefault="004B6091" w:rsidP="004B6091">
                  <w:pPr>
                    <w:pStyle w:val="TableBody"/>
                  </w:pPr>
                  <w:r>
                    <w:lastRenderedPageBreak/>
                    <w:t xml:space="preserve">RTQQESSNAP </w:t>
                  </w:r>
                  <w:proofErr w:type="spellStart"/>
                  <w:r w:rsidRPr="00597278">
                    <w:rPr>
                      <w:i/>
                      <w:vertAlign w:val="subscript"/>
                    </w:rPr>
                    <w:t>ruc</w:t>
                  </w:r>
                  <w:proofErr w:type="spellEnd"/>
                  <w:r>
                    <w:rPr>
                      <w:i/>
                      <w:vertAlign w:val="subscript"/>
                    </w:rPr>
                    <w:t>, q, p, i</w:t>
                  </w:r>
                </w:p>
              </w:tc>
              <w:tc>
                <w:tcPr>
                  <w:tcW w:w="378" w:type="pct"/>
                </w:tcPr>
                <w:p w14:paraId="72932DDC" w14:textId="77777777" w:rsidR="004B6091" w:rsidRDefault="004B6091" w:rsidP="004B6091">
                  <w:pPr>
                    <w:pStyle w:val="TableBody"/>
                    <w:jc w:val="center"/>
                  </w:pPr>
                  <w:r>
                    <w:t>MW</w:t>
                  </w:r>
                </w:p>
              </w:tc>
              <w:tc>
                <w:tcPr>
                  <w:tcW w:w="3518"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E62C37">
              <w:trPr>
                <w:cantSplit/>
              </w:trPr>
              <w:tc>
                <w:tcPr>
                  <w:tcW w:w="1104" w:type="pct"/>
                </w:tcPr>
                <w:p w14:paraId="70C7F907" w14:textId="77777777" w:rsidR="004B6091" w:rsidRDefault="004B6091" w:rsidP="004B6091">
                  <w:pPr>
                    <w:pStyle w:val="TableBody"/>
                  </w:pPr>
                  <w:r>
                    <w:t xml:space="preserve">RTQQEPADJ </w:t>
                  </w:r>
                  <w:r>
                    <w:rPr>
                      <w:i/>
                      <w:vertAlign w:val="subscript"/>
                    </w:rPr>
                    <w:t>q, p, i</w:t>
                  </w:r>
                </w:p>
              </w:tc>
              <w:tc>
                <w:tcPr>
                  <w:tcW w:w="378" w:type="pct"/>
                </w:tcPr>
                <w:p w14:paraId="42A96D5D" w14:textId="77777777" w:rsidR="004B6091" w:rsidRDefault="004B6091" w:rsidP="004B6091">
                  <w:pPr>
                    <w:pStyle w:val="TableBody"/>
                    <w:jc w:val="center"/>
                  </w:pPr>
                  <w:r>
                    <w:t>MW</w:t>
                  </w:r>
                </w:p>
              </w:tc>
              <w:tc>
                <w:tcPr>
                  <w:tcW w:w="3518"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E62C37">
              <w:trPr>
                <w:cantSplit/>
              </w:trPr>
              <w:tc>
                <w:tcPr>
                  <w:tcW w:w="1104" w:type="pct"/>
                </w:tcPr>
                <w:p w14:paraId="62782F38" w14:textId="77777777" w:rsidR="004B6091" w:rsidRDefault="004B6091" w:rsidP="004B6091">
                  <w:pPr>
                    <w:pStyle w:val="TableBody"/>
                  </w:pPr>
                  <w:r>
                    <w:t xml:space="preserve">RTQQESADJ </w:t>
                  </w:r>
                  <w:r>
                    <w:rPr>
                      <w:i/>
                      <w:vertAlign w:val="subscript"/>
                    </w:rPr>
                    <w:t>q, p, i</w:t>
                  </w:r>
                </w:p>
              </w:tc>
              <w:tc>
                <w:tcPr>
                  <w:tcW w:w="378" w:type="pct"/>
                </w:tcPr>
                <w:p w14:paraId="37B85036" w14:textId="77777777" w:rsidR="004B6091" w:rsidRDefault="004B6091" w:rsidP="004B6091">
                  <w:pPr>
                    <w:pStyle w:val="TableBody"/>
                    <w:jc w:val="center"/>
                  </w:pPr>
                  <w:r>
                    <w:t>MW</w:t>
                  </w:r>
                </w:p>
              </w:tc>
              <w:tc>
                <w:tcPr>
                  <w:tcW w:w="3518"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E62C37">
              <w:trPr>
                <w:cantSplit/>
              </w:trPr>
              <w:tc>
                <w:tcPr>
                  <w:tcW w:w="1104" w:type="pct"/>
                </w:tcPr>
                <w:p w14:paraId="5F1076E1" w14:textId="77777777" w:rsidR="004B6091" w:rsidRDefault="004B6091" w:rsidP="004B6091">
                  <w:pPr>
                    <w:pStyle w:val="TableBody"/>
                    <w:rPr>
                      <w:i/>
                    </w:rPr>
                  </w:pPr>
                  <w:r>
                    <w:rPr>
                      <w:i/>
                    </w:rPr>
                    <w:t>q</w:t>
                  </w:r>
                </w:p>
              </w:tc>
              <w:tc>
                <w:tcPr>
                  <w:tcW w:w="378" w:type="pct"/>
                </w:tcPr>
                <w:p w14:paraId="15AD8F46" w14:textId="77777777" w:rsidR="004B6091" w:rsidRDefault="004B6091" w:rsidP="004B6091">
                  <w:pPr>
                    <w:pStyle w:val="TableBody"/>
                    <w:jc w:val="center"/>
                  </w:pPr>
                  <w:r>
                    <w:t>none</w:t>
                  </w:r>
                </w:p>
              </w:tc>
              <w:tc>
                <w:tcPr>
                  <w:tcW w:w="3518" w:type="pct"/>
                </w:tcPr>
                <w:p w14:paraId="3E5E3BBC" w14:textId="77777777" w:rsidR="004B6091" w:rsidRDefault="004B6091" w:rsidP="004B6091">
                  <w:pPr>
                    <w:pStyle w:val="TableBody"/>
                  </w:pPr>
                  <w:r>
                    <w:t>A QSE.</w:t>
                  </w:r>
                </w:p>
              </w:tc>
            </w:tr>
            <w:tr w:rsidR="004B6091" w14:paraId="7B98AF08" w14:textId="77777777" w:rsidTr="00E62C37">
              <w:trPr>
                <w:cantSplit/>
              </w:trPr>
              <w:tc>
                <w:tcPr>
                  <w:tcW w:w="1104" w:type="pct"/>
                </w:tcPr>
                <w:p w14:paraId="1BD08F43" w14:textId="77777777" w:rsidR="004B6091" w:rsidRDefault="004B6091" w:rsidP="004B6091">
                  <w:pPr>
                    <w:pStyle w:val="TableBody"/>
                    <w:rPr>
                      <w:i/>
                    </w:rPr>
                  </w:pPr>
                  <w:r>
                    <w:rPr>
                      <w:i/>
                    </w:rPr>
                    <w:t>p</w:t>
                  </w:r>
                </w:p>
              </w:tc>
              <w:tc>
                <w:tcPr>
                  <w:tcW w:w="378" w:type="pct"/>
                </w:tcPr>
                <w:p w14:paraId="2B14CF9D" w14:textId="77777777" w:rsidR="004B6091" w:rsidRDefault="004B6091" w:rsidP="004B6091">
                  <w:pPr>
                    <w:pStyle w:val="TableBody"/>
                    <w:jc w:val="center"/>
                  </w:pPr>
                  <w:r>
                    <w:t>none</w:t>
                  </w:r>
                </w:p>
              </w:tc>
              <w:tc>
                <w:tcPr>
                  <w:tcW w:w="3518" w:type="pct"/>
                </w:tcPr>
                <w:p w14:paraId="586D7E72" w14:textId="77777777" w:rsidR="004B6091" w:rsidRDefault="004B6091" w:rsidP="004B6091">
                  <w:pPr>
                    <w:pStyle w:val="TableBody"/>
                  </w:pPr>
                  <w:r>
                    <w:t>A Settlement Point.</w:t>
                  </w:r>
                </w:p>
              </w:tc>
            </w:tr>
            <w:tr w:rsidR="004B6091" w14:paraId="21AE0608" w14:textId="77777777" w:rsidTr="00E62C37">
              <w:trPr>
                <w:cantSplit/>
              </w:trPr>
              <w:tc>
                <w:tcPr>
                  <w:tcW w:w="1104" w:type="pct"/>
                </w:tcPr>
                <w:p w14:paraId="2B7FBB05" w14:textId="77777777" w:rsidR="004B6091" w:rsidRDefault="004B6091" w:rsidP="004B6091">
                  <w:pPr>
                    <w:pStyle w:val="TableBody"/>
                    <w:rPr>
                      <w:i/>
                    </w:rPr>
                  </w:pPr>
                  <w:r>
                    <w:rPr>
                      <w:i/>
                    </w:rPr>
                    <w:t>r</w:t>
                  </w:r>
                </w:p>
              </w:tc>
              <w:tc>
                <w:tcPr>
                  <w:tcW w:w="378" w:type="pct"/>
                </w:tcPr>
                <w:p w14:paraId="5E36850F" w14:textId="77777777" w:rsidR="004B6091" w:rsidRDefault="004B6091" w:rsidP="004B6091">
                  <w:pPr>
                    <w:pStyle w:val="TableBody"/>
                    <w:jc w:val="center"/>
                  </w:pPr>
                  <w:r>
                    <w:t>none</w:t>
                  </w:r>
                </w:p>
              </w:tc>
              <w:tc>
                <w:tcPr>
                  <w:tcW w:w="3518"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F16B02" w14:paraId="4A443525" w14:textId="77777777" w:rsidTr="00F16B02">
              <w:trPr>
                <w:cantSplit/>
              </w:trPr>
              <w:tc>
                <w:tcPr>
                  <w:tcW w:w="1104" w:type="pct"/>
                </w:tcPr>
                <w:p w14:paraId="775D502A" w14:textId="76BA380E" w:rsidR="00F16B02" w:rsidRDefault="00F16B02" w:rsidP="00F16B02">
                  <w:pPr>
                    <w:pStyle w:val="TableBody"/>
                    <w:rPr>
                      <w:i/>
                    </w:rPr>
                  </w:pPr>
                  <w:proofErr w:type="spellStart"/>
                  <w:r>
                    <w:rPr>
                      <w:i/>
                    </w:rPr>
                    <w:t>ASSubType</w:t>
                  </w:r>
                  <w:proofErr w:type="spellEnd"/>
                </w:p>
              </w:tc>
              <w:tc>
                <w:tcPr>
                  <w:tcW w:w="378" w:type="pct"/>
                </w:tcPr>
                <w:p w14:paraId="51D95F0E" w14:textId="61056A78" w:rsidR="00F16B02" w:rsidRDefault="00F16B02" w:rsidP="00F16B02">
                  <w:pPr>
                    <w:pStyle w:val="TableBody"/>
                    <w:jc w:val="center"/>
                  </w:pPr>
                  <w:r>
                    <w:t>none</w:t>
                  </w:r>
                </w:p>
              </w:tc>
              <w:tc>
                <w:tcPr>
                  <w:tcW w:w="3518" w:type="pct"/>
                </w:tcPr>
                <w:p w14:paraId="1B208969" w14:textId="27D26153" w:rsidR="00F16B02" w:rsidRDefault="00F16B02" w:rsidP="00F16B02">
                  <w:pPr>
                    <w:pStyle w:val="TableBody"/>
                  </w:pPr>
                  <w:r>
                    <w:t>Ancillary Service Sub-Type: Reg-Up, Reg-Down, RRS provided as Primary Frequency Response, RRS provided via a high-set under-frequency relay, Fast Frequency Response (FFR), ECRS that is SCED-dispatchable, ECRS that is non-SCED dispatchable, Non-Spin that is SCED-dispatchable, and Non-Spin that is non-SCED-dispatchable.</w:t>
                  </w:r>
                </w:p>
              </w:tc>
            </w:tr>
            <w:tr w:rsidR="004B6091" w14:paraId="7CDF2970" w14:textId="77777777" w:rsidTr="00E62C37">
              <w:trPr>
                <w:cantSplit/>
              </w:trPr>
              <w:tc>
                <w:tcPr>
                  <w:tcW w:w="1104" w:type="pct"/>
                </w:tcPr>
                <w:p w14:paraId="2C2A1D3A" w14:textId="77777777" w:rsidR="004B6091" w:rsidRDefault="004B6091" w:rsidP="004B6091">
                  <w:pPr>
                    <w:pStyle w:val="TableBody"/>
                    <w:rPr>
                      <w:i/>
                    </w:rPr>
                  </w:pPr>
                  <w:r>
                    <w:rPr>
                      <w:i/>
                    </w:rPr>
                    <w:t>z</w:t>
                  </w:r>
                </w:p>
              </w:tc>
              <w:tc>
                <w:tcPr>
                  <w:tcW w:w="378" w:type="pct"/>
                </w:tcPr>
                <w:p w14:paraId="66AFF603" w14:textId="77777777" w:rsidR="004B6091" w:rsidRDefault="004B6091" w:rsidP="004B6091">
                  <w:pPr>
                    <w:pStyle w:val="TableBody"/>
                    <w:jc w:val="center"/>
                  </w:pPr>
                  <w:r>
                    <w:t>none</w:t>
                  </w:r>
                </w:p>
              </w:tc>
              <w:tc>
                <w:tcPr>
                  <w:tcW w:w="3518" w:type="pct"/>
                </w:tcPr>
                <w:p w14:paraId="077DB6EC" w14:textId="77777777" w:rsidR="004B6091" w:rsidRDefault="004B6091" w:rsidP="004B6091">
                  <w:pPr>
                    <w:pStyle w:val="TableBody"/>
                  </w:pPr>
                  <w:r>
                    <w:t>A previous RUC process for the Operating Day.</w:t>
                  </w:r>
                </w:p>
              </w:tc>
            </w:tr>
            <w:tr w:rsidR="004B6091" w14:paraId="602E3643" w14:textId="77777777" w:rsidTr="00E62C37">
              <w:trPr>
                <w:cantSplit/>
              </w:trPr>
              <w:tc>
                <w:tcPr>
                  <w:tcW w:w="1104" w:type="pct"/>
                </w:tcPr>
                <w:p w14:paraId="1845A640" w14:textId="77777777" w:rsidR="004B6091" w:rsidRDefault="004B6091" w:rsidP="004B6091">
                  <w:pPr>
                    <w:pStyle w:val="TableBody"/>
                    <w:rPr>
                      <w:i/>
                    </w:rPr>
                  </w:pPr>
                  <w:r>
                    <w:rPr>
                      <w:i/>
                    </w:rPr>
                    <w:t>i</w:t>
                  </w:r>
                </w:p>
              </w:tc>
              <w:tc>
                <w:tcPr>
                  <w:tcW w:w="378" w:type="pct"/>
                </w:tcPr>
                <w:p w14:paraId="4307A2C4" w14:textId="77777777" w:rsidR="004B6091" w:rsidRDefault="004B6091" w:rsidP="004B6091">
                  <w:pPr>
                    <w:pStyle w:val="TableBody"/>
                    <w:jc w:val="center"/>
                  </w:pPr>
                  <w:r>
                    <w:t>none</w:t>
                  </w:r>
                </w:p>
              </w:tc>
              <w:tc>
                <w:tcPr>
                  <w:tcW w:w="3518" w:type="pct"/>
                </w:tcPr>
                <w:p w14:paraId="16FC17EA" w14:textId="77777777" w:rsidR="004B6091" w:rsidRDefault="004B6091" w:rsidP="004B6091">
                  <w:pPr>
                    <w:pStyle w:val="TableBody"/>
                  </w:pPr>
                  <w:r>
                    <w:t>A 15-minute Settlement Interval.</w:t>
                  </w:r>
                </w:p>
              </w:tc>
            </w:tr>
            <w:tr w:rsidR="004B6091" w14:paraId="6126A71B" w14:textId="77777777" w:rsidTr="00E62C37">
              <w:trPr>
                <w:cantSplit/>
              </w:trPr>
              <w:tc>
                <w:tcPr>
                  <w:tcW w:w="1104" w:type="pct"/>
                </w:tcPr>
                <w:p w14:paraId="67E48267" w14:textId="77777777" w:rsidR="004B6091" w:rsidRDefault="004B6091" w:rsidP="004B6091">
                  <w:pPr>
                    <w:pStyle w:val="TableBody"/>
                    <w:rPr>
                      <w:i/>
                    </w:rPr>
                  </w:pPr>
                  <w:r>
                    <w:rPr>
                      <w:i/>
                    </w:rPr>
                    <w:t>h</w:t>
                  </w:r>
                </w:p>
              </w:tc>
              <w:tc>
                <w:tcPr>
                  <w:tcW w:w="378" w:type="pct"/>
                </w:tcPr>
                <w:p w14:paraId="446B8FFF" w14:textId="77777777" w:rsidR="004B6091" w:rsidRDefault="004B6091" w:rsidP="004B6091">
                  <w:pPr>
                    <w:pStyle w:val="TableBody"/>
                    <w:jc w:val="center"/>
                  </w:pPr>
                  <w:r>
                    <w:t>none</w:t>
                  </w:r>
                </w:p>
              </w:tc>
              <w:tc>
                <w:tcPr>
                  <w:tcW w:w="3518"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E62C37">
              <w:trPr>
                <w:cantSplit/>
              </w:trPr>
              <w:tc>
                <w:tcPr>
                  <w:tcW w:w="1104" w:type="pct"/>
                </w:tcPr>
                <w:p w14:paraId="22E59E70" w14:textId="77777777" w:rsidR="004B6091" w:rsidRDefault="004B6091" w:rsidP="004B6091">
                  <w:pPr>
                    <w:pStyle w:val="TableBody"/>
                    <w:rPr>
                      <w:i/>
                    </w:rPr>
                  </w:pPr>
                  <w:proofErr w:type="spellStart"/>
                  <w:r>
                    <w:rPr>
                      <w:i/>
                    </w:rPr>
                    <w:t>ruc</w:t>
                  </w:r>
                  <w:proofErr w:type="spellEnd"/>
                </w:p>
              </w:tc>
              <w:tc>
                <w:tcPr>
                  <w:tcW w:w="378" w:type="pct"/>
                </w:tcPr>
                <w:p w14:paraId="5DFBEA2E" w14:textId="77777777" w:rsidR="004B6091" w:rsidRDefault="004B6091" w:rsidP="004B6091">
                  <w:pPr>
                    <w:pStyle w:val="TableBody"/>
                    <w:jc w:val="center"/>
                  </w:pPr>
                  <w:r>
                    <w:t>none</w:t>
                  </w:r>
                </w:p>
              </w:tc>
              <w:tc>
                <w:tcPr>
                  <w:tcW w:w="3518"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8" w:name="_Toc60038365"/>
      <w:r>
        <w:lastRenderedPageBreak/>
        <w:t>5.7.4.1.2</w:t>
      </w:r>
      <w:r>
        <w:tab/>
        <w:t>RUC Capacity Credit</w:t>
      </w:r>
      <w:bookmarkEnd w:id="300"/>
      <w:bookmarkEnd w:id="301"/>
      <w:bookmarkEnd w:id="302"/>
      <w:bookmarkEnd w:id="303"/>
      <w:bookmarkEnd w:id="304"/>
      <w:bookmarkEnd w:id="305"/>
      <w:bookmarkEnd w:id="306"/>
      <w:bookmarkEnd w:id="308"/>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lastRenderedPageBreak/>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9" w:name="_Toc400547198"/>
      <w:bookmarkStart w:id="310" w:name="_Toc405384303"/>
      <w:bookmarkStart w:id="311" w:name="_Toc405543570"/>
      <w:bookmarkStart w:id="312" w:name="_Toc428178079"/>
      <w:bookmarkStart w:id="313" w:name="_Toc440872709"/>
      <w:bookmarkStart w:id="314" w:name="_Toc458766254"/>
      <w:bookmarkStart w:id="315" w:name="_Toc459292659"/>
      <w:bookmarkStart w:id="316" w:name="_Toc60038366"/>
      <w:r>
        <w:t>5.7.4.2</w:t>
      </w:r>
      <w:r>
        <w:tab/>
        <w:t>RUC Make-Whole Uplift Charge</w:t>
      </w:r>
      <w:bookmarkEnd w:id="309"/>
      <w:bookmarkEnd w:id="310"/>
      <w:bookmarkEnd w:id="311"/>
      <w:bookmarkEnd w:id="312"/>
      <w:bookmarkEnd w:id="313"/>
      <w:bookmarkEnd w:id="314"/>
      <w:bookmarkEnd w:id="315"/>
      <w:bookmarkEnd w:id="316"/>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FC4FC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86" type="#_x0000_t75" style="width:14.4pt;height:23.4pt" o:ole="">
            <v:imagedata r:id="rId98" o:title=""/>
          </v:shape>
          <o:OLEObject Type="Embed" ProgID="Equation.3" ShapeID="_x0000_i1086" DrawAspect="Content" ObjectID="_1799656461" r:id="rId99"/>
        </w:object>
      </w:r>
      <w:proofErr w:type="spellStart"/>
      <w:r>
        <w:t>RUCMWAMTRUCTOT</w:t>
      </w:r>
      <w:r>
        <w:rPr>
          <w:i/>
          <w:vertAlign w:val="subscript"/>
        </w:rPr>
        <w:t>ruc,h</w:t>
      </w:r>
      <w:proofErr w:type="spellEnd"/>
    </w:p>
    <w:p w14:paraId="1BBF2B83" w14:textId="77777777" w:rsidR="00F80C33" w:rsidRDefault="00723BFB" w:rsidP="00FC4FCC">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87" type="#_x0000_t75" style="width:14.4pt;height:23.4pt" o:ole="">
            <v:imagedata r:id="rId100" o:title=""/>
          </v:shape>
          <o:OLEObject Type="Embed" ProgID="Equation.3" ShapeID="_x0000_i1087" DrawAspect="Content" ObjectID="_1799656462" r:id="rId101"/>
        </w:object>
      </w:r>
      <w:r w:rsidR="00F80C33" w:rsidRPr="00F80C33">
        <w:rPr>
          <w:position w:val="-22"/>
        </w:rPr>
        <w:object w:dxaOrig="220" w:dyaOrig="460" w14:anchorId="3A8B3DB1">
          <v:shape id="_x0000_i1088" type="#_x0000_t75" style="width:10.2pt;height:22.8pt" o:ole="">
            <v:imagedata r:id="rId38" o:title=""/>
          </v:shape>
          <o:OLEObject Type="Embed" ProgID="Equation.3" ShapeID="_x0000_i1088" DrawAspect="Content" ObjectID="_1799656463" r:id="rId102"/>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lastRenderedPageBreak/>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7" w:name="_Toc400547199"/>
      <w:bookmarkStart w:id="318" w:name="_Toc405384304"/>
      <w:bookmarkStart w:id="319" w:name="_Toc405543571"/>
      <w:bookmarkStart w:id="320" w:name="_Toc428178080"/>
      <w:bookmarkStart w:id="321" w:name="_Toc440872710"/>
      <w:bookmarkStart w:id="322" w:name="_Toc458766255"/>
      <w:bookmarkStart w:id="323" w:name="_Toc459292660"/>
      <w:bookmarkStart w:id="324" w:name="_Toc60038367"/>
      <w:bookmarkStart w:id="325" w:name="_Toc101091060"/>
      <w:r w:rsidRPr="000B7479">
        <w:rPr>
          <w:b/>
          <w:i/>
        </w:rPr>
        <w:t>5.7.5</w:t>
      </w:r>
      <w:r w:rsidRPr="000B7479">
        <w:rPr>
          <w:b/>
          <w:i/>
        </w:rPr>
        <w:tab/>
        <w:t>RUC Clawback Payment</w:t>
      </w:r>
      <w:bookmarkEnd w:id="317"/>
      <w:bookmarkEnd w:id="318"/>
      <w:bookmarkEnd w:id="319"/>
      <w:bookmarkEnd w:id="320"/>
      <w:bookmarkEnd w:id="321"/>
      <w:bookmarkEnd w:id="322"/>
      <w:bookmarkEnd w:id="323"/>
      <w:bookmarkEnd w:id="324"/>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5"/>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FC4FC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89" type="#_x0000_t75" style="width:10.2pt;height:22.8pt" o:ole="">
            <v:imagedata r:id="rId103" o:title=""/>
          </v:shape>
          <o:OLEObject Type="Embed" ProgID="Equation.3" ShapeID="_x0000_i1089" DrawAspect="Content" ObjectID="_1799656464" r:id="rId104"/>
        </w:object>
      </w:r>
      <w:r w:rsidR="00F80C33" w:rsidRPr="00F80C33">
        <w:rPr>
          <w:position w:val="-18"/>
        </w:rPr>
        <w:object w:dxaOrig="220" w:dyaOrig="420" w14:anchorId="154CCF27">
          <v:shape id="_x0000_i1090" type="#_x0000_t75" style="width:10.2pt;height:21pt" o:ole="">
            <v:imagedata r:id="rId105" o:title=""/>
          </v:shape>
          <o:OLEObject Type="Embed" ProgID="Equation.3" ShapeID="_x0000_i1090" DrawAspect="Content" ObjectID="_1799656465" r:id="rId106"/>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6" w:name="_Toc101091061"/>
      <w:bookmarkStart w:id="327" w:name="_Toc400547200"/>
      <w:bookmarkStart w:id="328" w:name="_Toc405384305"/>
      <w:bookmarkStart w:id="329" w:name="_Toc405543572"/>
      <w:bookmarkStart w:id="330" w:name="_Toc428178081"/>
      <w:bookmarkStart w:id="331" w:name="_Toc440872711"/>
      <w:bookmarkStart w:id="332" w:name="_Toc458766256"/>
      <w:bookmarkStart w:id="333" w:name="_Toc459292661"/>
      <w:bookmarkStart w:id="334" w:name="_Toc60038368"/>
      <w:r w:rsidRPr="000B7479">
        <w:rPr>
          <w:b/>
          <w:i/>
        </w:rPr>
        <w:t>5.7.6</w:t>
      </w:r>
      <w:r w:rsidRPr="000B7479">
        <w:rPr>
          <w:b/>
          <w:i/>
        </w:rPr>
        <w:tab/>
        <w:t>RUC Decommitment Charge</w:t>
      </w:r>
      <w:bookmarkEnd w:id="326"/>
      <w:bookmarkEnd w:id="327"/>
      <w:bookmarkEnd w:id="328"/>
      <w:bookmarkEnd w:id="329"/>
      <w:bookmarkEnd w:id="330"/>
      <w:bookmarkEnd w:id="331"/>
      <w:bookmarkEnd w:id="332"/>
      <w:bookmarkEnd w:id="333"/>
      <w:bookmarkEnd w:id="334"/>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lastRenderedPageBreak/>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FC4FC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1" type="#_x0000_t75" style="width:10.2pt;height:22.8pt" o:ole="">
            <v:imagedata r:id="rId107" o:title=""/>
          </v:shape>
          <o:OLEObject Type="Embed" ProgID="Equation.3" ShapeID="_x0000_i1091" DrawAspect="Content" ObjectID="_1799656466" r:id="rId108"/>
        </w:object>
      </w:r>
      <w:r w:rsidR="00F80C33" w:rsidRPr="00F80C33">
        <w:rPr>
          <w:position w:val="-18"/>
        </w:rPr>
        <w:object w:dxaOrig="220" w:dyaOrig="420" w14:anchorId="113B0AE4">
          <v:shape id="_x0000_i1092" type="#_x0000_t75" style="width:10.2pt;height:21pt" o:ole="">
            <v:imagedata r:id="rId105" o:title=""/>
          </v:shape>
          <o:OLEObject Type="Embed" ProgID="Equation.3" ShapeID="_x0000_i1092" DrawAspect="Content" ObjectID="_1799656467" r:id="rId109"/>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5" w:name="_Toc60038369"/>
      <w:r w:rsidRPr="00BA251F">
        <w:rPr>
          <w:b/>
          <w:i/>
        </w:rPr>
        <w:t xml:space="preserve">5.7.7 </w:t>
      </w:r>
      <w:r w:rsidRPr="00BA251F">
        <w:rPr>
          <w:b/>
          <w:i/>
        </w:rPr>
        <w:tab/>
        <w:t>Settlement of Switchable Generation Resources (SWGRs) Operating in a Non-ERCOT Control Area</w:t>
      </w:r>
      <w:bookmarkEnd w:id="335"/>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6" w:name="_Toc428178082"/>
      <w:bookmarkStart w:id="337" w:name="_Toc440872712"/>
      <w:bookmarkStart w:id="338" w:name="_Toc458766257"/>
      <w:bookmarkStart w:id="339" w:name="_Toc459292662"/>
      <w:bookmarkStart w:id="340" w:name="_Toc60038370"/>
      <w:r w:rsidRPr="004979A0">
        <w:t>5.8</w:t>
      </w:r>
      <w:r w:rsidRPr="004979A0">
        <w:tab/>
        <w:t>Annual RUC Reporting Requirement</w:t>
      </w:r>
      <w:bookmarkEnd w:id="336"/>
      <w:bookmarkEnd w:id="337"/>
      <w:bookmarkEnd w:id="338"/>
      <w:bookmarkEnd w:id="339"/>
      <w:bookmarkEnd w:id="340"/>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lastRenderedPageBreak/>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0"/>
      <w:headerReference w:type="default" r:id="rId111"/>
      <w:footerReference w:type="default" r:id="rId11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6769C2AE" w:rsidR="00CB5609" w:rsidRDefault="00CB5609">
    <w:pPr>
      <w:pStyle w:val="Footer"/>
      <w:spacing w:before="0" w:after="0"/>
    </w:pPr>
    <w:r>
      <w:t xml:space="preserve">ERCOT Nodal Protocols – </w:t>
    </w:r>
    <w:r w:rsidR="00B83130">
      <w:t>February</w:t>
    </w:r>
    <w:r w:rsidR="00763C79">
      <w:t xml:space="preserve"> 1</w:t>
    </w:r>
    <w:r>
      <w:t>, 202</w:t>
    </w:r>
    <w:r w:rsidR="00B83130">
      <w:t>5</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494B6677" w:rsidR="00CB5609" w:rsidRDefault="00CB5609">
    <w:pPr>
      <w:pStyle w:val="Footer"/>
      <w:tabs>
        <w:tab w:val="clear" w:pos="4680"/>
        <w:tab w:val="left" w:pos="-90"/>
      </w:tabs>
      <w:spacing w:before="0" w:after="0"/>
    </w:pPr>
    <w:r>
      <w:t xml:space="preserve">ERCOT Nodal Protocols – </w:t>
    </w:r>
    <w:r w:rsidR="00B83130">
      <w:t>February</w:t>
    </w:r>
    <w:r w:rsidR="00763C79">
      <w:t xml:space="preserve"> 1</w:t>
    </w:r>
    <w:r>
      <w:t xml:space="preserve">, </w:t>
    </w:r>
    <w:proofErr w:type="gramStart"/>
    <w:r>
      <w:t>202</w:t>
    </w:r>
    <w:r w:rsidR="00B83130">
      <w:t>5</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3057"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0BD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55DE"/>
    <w:rsid w:val="000A6A50"/>
    <w:rsid w:val="000A6C67"/>
    <w:rsid w:val="000B1E0A"/>
    <w:rsid w:val="000B277D"/>
    <w:rsid w:val="000B30C9"/>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0390"/>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585E"/>
    <w:rsid w:val="001A6C1F"/>
    <w:rsid w:val="001A6D3F"/>
    <w:rsid w:val="001A757F"/>
    <w:rsid w:val="001B2D5E"/>
    <w:rsid w:val="001B44F7"/>
    <w:rsid w:val="001B4A65"/>
    <w:rsid w:val="001D0468"/>
    <w:rsid w:val="001D4051"/>
    <w:rsid w:val="001D6962"/>
    <w:rsid w:val="001D7460"/>
    <w:rsid w:val="001E07D5"/>
    <w:rsid w:val="001E08CC"/>
    <w:rsid w:val="001E0E81"/>
    <w:rsid w:val="001E3C73"/>
    <w:rsid w:val="001E5971"/>
    <w:rsid w:val="001E6102"/>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1A8"/>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379F"/>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268"/>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20F6"/>
    <w:rsid w:val="004C26BA"/>
    <w:rsid w:val="004C2D6F"/>
    <w:rsid w:val="004C75EF"/>
    <w:rsid w:val="004C7C45"/>
    <w:rsid w:val="004D0A1B"/>
    <w:rsid w:val="004D1A57"/>
    <w:rsid w:val="004D47A6"/>
    <w:rsid w:val="004D6CC3"/>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04C0"/>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5F7F36"/>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3C79"/>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34D0"/>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3991"/>
    <w:rsid w:val="008342E2"/>
    <w:rsid w:val="008363AC"/>
    <w:rsid w:val="008363D2"/>
    <w:rsid w:val="00836F20"/>
    <w:rsid w:val="0084146E"/>
    <w:rsid w:val="00843161"/>
    <w:rsid w:val="008434FF"/>
    <w:rsid w:val="008436F6"/>
    <w:rsid w:val="008446FE"/>
    <w:rsid w:val="0084495C"/>
    <w:rsid w:val="00851C32"/>
    <w:rsid w:val="00852AC3"/>
    <w:rsid w:val="008538EE"/>
    <w:rsid w:val="00853AE9"/>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2CC9"/>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D7BD9"/>
    <w:rsid w:val="009E15D0"/>
    <w:rsid w:val="009E2856"/>
    <w:rsid w:val="009E34B1"/>
    <w:rsid w:val="009E5F29"/>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28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5026"/>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269"/>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4FE9"/>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3130"/>
    <w:rsid w:val="00B854C9"/>
    <w:rsid w:val="00B904FC"/>
    <w:rsid w:val="00B910B0"/>
    <w:rsid w:val="00B92350"/>
    <w:rsid w:val="00B93E5F"/>
    <w:rsid w:val="00B970B6"/>
    <w:rsid w:val="00B9713B"/>
    <w:rsid w:val="00BA0B84"/>
    <w:rsid w:val="00BA19D8"/>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67AE"/>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2FD8"/>
    <w:rsid w:val="00C34260"/>
    <w:rsid w:val="00C37199"/>
    <w:rsid w:val="00C403FA"/>
    <w:rsid w:val="00C420A2"/>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5ACB"/>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0AAA"/>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38"/>
    <w:rsid w:val="00E457E1"/>
    <w:rsid w:val="00E45ECE"/>
    <w:rsid w:val="00E46C77"/>
    <w:rsid w:val="00E47F71"/>
    <w:rsid w:val="00E525D5"/>
    <w:rsid w:val="00E53E13"/>
    <w:rsid w:val="00E575B2"/>
    <w:rsid w:val="00E60247"/>
    <w:rsid w:val="00E6027F"/>
    <w:rsid w:val="00E6037B"/>
    <w:rsid w:val="00E6091F"/>
    <w:rsid w:val="00E62C37"/>
    <w:rsid w:val="00E67D2A"/>
    <w:rsid w:val="00E70D52"/>
    <w:rsid w:val="00E70D6F"/>
    <w:rsid w:val="00E71288"/>
    <w:rsid w:val="00E72D95"/>
    <w:rsid w:val="00E766A8"/>
    <w:rsid w:val="00E77C7D"/>
    <w:rsid w:val="00E808C5"/>
    <w:rsid w:val="00E81FC5"/>
    <w:rsid w:val="00E932C0"/>
    <w:rsid w:val="00E9597D"/>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2FC8"/>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B02"/>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C4FCC"/>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FC4FC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FC4FC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9.bin"/><Relationship Id="rId63" Type="http://schemas.openxmlformats.org/officeDocument/2006/relationships/oleObject" Target="embeddings/oleObject28.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footer" Target="footer4.xml"/><Relationship Id="rId16" Type="http://schemas.openxmlformats.org/officeDocument/2006/relationships/image" Target="media/image4.png"/><Relationship Id="rId107" Type="http://schemas.openxmlformats.org/officeDocument/2006/relationships/image" Target="media/image29.wmf"/><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2.wmf"/><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4.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image" Target="media/image17.wmf"/><Relationship Id="rId64" Type="http://schemas.openxmlformats.org/officeDocument/2006/relationships/image" Target="media/image24.wmf"/><Relationship Id="rId69" Type="http://schemas.openxmlformats.org/officeDocument/2006/relationships/oleObject" Target="embeddings/oleObject33.bin"/><Relationship Id="rId113" Type="http://schemas.openxmlformats.org/officeDocument/2006/relationships/fontTable" Target="fontTable.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oleObject" Target="embeddings/oleObject25.bin"/><Relationship Id="rId103" Type="http://schemas.openxmlformats.org/officeDocument/2006/relationships/image" Target="media/image27.wmf"/><Relationship Id="rId108" Type="http://schemas.openxmlformats.org/officeDocument/2006/relationships/oleObject" Target="embeddings/oleObject67.bin"/><Relationship Id="rId54" Type="http://schemas.openxmlformats.org/officeDocument/2006/relationships/image" Target="media/image20.wmf"/><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66.bin"/><Relationship Id="rId114"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2.bin"/><Relationship Id="rId101" Type="http://schemas.openxmlformats.org/officeDocument/2006/relationships/oleObject" Target="embeddings/oleObject63.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oleObject" Target="embeddings/oleObject68.bin"/><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3.bin"/><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5.bin"/><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header" Target="header3.xml"/><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image" Target="media/image21.wmf"/><Relationship Id="rId77" Type="http://schemas.openxmlformats.org/officeDocument/2006/relationships/oleObject" Target="embeddings/oleObject41.bin"/><Relationship Id="rId100" Type="http://schemas.openxmlformats.org/officeDocument/2006/relationships/image" Target="media/image26.wmf"/><Relationship Id="rId105" Type="http://schemas.openxmlformats.org/officeDocument/2006/relationships/image" Target="media/image28.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image" Target="media/image25.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6.wmf"/><Relationship Id="rId67" Type="http://schemas.openxmlformats.org/officeDocument/2006/relationships/oleObject" Target="embeddings/oleObject31.bin"/><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image" Target="media/image23.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13</TotalTime>
  <Pages>87</Pages>
  <Words>33276</Words>
  <Characters>178499</Characters>
  <Application>Microsoft Office Word</Application>
  <DocSecurity>0</DocSecurity>
  <Lines>4249</Lines>
  <Paragraphs>2301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209474</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5</cp:revision>
  <cp:lastPrinted>2019-04-29T17:26:00Z</cp:lastPrinted>
  <dcterms:created xsi:type="dcterms:W3CDTF">2025-01-29T17:14:00Z</dcterms:created>
  <dcterms:modified xsi:type="dcterms:W3CDTF">2025-01-29T17:41:00Z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c144db1d-993e-40da-980d-6eea152adc50_Enabled">
    <vt:lpwstr>true</vt:lpwstr>
  </property>
  <property fmtid="{D5CDD505-2E9C-101B-9397-08002B2CF9AE}" pid="4" name="MSIP_Label_c144db1d-993e-40da-980d-6eea152adc50_SetDate">
    <vt:lpwstr>2025-01-29T17:41:36Z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c038b9d5-c5c6-439e-81d3-261a99516130</vt:lpwstr>
  </property>
  <property fmtid="{D5CDD505-2E9C-101B-9397-08002B2CF9AE}" pid="9" name="MSIP_Label_c144db1d-993e-40da-980d-6eea152adc50_ContentBits">
    <vt:lpwstr>0</vt:lpwstr>
  </property>
</Properties>
</file>