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E0653" w14:textId="4DFED2BB" w:rsidR="002D4213" w:rsidRPr="002D4213" w:rsidRDefault="002D4213" w:rsidP="002D4213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IBRWG </w:t>
      </w:r>
      <w:r w:rsidR="00E3074B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Update</w:t>
      </w:r>
    </w:p>
    <w:p w14:paraId="001575D3" w14:textId="711C72BB" w:rsidR="002D4213" w:rsidRPr="002D4213" w:rsidRDefault="002F5D2F" w:rsidP="002D4213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November</w:t>
      </w:r>
      <w:r w:rsidR="002D4213"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 2024</w:t>
      </w:r>
    </w:p>
    <w:p w14:paraId="5255C0B2" w14:textId="77777777" w:rsidR="002D4213" w:rsidRPr="002D4213" w:rsidRDefault="002D4213" w:rsidP="002D4213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14:ligatures w14:val="none"/>
        </w:rPr>
        <w:t>Chair: Julia Matevosyan, Vice-Chair: Miguel Cova Acosta</w:t>
      </w:r>
    </w:p>
    <w:p w14:paraId="3ECE4A7A" w14:textId="77777777" w:rsidR="002D4213" w:rsidRPr="002D4213" w:rsidRDefault="002D4213" w:rsidP="002D4213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0B0BFB52" w14:textId="0DDFFF40" w:rsidR="002D4213" w:rsidRPr="002D4213" w:rsidRDefault="002D4213" w:rsidP="002D4213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IBRWG met on </w:t>
      </w:r>
      <w:r w:rsidR="000A3CA4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November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1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5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:vertAlign w:val="superscript"/>
          <w14:ligatures w14:val="none"/>
        </w:rPr>
        <w:t>th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(Webex, Open Meeting).</w:t>
      </w:r>
    </w:p>
    <w:p w14:paraId="65B539D3" w14:textId="1FE3A301" w:rsidR="002D4213" w:rsidRDefault="002D4213" w:rsidP="002D4213">
      <w:pPr>
        <w:spacing w:line="259" w:lineRule="auto"/>
        <w:rPr>
          <w:rFonts w:ascii="Times New Roman" w:eastAsia="Calibri" w:hAnsi="Times New Roman" w:cs="Times New Roman"/>
          <w:color w:val="0563C1"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 agenda and the presentation slides are available </w:t>
      </w:r>
      <w:hyperlink r:id="rId5" w:history="1">
        <w:r w:rsidRPr="002D4213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here</w:t>
        </w:r>
      </w:hyperlink>
    </w:p>
    <w:p w14:paraId="0CFA7B76" w14:textId="58B59C8B" w:rsidR="000A3CA4" w:rsidRPr="002D4213" w:rsidRDefault="000A3CA4" w:rsidP="002D4213">
      <w:p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108 people attended the meeting (at peak)</w:t>
      </w:r>
    </w:p>
    <w:p w14:paraId="747846F7" w14:textId="77777777" w:rsidR="002D4213" w:rsidRPr="002D4213" w:rsidRDefault="002D4213" w:rsidP="002D4213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IBRWG Main Meeting</w:t>
      </w:r>
    </w:p>
    <w:p w14:paraId="45476079" w14:textId="2032B41E" w:rsidR="002D4213" w:rsidRPr="002D4213" w:rsidRDefault="00F55217" w:rsidP="002D4213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F55217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PFR from IBRs under “Deep” Curtailment</w:t>
      </w:r>
      <w:r w:rsidR="002D4213"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ab/>
      </w:r>
    </w:p>
    <w:p w14:paraId="5E4CEDC7" w14:textId="05FDE2C8" w:rsidR="002D4213" w:rsidRPr="002D4213" w:rsidRDefault="00F55217" w:rsidP="002D4213">
      <w:p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5521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Evelyn Hernandez and Martin de Paz (Nordex)</w:t>
      </w:r>
    </w:p>
    <w:p w14:paraId="0DF1528F" w14:textId="7FF75839" w:rsidR="00C71463" w:rsidRPr="00C71463" w:rsidRDefault="00C71463" w:rsidP="00C71463">
      <w:pPr>
        <w:pStyle w:val="ListParagraph"/>
        <w:numPr>
          <w:ilvl w:val="0"/>
          <w:numId w:val="2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Presented similar concerns to Vestas</w:t>
      </w:r>
      <w:r w:rsidR="009D019B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(in September)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:</w:t>
      </w:r>
    </w:p>
    <w:p w14:paraId="0842C6F7" w14:textId="1BD11474" w:rsidR="007B1122" w:rsidRDefault="009D019B" w:rsidP="00F03B2B">
      <w:pPr>
        <w:pStyle w:val="ListParagraph"/>
        <w:numPr>
          <w:ilvl w:val="0"/>
          <w:numId w:val="2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Wear and tear responding to frequency just outside the deadband, especially when operating at low output / close to technical limit. </w:t>
      </w:r>
    </w:p>
    <w:p w14:paraId="70DB0090" w14:textId="7558F0A5" w:rsidR="007B1122" w:rsidRDefault="007B1122" w:rsidP="00F03B2B">
      <w:pPr>
        <w:pStyle w:val="ListParagraph"/>
        <w:numPr>
          <w:ilvl w:val="0"/>
          <w:numId w:val="2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7F4041">
        <w:rPr>
          <w:rFonts w:ascii="Times New Roman" w:hAnsi="Times New Roman" w:cs="Times New Roman"/>
          <w:kern w:val="0"/>
          <w:sz w:val="28"/>
          <w:szCs w:val="28"/>
          <w14:ligatures w14:val="none"/>
        </w:rPr>
        <w:t>Tech minimum of wind turbine production</w:t>
      </w:r>
      <w:r w:rsidR="00C71463">
        <w:rPr>
          <w:rFonts w:ascii="Times New Roman" w:hAnsi="Times New Roman" w:cs="Times New Roman"/>
          <w:kern w:val="0"/>
          <w:sz w:val="28"/>
          <w:szCs w:val="28"/>
          <w14:ligatures w14:val="none"/>
        </w:rPr>
        <w:t>:</w:t>
      </w:r>
    </w:p>
    <w:p w14:paraId="0C5A7983" w14:textId="2CA1713C" w:rsidR="00C028E3" w:rsidRDefault="002F0035" w:rsidP="00B314EC">
      <w:pPr>
        <w:pStyle w:val="ListParagraph"/>
        <w:numPr>
          <w:ilvl w:val="0"/>
          <w:numId w:val="2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B314EC">
        <w:rPr>
          <w:rFonts w:ascii="Times New Roman" w:hAnsi="Times New Roman" w:cs="Times New Roman"/>
          <w:kern w:val="0"/>
          <w:sz w:val="28"/>
          <w:szCs w:val="28"/>
          <w14:ligatures w14:val="none"/>
        </w:rPr>
        <w:t>Issues with providing PFR during u</w:t>
      </w:r>
      <w:r w:rsidR="00DE67BA" w:rsidRPr="00B314EC">
        <w:rPr>
          <w:rFonts w:ascii="Times New Roman" w:hAnsi="Times New Roman" w:cs="Times New Roman"/>
          <w:kern w:val="0"/>
          <w:sz w:val="28"/>
          <w:szCs w:val="28"/>
          <w14:ligatures w14:val="none"/>
        </w:rPr>
        <w:t>nderfrequency events at zero power production</w:t>
      </w:r>
      <w:r w:rsidR="00C028E3" w:rsidRPr="00B314EC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B314EC">
        <w:rPr>
          <w:rFonts w:ascii="Times New Roman" w:hAnsi="Times New Roman" w:cs="Times New Roman"/>
          <w:kern w:val="0"/>
          <w:sz w:val="28"/>
          <w:szCs w:val="28"/>
          <w14:ligatures w14:val="none"/>
        </w:rPr>
        <w:t>(</w:t>
      </w:r>
      <w:r w:rsidR="00C028E3" w:rsidRPr="00B314EC">
        <w:rPr>
          <w:rFonts w:ascii="Times New Roman" w:hAnsi="Times New Roman" w:cs="Times New Roman"/>
          <w:kern w:val="0"/>
          <w:sz w:val="28"/>
          <w:szCs w:val="28"/>
          <w14:ligatures w14:val="none"/>
        </w:rPr>
        <w:t>curtailment down to 0 MW</w:t>
      </w:r>
      <w:r w:rsidRPr="00B314EC">
        <w:rPr>
          <w:rFonts w:ascii="Times New Roman" w:hAnsi="Times New Roman" w:cs="Times New Roman"/>
          <w:kern w:val="0"/>
          <w:sz w:val="28"/>
          <w:szCs w:val="28"/>
          <w14:ligatures w14:val="none"/>
        </w:rPr>
        <w:t>)</w:t>
      </w:r>
      <w:r w:rsidR="00B314EC" w:rsidRPr="00B314EC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r w:rsidR="00C028E3" w:rsidRPr="00B314EC">
        <w:rPr>
          <w:rFonts w:ascii="Times New Roman" w:hAnsi="Times New Roman" w:cs="Times New Roman"/>
          <w:kern w:val="0"/>
          <w:sz w:val="28"/>
          <w:szCs w:val="28"/>
          <w14:ligatures w14:val="none"/>
        </w:rPr>
        <w:t>at curtailment around or below wind turbine technical minimum</w:t>
      </w:r>
      <w:r w:rsidR="00B314EC">
        <w:rPr>
          <w:rFonts w:ascii="Times New Roman" w:hAnsi="Times New Roman" w:cs="Times New Roman"/>
          <w:kern w:val="0"/>
          <w:sz w:val="28"/>
          <w:szCs w:val="28"/>
          <w14:ligatures w14:val="none"/>
        </w:rPr>
        <w:t>; during over frequency when</w:t>
      </w:r>
      <w:r w:rsidR="00C028E3" w:rsidRPr="007F404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available power</w:t>
      </w:r>
      <w:r w:rsidR="009D019B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is close to or</w:t>
      </w:r>
      <w:r w:rsidR="00C028E3" w:rsidRPr="007F404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C3A84" w:rsidRPr="007F4041">
        <w:rPr>
          <w:rFonts w:ascii="Times New Roman" w:hAnsi="Times New Roman" w:cs="Times New Roman"/>
          <w:kern w:val="0"/>
          <w:sz w:val="28"/>
          <w:szCs w:val="28"/>
          <w14:ligatures w14:val="none"/>
        </w:rPr>
        <w:t>below wind turbine technical minimum</w:t>
      </w:r>
      <w:r w:rsidR="009D019B"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7ED09206" w14:textId="3733D8F4" w:rsidR="006373A2" w:rsidRDefault="006373A2" w:rsidP="00B314EC">
      <w:pPr>
        <w:pStyle w:val="ListParagraph"/>
        <w:numPr>
          <w:ilvl w:val="0"/>
          <w:numId w:val="2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From the discussion, it appears there are varying strategies on how a power plant controller distributes frequency response signal between the turbines </w:t>
      </w:r>
      <w:proofErr w:type="gramStart"/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and also</w:t>
      </w:r>
      <w:proofErr w:type="gramEnd"/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F34222">
        <w:rPr>
          <w:rFonts w:ascii="Times New Roman" w:hAnsi="Times New Roman" w:cs="Times New Roman"/>
          <w:kern w:val="0"/>
          <w:sz w:val="28"/>
          <w:szCs w:val="28"/>
          <w14:ligatures w14:val="none"/>
        </w:rPr>
        <w:t>when and if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F34222">
        <w:rPr>
          <w:rFonts w:ascii="Times New Roman" w:hAnsi="Times New Roman" w:cs="Times New Roman"/>
          <w:kern w:val="0"/>
          <w:sz w:val="28"/>
          <w:szCs w:val="28"/>
          <w14:ligatures w14:val="none"/>
        </w:rPr>
        <w:t>turbines get turned on and off as they reach their technical minimum production level.</w:t>
      </w:r>
    </w:p>
    <w:p w14:paraId="0B44DFC8" w14:textId="43AD85A0" w:rsidR="00C97F40" w:rsidRDefault="00A362F2" w:rsidP="00A362F2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A362F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Physical basics of low power operation of wind turbines</w:t>
      </w:r>
    </w:p>
    <w:p w14:paraId="2EBE8910" w14:textId="04358974" w:rsidR="00A362F2" w:rsidRPr="00E618A8" w:rsidRDefault="00A362F2" w:rsidP="00A362F2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618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Nicholas Miller</w:t>
      </w:r>
      <w:r w:rsidR="00E618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</w:t>
      </w:r>
      <w:proofErr w:type="spellStart"/>
      <w:r w:rsidRPr="00E618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HickoryLedge</w:t>
      </w:r>
      <w:proofErr w:type="spellEnd"/>
      <w:r w:rsidR="00E618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</w:t>
      </w:r>
    </w:p>
    <w:p w14:paraId="00A7961C" w14:textId="77777777" w:rsidR="00C230D8" w:rsidRDefault="000C42C3" w:rsidP="006F1AC3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C230D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Providing perspective of system planner and </w:t>
      </w:r>
      <w:r w:rsidR="00A30E9B" w:rsidRPr="00C230D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modeler of frequency dynamics (among other things). </w:t>
      </w:r>
    </w:p>
    <w:p w14:paraId="533679BA" w14:textId="3BB0EBAC" w:rsidR="00A214BA" w:rsidRDefault="006F1AC3" w:rsidP="00BF446A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A214BA">
        <w:rPr>
          <w:rFonts w:ascii="Times New Roman" w:hAnsi="Times New Roman" w:cs="Times New Roman"/>
          <w:kern w:val="0"/>
          <w:sz w:val="28"/>
          <w:szCs w:val="28"/>
          <w14:ligatures w14:val="none"/>
        </w:rPr>
        <w:t>Exp</w:t>
      </w:r>
      <w:r w:rsidR="007B5892" w:rsidRPr="00A214BA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laining the basics of </w:t>
      </w:r>
      <w:r w:rsidR="00C230D8" w:rsidRPr="00A214BA">
        <w:rPr>
          <w:rFonts w:ascii="Times New Roman" w:hAnsi="Times New Roman" w:cs="Times New Roman"/>
          <w:kern w:val="0"/>
          <w:sz w:val="28"/>
          <w:szCs w:val="28"/>
          <w14:ligatures w14:val="none"/>
        </w:rPr>
        <w:t>wind turbine operation, particularly r</w:t>
      </w:r>
      <w:r w:rsidRPr="00A214BA">
        <w:rPr>
          <w:rFonts w:ascii="Times New Roman" w:hAnsi="Times New Roman" w:cs="Times New Roman"/>
          <w:kern w:val="0"/>
          <w:sz w:val="28"/>
          <w:szCs w:val="28"/>
          <w14:ligatures w14:val="none"/>
        </w:rPr>
        <w:t>otor dynamics, aerodynamic lift, and their interplay in maintaining stability at low power outputs.</w:t>
      </w:r>
    </w:p>
    <w:p w14:paraId="4C29D2ED" w14:textId="26DCD288" w:rsidR="00B4067B" w:rsidRDefault="00B4067B" w:rsidP="00BF446A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The concept of technical minimum was known even 20 years ago when PFR from wind was </w:t>
      </w:r>
      <w:r w:rsidR="00A836A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being developed. </w:t>
      </w:r>
    </w:p>
    <w:p w14:paraId="03F09DE3" w14:textId="56FACBA7" w:rsidR="00A6194F" w:rsidRDefault="006F1AC3" w:rsidP="00A6194F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6F1AC3">
        <w:rPr>
          <w:rFonts w:ascii="Times New Roman" w:hAnsi="Times New Roman" w:cs="Times New Roman"/>
          <w:kern w:val="0"/>
          <w:sz w:val="28"/>
          <w:szCs w:val="28"/>
          <w14:ligatures w14:val="none"/>
        </w:rPr>
        <w:lastRenderedPageBreak/>
        <w:t>The</w:t>
      </w:r>
      <w:r w:rsidR="00877BD7">
        <w:rPr>
          <w:rFonts w:ascii="Times New Roman" w:hAnsi="Times New Roman" w:cs="Times New Roman"/>
          <w:kern w:val="0"/>
          <w:sz w:val="28"/>
          <w:szCs w:val="28"/>
          <w14:ligatures w14:val="none"/>
        </w:rPr>
        <w:t>re is a</w:t>
      </w:r>
      <w:r w:rsidRPr="006F1AC3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need for precise control of blade pitch, rotational torque, and generator response to manage stability under low wind conditions.</w:t>
      </w:r>
    </w:p>
    <w:p w14:paraId="3F469631" w14:textId="78B26011" w:rsidR="00AA6E27" w:rsidRDefault="00AA6E27" w:rsidP="00775834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775834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In Conclusion:</w:t>
      </w:r>
      <w:r w:rsidRPr="00775834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775834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Active power control from low power levels whether due to deep curtailment of low wind speed is extremely challenging and subject to multiple physical stability constraints. </w:t>
      </w:r>
    </w:p>
    <w:p w14:paraId="5273A33E" w14:textId="77777777" w:rsidR="002378A5" w:rsidRDefault="002378A5" w:rsidP="002378A5">
      <w:pPr>
        <w:pStyle w:val="ListParagraph"/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6FD00AB7" w14:textId="2DA16061" w:rsidR="00660D71" w:rsidRDefault="0085610F" w:rsidP="00A6194F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With all the information that </w:t>
      </w:r>
      <w:r w:rsidR="002378A5">
        <w:rPr>
          <w:rFonts w:ascii="Times New Roman" w:hAnsi="Times New Roman" w:cs="Times New Roman"/>
          <w:kern w:val="0"/>
          <w:sz w:val="28"/>
          <w:szCs w:val="28"/>
          <w14:ligatures w14:val="none"/>
        </w:rPr>
        <w:t>ERCOT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got </w:t>
      </w:r>
      <w:r w:rsidR="002378A5">
        <w:rPr>
          <w:rFonts w:ascii="Times New Roman" w:hAnsi="Times New Roman" w:cs="Times New Roman"/>
          <w:kern w:val="0"/>
          <w:sz w:val="28"/>
          <w:szCs w:val="28"/>
          <w14:ligatures w14:val="none"/>
        </w:rPr>
        <w:t>at the IBRWG meeting, they’ll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take </w:t>
      </w:r>
      <w:r w:rsidR="006F6AB4">
        <w:rPr>
          <w:rFonts w:ascii="Times New Roman" w:hAnsi="Times New Roman" w:cs="Times New Roman"/>
          <w:kern w:val="0"/>
          <w:sz w:val="28"/>
          <w:szCs w:val="28"/>
          <w14:ligatures w14:val="none"/>
        </w:rPr>
        <w:t>back it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and discuss some options and ideas internally. </w:t>
      </w:r>
    </w:p>
    <w:p w14:paraId="152C35FC" w14:textId="67F35C5C" w:rsidR="00E618A8" w:rsidRPr="00E618A8" w:rsidRDefault="00E618A8" w:rsidP="00E618A8">
      <w:pPr>
        <w:pStyle w:val="ListParagraph"/>
        <w:spacing w:line="259" w:lineRule="auto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18123C7E" w14:textId="5C1FB9AB" w:rsidR="0085610F" w:rsidRDefault="00E618A8" w:rsidP="00E618A8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E618A8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Review and Discussion of NOGRR272 and PGRR121 related to Advanced Grid Support Requirements for Inverter-Based ESRs</w:t>
      </w:r>
    </w:p>
    <w:p w14:paraId="68DBE054" w14:textId="72EC1E0D" w:rsidR="00E618A8" w:rsidRPr="00E618A8" w:rsidRDefault="00E618A8" w:rsidP="00E618A8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618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Sun Wook Kang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</w:t>
      </w:r>
      <w:r w:rsidRPr="00E618A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ERCOT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) </w:t>
      </w:r>
    </w:p>
    <w:p w14:paraId="51927EA2" w14:textId="2F7A356D" w:rsidR="009B2821" w:rsidRPr="006E6B6B" w:rsidRDefault="006E6B6B" w:rsidP="006E6B6B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0072F8">
        <w:rPr>
          <w:rFonts w:ascii="Times New Roman" w:hAnsi="Times New Roman" w:cs="Times New Roman"/>
          <w:kern w:val="0"/>
          <w:sz w:val="28"/>
          <w:szCs w:val="28"/>
          <w14:ligatures w14:val="none"/>
        </w:rPr>
        <w:t>NOGRR272 and PGRR121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are officially posted for stakeholder comments on October 31</w:t>
      </w:r>
      <w:proofErr w:type="gramStart"/>
      <w:r w:rsidRPr="00880BFF">
        <w:rPr>
          <w:rFonts w:ascii="Times New Roman" w:hAnsi="Times New Roman" w:cs="Times New Roman"/>
          <w:kern w:val="0"/>
          <w:sz w:val="28"/>
          <w:szCs w:val="28"/>
          <w:vertAlign w:val="superscript"/>
          <w14:ligatures w14:val="none"/>
        </w:rPr>
        <w:t>st</w:t>
      </w:r>
      <w:r>
        <w:rPr>
          <w:rFonts w:ascii="Times New Roman" w:hAnsi="Times New Roman" w:cs="Times New Roman"/>
          <w:kern w:val="0"/>
          <w:sz w:val="28"/>
          <w:szCs w:val="28"/>
          <w:vertAlign w:val="superscript"/>
          <w14:ligatures w14:val="none"/>
        </w:rPr>
        <w:t>.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  <w:proofErr w:type="gramEnd"/>
      <w:r>
        <w:rPr>
          <w:rFonts w:ascii="Times New Roman" w:hAnsi="Times New Roman" w:cs="Times New Roman"/>
          <w:kern w:val="0"/>
          <w:sz w:val="28"/>
          <w:szCs w:val="28"/>
          <w:vertAlign w:val="superscript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The RRs are</w:t>
      </w:r>
      <w:r w:rsidR="000072F8" w:rsidRPr="006E6B6B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focusing on </w:t>
      </w:r>
      <w:r w:rsidR="00AD69AC" w:rsidRPr="006E6B6B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adoption of </w:t>
      </w:r>
      <w:r w:rsidR="000072F8" w:rsidRPr="006E6B6B">
        <w:rPr>
          <w:rFonts w:ascii="Times New Roman" w:hAnsi="Times New Roman" w:cs="Times New Roman"/>
          <w:kern w:val="0"/>
          <w:sz w:val="28"/>
          <w:szCs w:val="28"/>
          <w14:ligatures w14:val="none"/>
        </w:rPr>
        <w:t>advanced grid support</w:t>
      </w:r>
      <w:r w:rsidR="00BB570A" w:rsidRPr="006E6B6B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(AGS)</w:t>
      </w:r>
      <w:r w:rsidR="000072F8" w:rsidRPr="006E6B6B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capabilities for inverter-based energy storage systems (ESRs)</w:t>
      </w:r>
      <w:r w:rsidR="00AD69AC" w:rsidRPr="006E6B6B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as presented </w:t>
      </w:r>
      <w:proofErr w:type="gramStart"/>
      <w:r w:rsidR="00AD69AC" w:rsidRPr="006E6B6B">
        <w:rPr>
          <w:rFonts w:ascii="Times New Roman" w:hAnsi="Times New Roman" w:cs="Times New Roman"/>
          <w:kern w:val="0"/>
          <w:sz w:val="28"/>
          <w:szCs w:val="28"/>
          <w14:ligatures w14:val="none"/>
        </w:rPr>
        <w:t>at</w:t>
      </w:r>
      <w:proofErr w:type="gramEnd"/>
      <w:r w:rsidR="00AD69AC" w:rsidRPr="006E6B6B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August and </w:t>
      </w:r>
      <w:r w:rsidR="009B2821" w:rsidRPr="006E6B6B">
        <w:rPr>
          <w:rFonts w:ascii="Times New Roman" w:hAnsi="Times New Roman" w:cs="Times New Roman"/>
          <w:kern w:val="0"/>
          <w:sz w:val="28"/>
          <w:szCs w:val="28"/>
          <w14:ligatures w14:val="none"/>
        </w:rPr>
        <w:t>September</w:t>
      </w:r>
      <w:r w:rsidR="00AD69AC" w:rsidRPr="006E6B6B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IBRWG meetings</w:t>
      </w:r>
      <w:r w:rsidR="009B2821" w:rsidRPr="006E6B6B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27BE283C" w14:textId="77777777" w:rsidR="004027C3" w:rsidRDefault="004027C3" w:rsidP="004027C3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The goal is to improve stability and resiliency of ERCOT grid with higher shares of IBRs. </w:t>
      </w:r>
    </w:p>
    <w:p w14:paraId="42B247F0" w14:textId="56AEEC2A" w:rsidR="00880BFF" w:rsidRDefault="00BB570A" w:rsidP="00413929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ERCOT also posted AGS ESR testing requirements on September IBRWG meeting page. </w:t>
      </w:r>
    </w:p>
    <w:p w14:paraId="375360D6" w14:textId="418AA0F5" w:rsidR="00583640" w:rsidRDefault="00583640" w:rsidP="00413929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This will be discussed at </w:t>
      </w:r>
      <w:r w:rsidR="00570607">
        <w:rPr>
          <w:rFonts w:ascii="Times New Roman" w:hAnsi="Times New Roman" w:cs="Times New Roman"/>
          <w:kern w:val="0"/>
          <w:sz w:val="28"/>
          <w:szCs w:val="28"/>
          <w14:ligatures w14:val="none"/>
        </w:rPr>
        <w:t>the December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ROS meeting</w:t>
      </w:r>
      <w:r w:rsidR="00570607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.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ROS will </w:t>
      </w:r>
      <w:r w:rsidR="00570607">
        <w:rPr>
          <w:rFonts w:ascii="Times New Roman" w:hAnsi="Times New Roman" w:cs="Times New Roman"/>
          <w:kern w:val="0"/>
          <w:sz w:val="28"/>
          <w:szCs w:val="28"/>
          <w14:ligatures w14:val="none"/>
        </w:rPr>
        <w:t>direct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245AE3">
        <w:rPr>
          <w:rFonts w:ascii="Times New Roman" w:hAnsi="Times New Roman" w:cs="Times New Roman"/>
          <w:kern w:val="0"/>
          <w:sz w:val="28"/>
          <w:szCs w:val="28"/>
          <w14:ligatures w14:val="none"/>
        </w:rPr>
        <w:t>IBRWG and DWG</w:t>
      </w:r>
      <w:r w:rsidR="00570607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to review the NOGR272 and PGRR121</w:t>
      </w:r>
      <w:r w:rsidR="00245AE3"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46BA6CD8" w14:textId="22AAA25C" w:rsidR="00084FA8" w:rsidRPr="004F2C35" w:rsidRDefault="00084FA8" w:rsidP="00EA0620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4F2C35">
        <w:rPr>
          <w:rFonts w:ascii="Times New Roman" w:hAnsi="Times New Roman" w:cs="Times New Roman"/>
          <w:kern w:val="0"/>
          <w:sz w:val="28"/>
          <w:szCs w:val="28"/>
          <w14:ligatures w14:val="none"/>
        </w:rPr>
        <w:t>What</w:t>
      </w:r>
      <w:r w:rsidR="004F2C35" w:rsidRPr="004F2C35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happens</w:t>
      </w:r>
      <w:r w:rsidRPr="004F2C35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if SGIA was executed before 4/1/2025 but then resource got amended, would it then require having AGS? </w:t>
      </w:r>
      <w:r w:rsidR="004F2C35" w:rsidRPr="004F2C35">
        <w:rPr>
          <w:rFonts w:ascii="Times New Roman" w:hAnsi="Times New Roman" w:cs="Times New Roman"/>
          <w:kern w:val="0"/>
          <w:sz w:val="28"/>
          <w:szCs w:val="28"/>
          <w14:ligatures w14:val="none"/>
        </w:rPr>
        <w:t>This is s</w:t>
      </w:r>
      <w:r w:rsidRPr="004F2C35">
        <w:rPr>
          <w:rFonts w:ascii="Times New Roman" w:hAnsi="Times New Roman" w:cs="Times New Roman"/>
          <w:kern w:val="0"/>
          <w:sz w:val="28"/>
          <w:szCs w:val="28"/>
          <w14:ligatures w14:val="none"/>
        </w:rPr>
        <w:t>omething that needs to be considered and discussed further</w:t>
      </w:r>
      <w:r w:rsidR="004F2C35"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2621194C" w14:textId="78ECEFD5" w:rsidR="003A7281" w:rsidRDefault="00070DAB" w:rsidP="0037393A">
      <w:pPr>
        <w:spacing w:line="259" w:lineRule="auto"/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70DAB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SPWG / IBRWG Coordination on Multiple-Ride Through and Next Steps Discussion</w:t>
      </w:r>
    </w:p>
    <w:p w14:paraId="237A5537" w14:textId="1B38C1E7" w:rsidR="00070DAB" w:rsidRDefault="00070DAB" w:rsidP="0037393A">
      <w:pPr>
        <w:spacing w:line="259" w:lineRule="auto"/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Mark McChesney (Oncor, SPWG chair)</w:t>
      </w:r>
    </w:p>
    <w:p w14:paraId="25BBD8F6" w14:textId="77777777" w:rsidR="004F2C35" w:rsidRDefault="001F028B" w:rsidP="004F2C35">
      <w:pPr>
        <w:pStyle w:val="ListParagraph"/>
        <w:numPr>
          <w:ilvl w:val="0"/>
          <w:numId w:val="4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proofErr w:type="gramStart"/>
      <w:r w:rsidRPr="00FF275E">
        <w:rPr>
          <w:rFonts w:ascii="Times New Roman" w:hAnsi="Times New Roman" w:cs="Times New Roman"/>
          <w:kern w:val="0"/>
          <w:sz w:val="28"/>
          <w:szCs w:val="28"/>
          <w14:ligatures w14:val="none"/>
        </w:rPr>
        <w:t>Action</w:t>
      </w:r>
      <w:proofErr w:type="gramEnd"/>
      <w:r w:rsidRPr="00FF275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item from ROS was around developing guidance and recommendations for </w:t>
      </w:r>
      <w:r w:rsidR="00FF275E" w:rsidRPr="00FF275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transmission auto reclosing and sectionalizing schemes to improve IBR ride though probability. </w:t>
      </w:r>
    </w:p>
    <w:p w14:paraId="35AC53CF" w14:textId="5058CF23" w:rsidR="001F028B" w:rsidRPr="004F2C35" w:rsidRDefault="004F2C35" w:rsidP="004F2C35">
      <w:pPr>
        <w:pStyle w:val="ListParagraph"/>
        <w:numPr>
          <w:ilvl w:val="0"/>
          <w:numId w:val="4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FF275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This is following up on the discussion from August SPWG/IBRWG coordination discussion item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(during August IBWG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)</w:t>
      </w:r>
    </w:p>
    <w:p w14:paraId="32F22582" w14:textId="64486ADD" w:rsidR="006879B5" w:rsidRDefault="006879B5" w:rsidP="00FF275E">
      <w:pPr>
        <w:pStyle w:val="ListParagraph"/>
        <w:numPr>
          <w:ilvl w:val="0"/>
          <w:numId w:val="4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lastRenderedPageBreak/>
        <w:t>Mark provided an overview of IEEE 2800 requirements relevant here, i.e. consecutive ride-through capability and voltage phase angel change ride through</w:t>
      </w:r>
      <w:r w:rsidR="004F2C35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and presented the results from TDSP survey (only five responses but from large TDSPs.</w:t>
      </w:r>
    </w:p>
    <w:p w14:paraId="1F43F718" w14:textId="2FD5889F" w:rsidR="00AA2CAC" w:rsidRDefault="004F2C35" w:rsidP="00A6194F">
      <w:pPr>
        <w:pStyle w:val="ListParagraph"/>
        <w:numPr>
          <w:ilvl w:val="0"/>
          <w:numId w:val="1"/>
        </w:numPr>
        <w:tabs>
          <w:tab w:val="left" w:pos="360"/>
        </w:tabs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The survey shows that the </w:t>
      </w:r>
      <w:r w:rsidR="00AA2CAC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settings applied are very dependent on the location of IBRs and those lines.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The</w:t>
      </w:r>
      <w:r w:rsidR="00AA2CAC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conclusion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is </w:t>
      </w:r>
      <w:r w:rsidR="00FF102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that there needs to be a dialogue between IBR developer/owner and their TDSP to understand auto-reclose practices that are applied not only on the interconnecting line but also on the lines adjacent to that IBR plant. </w:t>
      </w:r>
    </w:p>
    <w:p w14:paraId="719E3D69" w14:textId="048827E0" w:rsidR="00F63FF4" w:rsidRDefault="00834C4C" w:rsidP="00A6194F">
      <w:pPr>
        <w:pStyle w:val="ListParagraph"/>
        <w:numPr>
          <w:ilvl w:val="0"/>
          <w:numId w:val="1"/>
        </w:numPr>
        <w:tabs>
          <w:tab w:val="left" w:pos="360"/>
        </w:tabs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During</w:t>
      </w:r>
      <w:r w:rsidR="00F63FF4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002EE8">
        <w:rPr>
          <w:rFonts w:ascii="Times New Roman" w:hAnsi="Times New Roman" w:cs="Times New Roman"/>
          <w:kern w:val="0"/>
          <w:sz w:val="28"/>
          <w:szCs w:val="28"/>
          <w14:ligatures w14:val="none"/>
        </w:rPr>
        <w:t>the interconnection</w:t>
      </w:r>
      <w:r w:rsidR="00F63FF4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process there is a meeting </w:t>
      </w:r>
      <w:r w:rsidR="00002EE8">
        <w:rPr>
          <w:rFonts w:ascii="Times New Roman" w:hAnsi="Times New Roman" w:cs="Times New Roman"/>
          <w:kern w:val="0"/>
          <w:sz w:val="28"/>
          <w:szCs w:val="28"/>
          <w14:ligatures w14:val="none"/>
        </w:rPr>
        <w:t>between ERCOT, TDSPs and IE</w:t>
      </w:r>
      <w:r w:rsidR="00002EE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F63FF4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to discuss the full interconnection study </w:t>
      </w:r>
      <w:r w:rsidR="00002EE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scope. May be this is when this coordination item on auto-reclosing can be captured as well. And in that case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maybe</w:t>
      </w:r>
      <w:r w:rsidR="00002EE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it can be captured in ERCOT’s Resource Integration Handbook? </w:t>
      </w:r>
    </w:p>
    <w:p w14:paraId="085DD1FF" w14:textId="0E4FFCC3" w:rsidR="00834C4C" w:rsidRDefault="00834C4C" w:rsidP="00A6194F">
      <w:pPr>
        <w:pStyle w:val="ListParagraph"/>
        <w:numPr>
          <w:ilvl w:val="0"/>
          <w:numId w:val="1"/>
        </w:numPr>
        <w:tabs>
          <w:tab w:val="left" w:pos="360"/>
        </w:tabs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Julia will follow up with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ERCOT’s Resource Integration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Team. </w:t>
      </w:r>
    </w:p>
    <w:p w14:paraId="38ACE1ED" w14:textId="5B6CE3FC" w:rsidR="009069AD" w:rsidRDefault="00EF0337" w:rsidP="009069AD">
      <w:pPr>
        <w:tabs>
          <w:tab w:val="left" w:pos="360"/>
        </w:tabs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NERC and </w:t>
      </w:r>
      <w:r w:rsidR="00BD68D5" w:rsidRPr="00BD68D5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Other Industry Updates</w:t>
      </w:r>
    </w:p>
    <w:p w14:paraId="5ABC60DD" w14:textId="016DB337" w:rsidR="00BD68D5" w:rsidRPr="00BD68D5" w:rsidRDefault="00BD68D5" w:rsidP="009069AD">
      <w:pPr>
        <w:tabs>
          <w:tab w:val="left" w:pos="360"/>
        </w:tabs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BD68D5">
        <w:rPr>
          <w:rFonts w:ascii="Times New Roman" w:hAnsi="Times New Roman" w:cs="Times New Roman"/>
          <w:kern w:val="0"/>
          <w:sz w:val="28"/>
          <w:szCs w:val="28"/>
          <w14:ligatures w14:val="none"/>
        </w:rPr>
        <w:t>Julia Matevosyan (ESIG)</w:t>
      </w:r>
    </w:p>
    <w:p w14:paraId="7C933A51" w14:textId="588380DB" w:rsidR="00A6194F" w:rsidRPr="00A6194F" w:rsidRDefault="00A6194F" w:rsidP="00A6194F">
      <w:pPr>
        <w:pStyle w:val="ListParagraph"/>
        <w:numPr>
          <w:ilvl w:val="0"/>
          <w:numId w:val="1"/>
        </w:numPr>
        <w:tabs>
          <w:tab w:val="left" w:pos="360"/>
        </w:tabs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A6194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MISO </w:t>
      </w:r>
      <w:hyperlink r:id="rId6" w:history="1">
        <w:r w:rsidRPr="00A6194F">
          <w:rPr>
            <w:rStyle w:val="Hyperlink"/>
            <w:rFonts w:ascii="Times New Roman" w:hAnsi="Times New Roman" w:cs="Times New Roman"/>
            <w:kern w:val="0"/>
            <w:sz w:val="28"/>
            <w:szCs w:val="28"/>
            <w14:ligatures w14:val="none"/>
          </w:rPr>
          <w:t>presented</w:t>
        </w:r>
      </w:hyperlink>
      <w:r w:rsidRPr="00A6194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the latest draft of the proposed performance requirements for GFM BESS at October Planning Advisory Committee (PAC) meeting. </w:t>
      </w:r>
    </w:p>
    <w:p w14:paraId="3731363A" w14:textId="09F6208B" w:rsidR="00A6194F" w:rsidRPr="00A6194F" w:rsidRDefault="00A6194F" w:rsidP="00A6194F">
      <w:pPr>
        <w:pStyle w:val="ListParagraph"/>
        <w:numPr>
          <w:ilvl w:val="0"/>
          <w:numId w:val="1"/>
        </w:numPr>
        <w:tabs>
          <w:tab w:val="left" w:pos="360"/>
        </w:tabs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A6194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The proposal </w:t>
      </w:r>
      <w:proofErr w:type="gramStart"/>
      <w:r w:rsidR="006906F9">
        <w:rPr>
          <w:rFonts w:ascii="Times New Roman" w:hAnsi="Times New Roman" w:cs="Times New Roman"/>
          <w:kern w:val="0"/>
          <w:sz w:val="28"/>
          <w:szCs w:val="28"/>
          <w14:ligatures w14:val="none"/>
        </w:rPr>
        <w:t>is</w:t>
      </w:r>
      <w:r w:rsidRPr="00A6194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A6194F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to require</w:t>
      </w:r>
      <w:proofErr w:type="gramEnd"/>
      <w:r w:rsidRPr="00A6194F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GFM control capabilities from all BESS, starting with the DPP 2023 Cycle</w:t>
      </w:r>
      <w:r w:rsidRPr="00A6194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* (i.e. next gen interconnection cycle). </w:t>
      </w:r>
      <w:r w:rsidR="00F10AF1" w:rsidRPr="00F10AF1">
        <w:rPr>
          <w:rFonts w:ascii="Times New Roman" w:hAnsi="Times New Roman" w:cs="Times New Roman"/>
          <w:kern w:val="0"/>
          <w:sz w:val="28"/>
          <w:szCs w:val="28"/>
          <w14:ligatures w14:val="none"/>
        </w:rPr>
        <w:t>DPP – Definitive Planning Phase</w:t>
      </w:r>
    </w:p>
    <w:p w14:paraId="75FA3233" w14:textId="77777777" w:rsidR="00A6194F" w:rsidRPr="00A6194F" w:rsidRDefault="00A6194F" w:rsidP="00A6194F">
      <w:pPr>
        <w:pStyle w:val="ListParagraph"/>
        <w:numPr>
          <w:ilvl w:val="0"/>
          <w:numId w:val="1"/>
        </w:numPr>
        <w:tabs>
          <w:tab w:val="left" w:pos="360"/>
        </w:tabs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A6194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The requirements and process are outlined in </w:t>
      </w:r>
      <w:hyperlink r:id="rId7" w:history="1">
        <w:r w:rsidRPr="00A6194F">
          <w:rPr>
            <w:rStyle w:val="Hyperlink"/>
            <w:rFonts w:ascii="Times New Roman" w:hAnsi="Times New Roman" w:cs="Times New Roman"/>
            <w:kern w:val="0"/>
            <w:sz w:val="28"/>
            <w:szCs w:val="28"/>
            <w14:ligatures w14:val="none"/>
          </w:rPr>
          <w:t>Business Practice Manual (BPM-015) redlines</w:t>
        </w:r>
      </w:hyperlink>
      <w:r w:rsidRPr="00A6194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(Section 5.3.7 on Page 52).  </w:t>
      </w:r>
    </w:p>
    <w:p w14:paraId="2464FB69" w14:textId="1275FF41" w:rsidR="00A6194F" w:rsidRPr="00A6194F" w:rsidRDefault="00A6194F" w:rsidP="005A788A">
      <w:pPr>
        <w:pStyle w:val="ListParagraph"/>
        <w:numPr>
          <w:ilvl w:val="0"/>
          <w:numId w:val="1"/>
        </w:numPr>
        <w:tabs>
          <w:tab w:val="left" w:pos="360"/>
        </w:tabs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A6194F">
        <w:rPr>
          <w:rFonts w:ascii="Times New Roman" w:hAnsi="Times New Roman" w:cs="Times New Roman"/>
          <w:kern w:val="0"/>
          <w:sz w:val="28"/>
          <w:szCs w:val="28"/>
          <w14:ligatures w14:val="none"/>
        </w:rPr>
        <w:t>PAC stakeholders were invited to review and submit feedback to MISO’s proposal</w:t>
      </w:r>
      <w:r w:rsidR="00350E20" w:rsidRPr="00350E2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. </w:t>
      </w:r>
      <w:r w:rsidRPr="00A6194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MISO responded to stakeholder feedback submitted by 2 parties and shared requested clarifications in the responses and </w:t>
      </w:r>
      <w:hyperlink r:id="rId8" w:history="1">
        <w:r w:rsidRPr="00A6194F">
          <w:rPr>
            <w:rStyle w:val="Hyperlink"/>
            <w:rFonts w:ascii="Times New Roman" w:hAnsi="Times New Roman" w:cs="Times New Roman"/>
            <w:kern w:val="0"/>
            <w:sz w:val="28"/>
            <w:szCs w:val="28"/>
            <w14:ligatures w14:val="none"/>
          </w:rPr>
          <w:t>November PAC meeting materials</w:t>
        </w:r>
      </w:hyperlink>
      <w:r w:rsidRPr="00A6194F"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510DA909" w14:textId="77777777" w:rsidR="00A6194F" w:rsidRPr="00A6194F" w:rsidRDefault="00A6194F" w:rsidP="00A6194F">
      <w:pPr>
        <w:pStyle w:val="ListParagraph"/>
        <w:numPr>
          <w:ilvl w:val="0"/>
          <w:numId w:val="1"/>
        </w:numPr>
        <w:tabs>
          <w:tab w:val="left" w:pos="360"/>
        </w:tabs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A6194F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Next Steps: Finalize BPM-015 redlines to implement proposed requirements</w:t>
      </w:r>
    </w:p>
    <w:p w14:paraId="02DD7F49" w14:textId="06FDE3AD" w:rsidR="00A6194F" w:rsidRDefault="00C738D5" w:rsidP="00A6194F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GFM Progress Globally: </w:t>
      </w:r>
      <w:r w:rsidR="0015686E">
        <w:rPr>
          <w:rFonts w:ascii="Times New Roman" w:hAnsi="Times New Roman" w:cs="Times New Roman"/>
          <w:kern w:val="0"/>
          <w:sz w:val="28"/>
          <w:szCs w:val="28"/>
          <w14:ligatures w14:val="none"/>
        </w:rPr>
        <w:t>5 system operators have developed and approved grid forming specifications for IBRs (or just battery energy storage)</w:t>
      </w:r>
      <w:r w:rsidR="004201AD">
        <w:rPr>
          <w:rFonts w:ascii="Times New Roman" w:hAnsi="Times New Roman" w:cs="Times New Roman"/>
          <w:kern w:val="0"/>
          <w:sz w:val="28"/>
          <w:szCs w:val="28"/>
          <w14:ligatures w14:val="none"/>
        </w:rPr>
        <w:t>; 2 more are in draft</w:t>
      </w:r>
    </w:p>
    <w:p w14:paraId="014DC01E" w14:textId="021895DC" w:rsidR="004201AD" w:rsidRDefault="004201AD" w:rsidP="00A6194F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Nine manufacturers have commercial offerings of GFM </w:t>
      </w:r>
      <w:r w:rsidR="00645E51">
        <w:rPr>
          <w:rFonts w:ascii="Times New Roman" w:hAnsi="Times New Roman" w:cs="Times New Roman"/>
          <w:kern w:val="0"/>
          <w:sz w:val="28"/>
          <w:szCs w:val="28"/>
          <w14:ligatures w14:val="none"/>
        </w:rPr>
        <w:t>inverters.</w:t>
      </w:r>
    </w:p>
    <w:p w14:paraId="76727A1E" w14:textId="77777777" w:rsidR="005D5CDE" w:rsidRDefault="005D5CDE" w:rsidP="005D5CDE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NERC addressed Milestone 2 of FERC Order 901 through filing the following standards PRC-028, PRC-29, PRC-30. Links to filings and other information are on slide 7. </w:t>
      </w:r>
    </w:p>
    <w:p w14:paraId="20C3C317" w14:textId="77777777" w:rsidR="00702CAC" w:rsidRDefault="005D5CDE" w:rsidP="005D5CDE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Work is ongoing on Milestone 3, focused on modeling. </w:t>
      </w:r>
      <w:r w:rsidR="00702CAC" w:rsidRPr="00702CAC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NERC is holding a </w:t>
      </w:r>
      <w:hyperlink r:id="rId9" w:history="1">
        <w:r w:rsidR="00702CAC" w:rsidRPr="00702CAC">
          <w:rPr>
            <w:rStyle w:val="Hyperlink"/>
            <w:rFonts w:ascii="Times New Roman" w:hAnsi="Times New Roman" w:cs="Times New Roman"/>
            <w:kern w:val="0"/>
            <w:sz w:val="28"/>
            <w:szCs w:val="28"/>
            <w14:ligatures w14:val="none"/>
          </w:rPr>
          <w:t>Technical Workshop</w:t>
        </w:r>
      </w:hyperlink>
      <w:r w:rsidR="00702CAC" w:rsidRPr="00702CAC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on January 15-16, 2025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to get industry’s feedback.</w:t>
      </w:r>
    </w:p>
    <w:p w14:paraId="5A16E9CA" w14:textId="77777777" w:rsidR="00702CAC" w:rsidRPr="00702CAC" w:rsidRDefault="00702CAC" w:rsidP="005D5CDE">
      <w:pPr>
        <w:pStyle w:val="ListParagraph"/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350B119B" w14:textId="46AED7C9" w:rsidR="009B1EFC" w:rsidRPr="009B1EFC" w:rsidRDefault="00073413" w:rsidP="009B1EFC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073413">
        <w:rPr>
          <w:rFonts w:ascii="Times New Roman" w:hAnsi="Times New Roman" w:cs="Times New Roman"/>
          <w:kern w:val="0"/>
          <w:sz w:val="28"/>
          <w:szCs w:val="28"/>
          <w14:ligatures w14:val="none"/>
        </w:rPr>
        <w:t>G-PST/ESIG Webinar: GFM Technology Adoption in ERCOT – Status Update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, by Fred Huang (ERCOT) on November 12</w:t>
      </w:r>
      <w:r w:rsidRPr="00073413">
        <w:rPr>
          <w:rFonts w:ascii="Times New Roman" w:hAnsi="Times New Roman" w:cs="Times New Roman"/>
          <w:kern w:val="0"/>
          <w:sz w:val="28"/>
          <w:szCs w:val="28"/>
          <w:vertAlign w:val="superscript"/>
          <w14:ligatures w14:val="none"/>
        </w:rPr>
        <w:t>th</w:t>
      </w:r>
      <w:r w:rsidR="003401B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. </w:t>
      </w:r>
      <w:hyperlink r:id="rId10" w:history="1">
        <w:r w:rsidR="009B1EFC" w:rsidRPr="009B1EFC">
          <w:rPr>
            <w:rStyle w:val="Hyperlink"/>
            <w:rFonts w:ascii="Times New Roman" w:hAnsi="Times New Roman" w:cs="Times New Roman"/>
            <w:kern w:val="0"/>
            <w:sz w:val="28"/>
            <w:szCs w:val="28"/>
            <w14:ligatures w14:val="none"/>
          </w:rPr>
          <w:t>Download Presentation</w:t>
        </w:r>
      </w:hyperlink>
      <w:r w:rsidR="009B1EFC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or </w:t>
      </w:r>
      <w:hyperlink r:id="rId11" w:history="1">
        <w:r w:rsidR="009B1EFC" w:rsidRPr="009B1EFC">
          <w:rPr>
            <w:rStyle w:val="Hyperlink"/>
            <w:rFonts w:ascii="Times New Roman" w:hAnsi="Times New Roman" w:cs="Times New Roman"/>
            <w:kern w:val="0"/>
            <w:sz w:val="28"/>
            <w:szCs w:val="28"/>
            <w14:ligatures w14:val="none"/>
          </w:rPr>
          <w:t>View Webinar Recording</w:t>
        </w:r>
      </w:hyperlink>
    </w:p>
    <w:p w14:paraId="0EF46999" w14:textId="2FE40061" w:rsidR="00645E51" w:rsidRDefault="006D2155" w:rsidP="00A6194F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ESIG summarized </w:t>
      </w:r>
      <w:r w:rsidR="0096411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the </w:t>
      </w:r>
      <w:proofErr w:type="gramStart"/>
      <w:r w:rsidR="00964112">
        <w:rPr>
          <w:rFonts w:ascii="Times New Roman" w:hAnsi="Times New Roman" w:cs="Times New Roman"/>
          <w:kern w:val="0"/>
          <w:sz w:val="28"/>
          <w:szCs w:val="28"/>
          <w14:ligatures w14:val="none"/>
        </w:rPr>
        <w:t>current sta</w:t>
      </w:r>
      <w:r w:rsidR="000934F8">
        <w:rPr>
          <w:rFonts w:ascii="Times New Roman" w:hAnsi="Times New Roman" w:cs="Times New Roman"/>
          <w:kern w:val="0"/>
          <w:sz w:val="28"/>
          <w:szCs w:val="28"/>
          <w14:ligatures w14:val="none"/>
        </w:rPr>
        <w:t>tus</w:t>
      </w:r>
      <w:proofErr w:type="gramEnd"/>
      <w:r w:rsidR="0096411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of efforts to improve interconnection standards for IBRs</w:t>
      </w:r>
      <w:r w:rsidR="00272FA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hyperlink r:id="rId12" w:history="1">
        <w:r w:rsidR="00272FAE" w:rsidRPr="00E9203E">
          <w:rPr>
            <w:rStyle w:val="Hyperlink"/>
            <w:rFonts w:ascii="Times New Roman" w:hAnsi="Times New Roman" w:cs="Times New Roman"/>
            <w:kern w:val="0"/>
            <w:sz w:val="28"/>
            <w:szCs w:val="28"/>
            <w14:ligatures w14:val="none"/>
          </w:rPr>
          <w:t>here</w:t>
        </w:r>
      </w:hyperlink>
      <w:r w:rsidR="00272FA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0F5A90D2" w14:textId="0439CC1A" w:rsidR="00073413" w:rsidRDefault="00D21778" w:rsidP="00A6194F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ESIG summarized the IEEE PES GM 2024 Panel on IBR Integration. The panel included SMEs from Vestas, MISO, EPE, Elevate Energy and Dominion Energy. </w:t>
      </w:r>
      <w:r w:rsidR="00CB5DF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The summary is available </w:t>
      </w:r>
      <w:r w:rsidR="00CB5DF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hyperlink r:id="rId13" w:history="1">
        <w:r w:rsidR="00CB5DF9" w:rsidRPr="00E9203E">
          <w:rPr>
            <w:rStyle w:val="Hyperlink"/>
            <w:rFonts w:ascii="Times New Roman" w:hAnsi="Times New Roman" w:cs="Times New Roman"/>
            <w:kern w:val="0"/>
            <w:sz w:val="28"/>
            <w:szCs w:val="28"/>
            <w14:ligatures w14:val="none"/>
          </w:rPr>
          <w:t>here</w:t>
        </w:r>
      </w:hyperlink>
    </w:p>
    <w:p w14:paraId="41387D55" w14:textId="34212418" w:rsidR="00773D9B" w:rsidRPr="00773D9B" w:rsidRDefault="00C638CF" w:rsidP="00773D9B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DOE i2x Forum for </w:t>
      </w:r>
      <w:r w:rsidR="00773D9B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the Implementation of Reliability Standards for Transmission held a </w:t>
      </w:r>
      <w:hyperlink r:id="rId14" w:history="1">
        <w:r w:rsidR="00773D9B" w:rsidRPr="00773D9B">
          <w:rPr>
            <w:rStyle w:val="Hyperlink"/>
            <w:rFonts w:ascii="Times New Roman" w:hAnsi="Times New Roman" w:cs="Times New Roman"/>
            <w:kern w:val="0"/>
            <w:sz w:val="28"/>
            <w:szCs w:val="28"/>
            <w14:ligatures w14:val="none"/>
          </w:rPr>
          <w:t>October 24</w:t>
        </w:r>
      </w:hyperlink>
      <w:hyperlink r:id="rId15" w:history="1">
        <w:r w:rsidR="00773D9B" w:rsidRPr="00773D9B">
          <w:rPr>
            <w:rStyle w:val="Hyperlink"/>
            <w:rFonts w:ascii="Times New Roman" w:hAnsi="Times New Roman" w:cs="Times New Roman"/>
            <w:kern w:val="0"/>
            <w:sz w:val="28"/>
            <w:szCs w:val="28"/>
            <w:vertAlign w:val="superscript"/>
            <w14:ligatures w14:val="none"/>
          </w:rPr>
          <w:t>th</w:t>
        </w:r>
      </w:hyperlink>
      <w:hyperlink r:id="rId16" w:history="1">
        <w:r w:rsidR="00773D9B" w:rsidRPr="00773D9B">
          <w:rPr>
            <w:rStyle w:val="Hyperlink"/>
            <w:rFonts w:ascii="Times New Roman" w:hAnsi="Times New Roman" w:cs="Times New Roman"/>
            <w:kern w:val="0"/>
            <w:sz w:val="28"/>
            <w:szCs w:val="28"/>
            <w14:ligatures w14:val="none"/>
          </w:rPr>
          <w:t xml:space="preserve">, </w:t>
        </w:r>
      </w:hyperlink>
      <w:hyperlink r:id="rId17" w:history="1">
        <w:r w:rsidR="00773D9B" w:rsidRPr="00773D9B">
          <w:rPr>
            <w:rStyle w:val="Hyperlink"/>
            <w:rFonts w:ascii="Times New Roman" w:hAnsi="Times New Roman" w:cs="Times New Roman"/>
            <w:kern w:val="0"/>
            <w:sz w:val="28"/>
            <w:szCs w:val="28"/>
            <w14:ligatures w14:val="none"/>
          </w:rPr>
          <w:t>2024</w:t>
        </w:r>
      </w:hyperlink>
      <w:hyperlink r:id="rId18" w:history="1">
        <w:r w:rsidR="00773D9B" w:rsidRPr="00773D9B">
          <w:rPr>
            <w:rStyle w:val="Hyperlink"/>
            <w:rFonts w:ascii="Times New Roman" w:hAnsi="Times New Roman" w:cs="Times New Roman"/>
            <w:kern w:val="0"/>
            <w:sz w:val="28"/>
            <w:szCs w:val="28"/>
            <w14:ligatures w14:val="none"/>
          </w:rPr>
          <w:t xml:space="preserve"> hybrid, full day, </w:t>
        </w:r>
      </w:hyperlink>
      <w:r w:rsidR="00773D9B" w:rsidRPr="00773D9B">
        <w:rPr>
          <w:rFonts w:ascii="Times New Roman" w:hAnsi="Times New Roman" w:cs="Times New Roman"/>
          <w:kern w:val="0"/>
          <w:sz w:val="28"/>
          <w:szCs w:val="28"/>
          <w14:ligatures w14:val="none"/>
        </w:rPr>
        <w:t>during ESIG Fall Workshop, Providence, RI</w:t>
      </w:r>
      <w:r w:rsidR="00773D9B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, focusing on </w:t>
      </w:r>
      <w:r w:rsidR="00773D9B" w:rsidRPr="00773D9B">
        <w:rPr>
          <w:rFonts w:ascii="Times New Roman" w:hAnsi="Times New Roman" w:cs="Times New Roman"/>
          <w:kern w:val="0"/>
          <w:sz w:val="28"/>
          <w:szCs w:val="28"/>
          <w14:ligatures w14:val="none"/>
        </w:rPr>
        <w:t>Conformity Assessment</w:t>
      </w:r>
      <w:r w:rsidR="00773D9B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of IBR plants with applicable interconnection requirements (going through portions of </w:t>
      </w:r>
      <w:r w:rsidR="004E1948">
        <w:rPr>
          <w:rFonts w:ascii="Times New Roman" w:hAnsi="Times New Roman" w:cs="Times New Roman"/>
          <w:kern w:val="0"/>
          <w:sz w:val="28"/>
          <w:szCs w:val="28"/>
          <w14:ligatures w14:val="none"/>
        </w:rPr>
        <w:t>IEEE P2800.2 draft)</w:t>
      </w:r>
    </w:p>
    <w:p w14:paraId="2874F5BD" w14:textId="7236E7AF" w:rsidR="00765F99" w:rsidRPr="00A6194F" w:rsidRDefault="004E1948" w:rsidP="00A6194F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In October </w:t>
      </w:r>
      <w:r w:rsidR="00773D9B" w:rsidRPr="00773D9B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ESIG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held a </w:t>
      </w:r>
      <w:r w:rsidR="00773D9B" w:rsidRPr="00773D9B">
        <w:rPr>
          <w:rFonts w:ascii="Times New Roman" w:hAnsi="Times New Roman" w:cs="Times New Roman"/>
          <w:kern w:val="0"/>
          <w:sz w:val="28"/>
          <w:szCs w:val="28"/>
          <w14:ligatures w14:val="none"/>
        </w:rPr>
        <w:t>Fall Workshop, Providence, RI</w:t>
      </w:r>
      <w:r w:rsidR="00F94CB6">
        <w:rPr>
          <w:rFonts w:ascii="Times New Roman" w:hAnsi="Times New Roman" w:cs="Times New Roman"/>
          <w:kern w:val="0"/>
          <w:sz w:val="28"/>
          <w:szCs w:val="28"/>
          <w14:ligatures w14:val="none"/>
        </w:rPr>
        <w:t>. Four sessions rel</w:t>
      </w:r>
      <w:r w:rsidR="0092335B">
        <w:rPr>
          <w:rFonts w:ascii="Times New Roman" w:hAnsi="Times New Roman" w:cs="Times New Roman"/>
          <w:kern w:val="0"/>
          <w:sz w:val="28"/>
          <w:szCs w:val="28"/>
          <w14:ligatures w14:val="none"/>
        </w:rPr>
        <w:t>evant for IBRWG scope, focused on EMT, high share of IBRs, Grid Forming</w:t>
      </w:r>
      <w:r w:rsidR="0083335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and Large Load </w:t>
      </w:r>
      <w:proofErr w:type="spellStart"/>
      <w:r w:rsidR="00833358">
        <w:rPr>
          <w:rFonts w:ascii="Times New Roman" w:hAnsi="Times New Roman" w:cs="Times New Roman"/>
          <w:kern w:val="0"/>
          <w:sz w:val="28"/>
          <w:szCs w:val="28"/>
          <w14:ligatures w14:val="none"/>
        </w:rPr>
        <w:t>ineterconnection</w:t>
      </w:r>
      <w:proofErr w:type="spellEnd"/>
      <w:r w:rsidR="00F94CB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(see slides 12-13). </w:t>
      </w:r>
      <w:r w:rsidR="00F94CB6" w:rsidRPr="00F94CB6">
        <w:rPr>
          <w:rFonts w:ascii="Times New Roman" w:hAnsi="Times New Roman" w:cs="Times New Roman"/>
          <w:kern w:val="0"/>
          <w:sz w:val="28"/>
          <w:szCs w:val="28"/>
          <w14:ligatures w14:val="none"/>
        </w:rPr>
        <w:t>Recordings of workshop sessions are </w:t>
      </w:r>
      <w:hyperlink r:id="rId19" w:history="1">
        <w:r w:rsidR="00F94CB6" w:rsidRPr="00F94CB6">
          <w:rPr>
            <w:rStyle w:val="Hyperlink"/>
            <w:rFonts w:ascii="Times New Roman" w:hAnsi="Times New Roman" w:cs="Times New Roman"/>
            <w:kern w:val="0"/>
            <w:sz w:val="28"/>
            <w:szCs w:val="28"/>
            <w14:ligatures w14:val="none"/>
          </w:rPr>
          <w:t>now available on the ESIG YouTube Channel</w:t>
        </w:r>
      </w:hyperlink>
      <w:r w:rsidR="0092335B"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</w:p>
    <w:sectPr w:rsidR="00765F99" w:rsidRPr="00A619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95BC2"/>
    <w:multiLevelType w:val="hybridMultilevel"/>
    <w:tmpl w:val="D4E4E48E"/>
    <w:lvl w:ilvl="0" w:tplc="BE6020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5EB9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2C1C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30A2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B6D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D677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8A0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DE0C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06C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74D7556"/>
    <w:multiLevelType w:val="hybridMultilevel"/>
    <w:tmpl w:val="F000E15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C37279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064A0"/>
    <w:multiLevelType w:val="hybridMultilevel"/>
    <w:tmpl w:val="2E32A09A"/>
    <w:lvl w:ilvl="0" w:tplc="C7382F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A4E2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CE8F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3A42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986A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5ABE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EC1D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B6BF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E247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F7726"/>
    <w:multiLevelType w:val="hybridMultilevel"/>
    <w:tmpl w:val="8DC2DF4C"/>
    <w:lvl w:ilvl="0" w:tplc="F68C06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1066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50B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DE28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C0B6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2AFD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4C31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8E15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A2DD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D61AB"/>
    <w:multiLevelType w:val="hybridMultilevel"/>
    <w:tmpl w:val="FB00D1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A736F"/>
    <w:multiLevelType w:val="hybridMultilevel"/>
    <w:tmpl w:val="6D749D86"/>
    <w:lvl w:ilvl="0" w:tplc="BB2AA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DC12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D65E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242C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18B9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CCF3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28FB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28A3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8254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E57AEB"/>
    <w:multiLevelType w:val="hybridMultilevel"/>
    <w:tmpl w:val="A0C63C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4C51E2"/>
    <w:multiLevelType w:val="hybridMultilevel"/>
    <w:tmpl w:val="0BE21A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8731345">
    <w:abstractNumId w:val="4"/>
  </w:num>
  <w:num w:numId="2" w16cid:durableId="443354048">
    <w:abstractNumId w:val="7"/>
  </w:num>
  <w:num w:numId="3" w16cid:durableId="327945492">
    <w:abstractNumId w:val="2"/>
  </w:num>
  <w:num w:numId="4" w16cid:durableId="1254169350">
    <w:abstractNumId w:val="6"/>
  </w:num>
  <w:num w:numId="5" w16cid:durableId="726223235">
    <w:abstractNumId w:val="3"/>
  </w:num>
  <w:num w:numId="6" w16cid:durableId="1418747488">
    <w:abstractNumId w:val="0"/>
  </w:num>
  <w:num w:numId="7" w16cid:durableId="163984290">
    <w:abstractNumId w:val="5"/>
  </w:num>
  <w:num w:numId="8" w16cid:durableId="6301338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AF"/>
    <w:rsid w:val="00001BED"/>
    <w:rsid w:val="00002EE8"/>
    <w:rsid w:val="00003FB9"/>
    <w:rsid w:val="000072F8"/>
    <w:rsid w:val="00010054"/>
    <w:rsid w:val="000348A7"/>
    <w:rsid w:val="000601BA"/>
    <w:rsid w:val="00064BE5"/>
    <w:rsid w:val="00070DAB"/>
    <w:rsid w:val="00073413"/>
    <w:rsid w:val="00084FA8"/>
    <w:rsid w:val="000903BA"/>
    <w:rsid w:val="000927CD"/>
    <w:rsid w:val="00092835"/>
    <w:rsid w:val="000934F8"/>
    <w:rsid w:val="000A2E37"/>
    <w:rsid w:val="000A3CA4"/>
    <w:rsid w:val="000C42C3"/>
    <w:rsid w:val="000D7D01"/>
    <w:rsid w:val="000E111F"/>
    <w:rsid w:val="0010035B"/>
    <w:rsid w:val="00110420"/>
    <w:rsid w:val="001138B3"/>
    <w:rsid w:val="001258BD"/>
    <w:rsid w:val="00141E54"/>
    <w:rsid w:val="0015686E"/>
    <w:rsid w:val="00163370"/>
    <w:rsid w:val="00183B72"/>
    <w:rsid w:val="00195A6B"/>
    <w:rsid w:val="001B00A6"/>
    <w:rsid w:val="001F028B"/>
    <w:rsid w:val="001F1CEA"/>
    <w:rsid w:val="00212937"/>
    <w:rsid w:val="002378A5"/>
    <w:rsid w:val="00245AE3"/>
    <w:rsid w:val="00272FAE"/>
    <w:rsid w:val="00291C74"/>
    <w:rsid w:val="002A7A50"/>
    <w:rsid w:val="002D4213"/>
    <w:rsid w:val="002E5C82"/>
    <w:rsid w:val="002E7F9C"/>
    <w:rsid w:val="002F0035"/>
    <w:rsid w:val="002F4BBA"/>
    <w:rsid w:val="002F5D2F"/>
    <w:rsid w:val="00300EAF"/>
    <w:rsid w:val="00301F9B"/>
    <w:rsid w:val="00302C51"/>
    <w:rsid w:val="00330C50"/>
    <w:rsid w:val="00333835"/>
    <w:rsid w:val="003338B4"/>
    <w:rsid w:val="003401B1"/>
    <w:rsid w:val="00350E20"/>
    <w:rsid w:val="0037393A"/>
    <w:rsid w:val="00391C1D"/>
    <w:rsid w:val="003A7016"/>
    <w:rsid w:val="003A7281"/>
    <w:rsid w:val="003B3D91"/>
    <w:rsid w:val="003C041D"/>
    <w:rsid w:val="003D5BD3"/>
    <w:rsid w:val="003E0170"/>
    <w:rsid w:val="004027C3"/>
    <w:rsid w:val="00410AD0"/>
    <w:rsid w:val="004138B9"/>
    <w:rsid w:val="00413929"/>
    <w:rsid w:val="004201AD"/>
    <w:rsid w:val="004318D9"/>
    <w:rsid w:val="00457947"/>
    <w:rsid w:val="004A6EB2"/>
    <w:rsid w:val="004C3A84"/>
    <w:rsid w:val="004E1948"/>
    <w:rsid w:val="004F2C35"/>
    <w:rsid w:val="004F69BA"/>
    <w:rsid w:val="00502037"/>
    <w:rsid w:val="00557AA5"/>
    <w:rsid w:val="00564403"/>
    <w:rsid w:val="00564E8D"/>
    <w:rsid w:val="00570607"/>
    <w:rsid w:val="00583640"/>
    <w:rsid w:val="005848CD"/>
    <w:rsid w:val="005931AE"/>
    <w:rsid w:val="005B1D88"/>
    <w:rsid w:val="005D5CDE"/>
    <w:rsid w:val="005E167E"/>
    <w:rsid w:val="005F3AF6"/>
    <w:rsid w:val="005F68AB"/>
    <w:rsid w:val="00627E3F"/>
    <w:rsid w:val="006373A2"/>
    <w:rsid w:val="00643BD2"/>
    <w:rsid w:val="00645E51"/>
    <w:rsid w:val="00660D71"/>
    <w:rsid w:val="006879B5"/>
    <w:rsid w:val="006906F9"/>
    <w:rsid w:val="006A64E8"/>
    <w:rsid w:val="006A6AC7"/>
    <w:rsid w:val="006B7300"/>
    <w:rsid w:val="006D2155"/>
    <w:rsid w:val="006D62EB"/>
    <w:rsid w:val="006E6B6B"/>
    <w:rsid w:val="006F1AC3"/>
    <w:rsid w:val="006F6AB4"/>
    <w:rsid w:val="00702CAC"/>
    <w:rsid w:val="00765F99"/>
    <w:rsid w:val="007723F4"/>
    <w:rsid w:val="00773D9B"/>
    <w:rsid w:val="00775427"/>
    <w:rsid w:val="00775834"/>
    <w:rsid w:val="00795968"/>
    <w:rsid w:val="007B1122"/>
    <w:rsid w:val="007B4CF5"/>
    <w:rsid w:val="007B5892"/>
    <w:rsid w:val="007E0B77"/>
    <w:rsid w:val="007F4041"/>
    <w:rsid w:val="0082779E"/>
    <w:rsid w:val="00833358"/>
    <w:rsid w:val="00834C4C"/>
    <w:rsid w:val="00837910"/>
    <w:rsid w:val="008560A4"/>
    <w:rsid w:val="0085610F"/>
    <w:rsid w:val="00873DAE"/>
    <w:rsid w:val="00877BD7"/>
    <w:rsid w:val="00880BFF"/>
    <w:rsid w:val="00894EEF"/>
    <w:rsid w:val="008C0C44"/>
    <w:rsid w:val="008C2FD5"/>
    <w:rsid w:val="008C48FA"/>
    <w:rsid w:val="008C4EE0"/>
    <w:rsid w:val="008F47A9"/>
    <w:rsid w:val="008F7062"/>
    <w:rsid w:val="00901535"/>
    <w:rsid w:val="00903BCF"/>
    <w:rsid w:val="00903CE3"/>
    <w:rsid w:val="009069AD"/>
    <w:rsid w:val="0091795B"/>
    <w:rsid w:val="0092335B"/>
    <w:rsid w:val="00926DB3"/>
    <w:rsid w:val="0093710C"/>
    <w:rsid w:val="00964112"/>
    <w:rsid w:val="009647CA"/>
    <w:rsid w:val="00977860"/>
    <w:rsid w:val="009A29E1"/>
    <w:rsid w:val="009A3ADA"/>
    <w:rsid w:val="009B0176"/>
    <w:rsid w:val="009B079C"/>
    <w:rsid w:val="009B1EFC"/>
    <w:rsid w:val="009B2821"/>
    <w:rsid w:val="009B353D"/>
    <w:rsid w:val="009C3312"/>
    <w:rsid w:val="009D019B"/>
    <w:rsid w:val="009E20F9"/>
    <w:rsid w:val="009F6F79"/>
    <w:rsid w:val="00A015C7"/>
    <w:rsid w:val="00A05F48"/>
    <w:rsid w:val="00A214BA"/>
    <w:rsid w:val="00A22925"/>
    <w:rsid w:val="00A24BAA"/>
    <w:rsid w:val="00A30E9B"/>
    <w:rsid w:val="00A362F2"/>
    <w:rsid w:val="00A563EA"/>
    <w:rsid w:val="00A613A6"/>
    <w:rsid w:val="00A6194F"/>
    <w:rsid w:val="00A65F87"/>
    <w:rsid w:val="00A72C45"/>
    <w:rsid w:val="00A77203"/>
    <w:rsid w:val="00A836A2"/>
    <w:rsid w:val="00AA2CAC"/>
    <w:rsid w:val="00AA4EF1"/>
    <w:rsid w:val="00AA6E27"/>
    <w:rsid w:val="00AD69AC"/>
    <w:rsid w:val="00B021AF"/>
    <w:rsid w:val="00B314EC"/>
    <w:rsid w:val="00B32A9F"/>
    <w:rsid w:val="00B35B8E"/>
    <w:rsid w:val="00B4067B"/>
    <w:rsid w:val="00B41A95"/>
    <w:rsid w:val="00B90C36"/>
    <w:rsid w:val="00BA130B"/>
    <w:rsid w:val="00BA4FE6"/>
    <w:rsid w:val="00BB570A"/>
    <w:rsid w:val="00BB5E5F"/>
    <w:rsid w:val="00BD68D5"/>
    <w:rsid w:val="00BE5B28"/>
    <w:rsid w:val="00BE7795"/>
    <w:rsid w:val="00BF13C1"/>
    <w:rsid w:val="00BF446A"/>
    <w:rsid w:val="00C00148"/>
    <w:rsid w:val="00C028E3"/>
    <w:rsid w:val="00C230D8"/>
    <w:rsid w:val="00C638CF"/>
    <w:rsid w:val="00C71463"/>
    <w:rsid w:val="00C738D5"/>
    <w:rsid w:val="00C96FB7"/>
    <w:rsid w:val="00C97F40"/>
    <w:rsid w:val="00CB33D2"/>
    <w:rsid w:val="00CB5DF9"/>
    <w:rsid w:val="00CD6F77"/>
    <w:rsid w:val="00CE02E5"/>
    <w:rsid w:val="00CF6EBB"/>
    <w:rsid w:val="00D00AA8"/>
    <w:rsid w:val="00D14FFD"/>
    <w:rsid w:val="00D21778"/>
    <w:rsid w:val="00D31B07"/>
    <w:rsid w:val="00D771DD"/>
    <w:rsid w:val="00D90BE5"/>
    <w:rsid w:val="00DC2965"/>
    <w:rsid w:val="00DE00B5"/>
    <w:rsid w:val="00DE67BA"/>
    <w:rsid w:val="00E024BC"/>
    <w:rsid w:val="00E057C9"/>
    <w:rsid w:val="00E11590"/>
    <w:rsid w:val="00E17742"/>
    <w:rsid w:val="00E3074B"/>
    <w:rsid w:val="00E30E84"/>
    <w:rsid w:val="00E502D6"/>
    <w:rsid w:val="00E509DD"/>
    <w:rsid w:val="00E618A8"/>
    <w:rsid w:val="00E65188"/>
    <w:rsid w:val="00E9203E"/>
    <w:rsid w:val="00EA4C2A"/>
    <w:rsid w:val="00EA5547"/>
    <w:rsid w:val="00EA61C7"/>
    <w:rsid w:val="00EE5E40"/>
    <w:rsid w:val="00EF0337"/>
    <w:rsid w:val="00EF7174"/>
    <w:rsid w:val="00F03B2B"/>
    <w:rsid w:val="00F10AF1"/>
    <w:rsid w:val="00F30E77"/>
    <w:rsid w:val="00F34222"/>
    <w:rsid w:val="00F379F1"/>
    <w:rsid w:val="00F515F1"/>
    <w:rsid w:val="00F5283B"/>
    <w:rsid w:val="00F55217"/>
    <w:rsid w:val="00F63FF4"/>
    <w:rsid w:val="00F72E17"/>
    <w:rsid w:val="00F832D7"/>
    <w:rsid w:val="00F94CB6"/>
    <w:rsid w:val="00F95432"/>
    <w:rsid w:val="00FA3CB5"/>
    <w:rsid w:val="00FB3D99"/>
    <w:rsid w:val="00FD1BFE"/>
    <w:rsid w:val="00FD3D7D"/>
    <w:rsid w:val="00FF102F"/>
    <w:rsid w:val="00FF275E"/>
    <w:rsid w:val="00FF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22D0E"/>
  <w15:chartTrackingRefBased/>
  <w15:docId w15:val="{F470AFFD-CB1F-452D-BA79-7E3A0B27B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0E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0E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0E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0E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0E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0E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0E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0E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0E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0E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0E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0E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0E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0E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0E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0E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0E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0E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0E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0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0E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0E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0E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0E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0E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0E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0E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0E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0EA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E111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11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5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897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803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7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061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530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95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11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18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805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6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306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10220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41428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soenergy.org/events/2024/planning-advisory-committee-pac---november-13-2024/" TargetMode="External"/><Relationship Id="rId13" Type="http://schemas.openxmlformats.org/officeDocument/2006/relationships/hyperlink" Target="https://www.esig.energy/generation-interconnection-project-team/" TargetMode="External"/><Relationship Id="rId18" Type="http://schemas.openxmlformats.org/officeDocument/2006/relationships/hyperlink" Target="https://www.esig.energy/event/i2x-first-hybrid-workshop-interconnection-standards-workshop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cdn.misoenergy.org/20241016%20PAC%20Item%2006d%20BPM-015-r29%20GI_GFM%20BESS%20REDLINE%20(PAC-2024-2)653141.docx" TargetMode="External"/><Relationship Id="rId12" Type="http://schemas.openxmlformats.org/officeDocument/2006/relationships/hyperlink" Target="https://www.esig.energy/generation-interconnection-project-team/" TargetMode="External"/><Relationship Id="rId17" Type="http://schemas.openxmlformats.org/officeDocument/2006/relationships/hyperlink" Target="https://www.esig.energy/event/i2x-first-hybrid-workshop-interconnection-standards-workshop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sig.energy/event/i2x-first-hybrid-workshop-interconnection-standards-workshop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cdn.misoenergy.org/20241016%20PAC%20Item%2006d%20Battery%20Energy%20Storage%20System%20Grid%20Forming%20Controls%20(PAC-2024-2)653147.pdf" TargetMode="External"/><Relationship Id="rId11" Type="http://schemas.openxmlformats.org/officeDocument/2006/relationships/hyperlink" Target="https://youtu.be/kMiTP_85WVg" TargetMode="External"/><Relationship Id="rId5" Type="http://schemas.openxmlformats.org/officeDocument/2006/relationships/hyperlink" Target="https://www.ercot.com/calendar/11152024-IBRWG-Meeting-_-Webex" TargetMode="External"/><Relationship Id="rId15" Type="http://schemas.openxmlformats.org/officeDocument/2006/relationships/hyperlink" Target="https://www.esig.energy/event/i2x-first-hybrid-workshop-interconnection-standards-workshop/" TargetMode="External"/><Relationship Id="rId10" Type="http://schemas.openxmlformats.org/officeDocument/2006/relationships/hyperlink" Target="https://www.esig.energy/download/g-pst-esig-webinar-gfm-technology-adoption-in-ercot-status-update/?wpdmdl=12349&amp;refresh=67348ca11a6111731497121" TargetMode="External"/><Relationship Id="rId19" Type="http://schemas.openxmlformats.org/officeDocument/2006/relationships/hyperlink" Target="https://youtube.com/playlist?list=PL4JBq4uH3yMJAp-pmwuCsGqgz_q2PGcRB&amp;si=FQmGPA70EiimMmh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rc.webex.com/webappng/sites/nerc/webinar/webinarSeries/register/669456158ed648bba90fdd46a52493f3" TargetMode="External"/><Relationship Id="rId14" Type="http://schemas.openxmlformats.org/officeDocument/2006/relationships/hyperlink" Target="https://www.esig.energy/event/i2x-first-hybrid-workshop-interconnection-standards-worksho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1218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Julia Matevosyan</cp:lastModifiedBy>
  <cp:revision>19</cp:revision>
  <dcterms:created xsi:type="dcterms:W3CDTF">2024-12-02T02:03:00Z</dcterms:created>
  <dcterms:modified xsi:type="dcterms:W3CDTF">2024-12-02T02:21:00Z</dcterms:modified>
</cp:coreProperties>
</file>