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73C1" w14:textId="298A0ECE" w:rsidR="001C768C" w:rsidRPr="0052783C" w:rsidRDefault="001C768C" w:rsidP="001C768C">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sidR="009C6AA2" w:rsidRPr="0052783C">
        <w:rPr>
          <w:rFonts w:ascii="Times New Roman" w:hAnsi="Times New Roman"/>
          <w:b/>
          <w:u w:val="single"/>
        </w:rPr>
        <w:t>1</w:t>
      </w:r>
      <w:r w:rsidRPr="0052783C">
        <w:rPr>
          <w:rFonts w:ascii="Times New Roman" w:hAnsi="Times New Roman"/>
          <w:b/>
          <w:u w:val="single"/>
        </w:rPr>
        <w:t>:</w:t>
      </w:r>
    </w:p>
    <w:p w14:paraId="5F681CE8" w14:textId="6B917746" w:rsidR="001C768C" w:rsidRPr="0052783C" w:rsidRDefault="001C768C" w:rsidP="001C768C">
      <w:pPr>
        <w:pStyle w:val="PRRHeader"/>
        <w:widowControl w:val="0"/>
        <w:spacing w:after="100" w:afterAutospacing="1"/>
        <w:ind w:left="720" w:firstLine="0"/>
      </w:pPr>
      <w:r w:rsidRPr="0052783C">
        <w:rPr>
          <w:lang w:val="en-US"/>
        </w:rPr>
        <w:t>NPRR1</w:t>
      </w:r>
      <w:r w:rsidR="009C6AA2" w:rsidRPr="0052783C">
        <w:rPr>
          <w:lang w:val="en-US"/>
        </w:rPr>
        <w:t>188</w:t>
      </w:r>
      <w:r w:rsidRPr="0052783C">
        <w:rPr>
          <w:lang w:val="en-US"/>
        </w:rPr>
        <w:t xml:space="preserve"> – </w:t>
      </w:r>
      <w:r w:rsidR="009C6AA2" w:rsidRPr="0052783C">
        <w:t>Implement Nodal Dispatch and Energy Settlement for Controllable Load Resources</w:t>
      </w:r>
    </w:p>
    <w:p w14:paraId="3829DD74" w14:textId="3617EAC7" w:rsidR="001C768C" w:rsidRPr="0052783C" w:rsidRDefault="001C768C" w:rsidP="001C768C">
      <w:pPr>
        <w:pStyle w:val="PRRHeader"/>
        <w:widowControl w:val="0"/>
        <w:spacing w:after="100" w:afterAutospacing="1"/>
        <w:ind w:left="1152" w:firstLine="0"/>
        <w:rPr>
          <w:b w:val="0"/>
          <w:lang w:val="en-US"/>
        </w:rPr>
      </w:pPr>
      <w:r w:rsidRPr="0052783C">
        <w:rPr>
          <w:b w:val="0"/>
          <w:lang w:val="en-US"/>
        </w:rPr>
        <w:t xml:space="preserve">This Nodal Protocol Revision Request (NPRR) </w:t>
      </w:r>
      <w:r w:rsidR="009C6AA2" w:rsidRPr="0052783C">
        <w:rPr>
          <w:b w:val="0"/>
          <w:lang w:val="en-US"/>
        </w:rPr>
        <w:t>changes the dispatch and pricing of Controllable Load Resources (CLRs) in response to items in Phase 1 of Public Utility Commission of Texas’ (PUCT’s) market design blueprint related to demand response and increasing the “...utilization of load resources for grid reliability”. Specifically, this NPRR is focused on the blueprint language discussing the pursuit of “…market modifications and technical measures to improve transparency of price signals for load resources, such as changing demand response pricing from zonal to locational marginal pricing (LMP)”.  To address the above directive from the PUCT, this NPRR changes the market participation model for CLRs that are not Aggregate Load Resources (ALRs) such that they are dispatched at a nodal shift factor and settled for their energy consumption at a nodal price</w:t>
      </w:r>
      <w:r w:rsidR="005B6519" w:rsidRPr="0052783C">
        <w:rPr>
          <w:b w:val="0"/>
          <w:lang w:val="en-US"/>
        </w:rPr>
        <w:t>.</w:t>
      </w:r>
    </w:p>
    <w:p w14:paraId="39217791" w14:textId="76076BA1" w:rsidR="001C768C" w:rsidRPr="0052783C" w:rsidRDefault="001C768C" w:rsidP="001C768C">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w:t>
      </w:r>
      <w:r w:rsidR="009C6AA2" w:rsidRPr="0052783C">
        <w:t>1.3.1.1</w:t>
      </w:r>
      <w:r w:rsidR="008E2C3C" w:rsidRPr="0052783C">
        <w:rPr>
          <w:lang w:val="en-US"/>
        </w:rPr>
        <w:t xml:space="preserve"> [effective upon system implementation]</w:t>
      </w:r>
    </w:p>
    <w:p w14:paraId="3F4F1CF5" w14:textId="562F94F8" w:rsidR="009C6AA2" w:rsidRPr="0052783C" w:rsidRDefault="009C6AA2" w:rsidP="009C6AA2">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2:</w:t>
      </w:r>
    </w:p>
    <w:p w14:paraId="0F0DD8C2" w14:textId="77777777" w:rsidR="009C6AA2" w:rsidRPr="0052783C" w:rsidRDefault="009C6AA2" w:rsidP="009C6AA2">
      <w:pPr>
        <w:pStyle w:val="PRRHeader"/>
        <w:widowControl w:val="0"/>
        <w:spacing w:after="100" w:afterAutospacing="1"/>
        <w:ind w:left="720" w:firstLine="0"/>
      </w:pPr>
      <w:r w:rsidRPr="0052783C">
        <w:rPr>
          <w:lang w:val="en-US"/>
        </w:rPr>
        <w:t xml:space="preserve">NPRR1188 – </w:t>
      </w:r>
      <w:r w:rsidRPr="0052783C">
        <w:t>Implement Nodal Dispatch and Energy Settlement for Controllable Load Resources</w:t>
      </w:r>
    </w:p>
    <w:p w14:paraId="4522DBAF" w14:textId="4B65FC83" w:rsidR="009C6AA2" w:rsidRPr="0052783C" w:rsidRDefault="009C6AA2" w:rsidP="009C6AA2">
      <w:pPr>
        <w:pStyle w:val="PRRHeader"/>
        <w:widowControl w:val="0"/>
        <w:spacing w:after="100" w:afterAutospacing="1"/>
        <w:ind w:left="1152" w:firstLine="0"/>
        <w:rPr>
          <w:b w:val="0"/>
          <w:i/>
          <w:lang w:val="en-US"/>
        </w:rPr>
      </w:pPr>
      <w:r w:rsidRPr="0052783C">
        <w:rPr>
          <w:b w:val="0"/>
          <w:i/>
          <w:lang w:val="en-US"/>
        </w:rPr>
        <w:t>See Section 1 above.</w:t>
      </w:r>
    </w:p>
    <w:p w14:paraId="6552A1F6" w14:textId="1793893D" w:rsidR="009C6AA2" w:rsidRPr="0052783C" w:rsidRDefault="009C6AA2" w:rsidP="009C6AA2">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Pr="0052783C">
        <w:t xml:space="preserve">2.1 </w:t>
      </w:r>
      <w:r w:rsidRPr="0052783C">
        <w:rPr>
          <w:lang w:val="en-US"/>
        </w:rPr>
        <w:t>[effective upon system implementation] and 2.2</w:t>
      </w:r>
    </w:p>
    <w:p w14:paraId="59F5CDA2" w14:textId="40F2B9BE" w:rsidR="00036326" w:rsidRPr="0052783C" w:rsidRDefault="00036326" w:rsidP="00036326">
      <w:pPr>
        <w:pStyle w:val="PRRHeader"/>
        <w:widowControl w:val="0"/>
        <w:spacing w:after="100" w:afterAutospacing="1"/>
        <w:ind w:left="720" w:firstLine="0"/>
      </w:pPr>
      <w:r w:rsidRPr="0052783C">
        <w:rPr>
          <w:lang w:val="en-US"/>
        </w:rPr>
        <w:t xml:space="preserve">NPRR1227 – </w:t>
      </w:r>
      <w:r w:rsidRPr="0052783C">
        <w:t>Related to RMGRR181, Alignment of Defined Term Usage and Resolution of Inconsistencies</w:t>
      </w:r>
    </w:p>
    <w:p w14:paraId="45DE9D70" w14:textId="48586228" w:rsidR="00036326" w:rsidRPr="0052783C" w:rsidRDefault="00036326" w:rsidP="00036326">
      <w:pPr>
        <w:pStyle w:val="PRRHeader"/>
        <w:widowControl w:val="0"/>
        <w:spacing w:after="100" w:afterAutospacing="1"/>
        <w:ind w:left="1152" w:firstLine="0"/>
        <w:rPr>
          <w:b w:val="0"/>
          <w:lang w:val="en-US"/>
        </w:rPr>
      </w:pPr>
      <w:r w:rsidRPr="0052783C">
        <w:rPr>
          <w:b w:val="0"/>
          <w:lang w:val="en-US"/>
        </w:rPr>
        <w:t>This Nodal Protocol Revision Request (NPRR)</w:t>
      </w:r>
      <w:r w:rsidRPr="0052783C">
        <w:t xml:space="preserve"> </w:t>
      </w:r>
      <w:r w:rsidRPr="0052783C">
        <w:rPr>
          <w:b w:val="0"/>
          <w:lang w:val="en-US"/>
        </w:rPr>
        <w:t>aligns defined term usage in the Protocols with Section 2.1 and adds five definitions (‘Acquisition Transfer’, ‘Decision’, ‘Effective Date’, ‘Gaining Competitive Retailer (CR)’, and ‘Losing Competitive Retailer (CR)’) that were previously located in Retail Market Guide Sections 2.1, Definitions, and 7.11.2, Acquisition and Transfer of Customers from one Retail Electric Provider to Another. This NPRR also replaces the broadly titled terms ‘Decision’ and ‘Effective Date’ with the specific terms ‘Mass Transition Decision’, ‘Acquisition Transfer Decision’, ‘Mass Transition Effective Date’, and ‘Acquisition Transfer Effective Date’ to provide additional clarity. Finally, this NPRR expands the definitions of Gaining Competitive Retailer (CR) and Losing Competitive Retailer (CR) to apply beyond the Mass Transition and Acquisition Transfer processes.</w:t>
      </w:r>
    </w:p>
    <w:p w14:paraId="084AA683" w14:textId="7F35A106" w:rsidR="00036326" w:rsidRPr="0052783C" w:rsidRDefault="00036326" w:rsidP="00036326">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2.1</w:t>
      </w:r>
    </w:p>
    <w:p w14:paraId="32D172DC" w14:textId="3F98342A" w:rsidR="005B6519" w:rsidRPr="0052783C" w:rsidRDefault="005B6519" w:rsidP="005B6519">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3:</w:t>
      </w:r>
    </w:p>
    <w:p w14:paraId="1D4A1B82" w14:textId="77777777" w:rsidR="009C6AA2" w:rsidRPr="0052783C" w:rsidRDefault="009C6AA2" w:rsidP="009C6AA2">
      <w:pPr>
        <w:pStyle w:val="PRRHeader"/>
        <w:widowControl w:val="0"/>
        <w:spacing w:after="100" w:afterAutospacing="1"/>
        <w:ind w:left="720" w:firstLine="0"/>
      </w:pPr>
      <w:r w:rsidRPr="0052783C">
        <w:rPr>
          <w:lang w:val="en-US"/>
        </w:rPr>
        <w:lastRenderedPageBreak/>
        <w:t xml:space="preserve">NPRR1188 – </w:t>
      </w:r>
      <w:r w:rsidRPr="0052783C">
        <w:t>Implement Nodal Dispatch and Energy Settlement for Controllable Load Resources</w:t>
      </w:r>
    </w:p>
    <w:p w14:paraId="3F0DF982" w14:textId="4C28032A" w:rsidR="009C6AA2" w:rsidRPr="0052783C" w:rsidRDefault="009C6AA2" w:rsidP="009C6AA2">
      <w:pPr>
        <w:pStyle w:val="PRRHeader"/>
        <w:widowControl w:val="0"/>
        <w:spacing w:after="100" w:afterAutospacing="1"/>
        <w:ind w:left="1152" w:firstLine="0"/>
        <w:rPr>
          <w:b w:val="0"/>
          <w:i/>
          <w:lang w:val="en-US"/>
        </w:rPr>
      </w:pPr>
      <w:r w:rsidRPr="0052783C">
        <w:rPr>
          <w:b w:val="0"/>
          <w:i/>
          <w:lang w:val="en-US"/>
        </w:rPr>
        <w:t>See Section 1 above.</w:t>
      </w:r>
    </w:p>
    <w:p w14:paraId="1629BB4F" w14:textId="00C3C2B7" w:rsidR="009C6AA2" w:rsidRPr="0052783C" w:rsidRDefault="009C6AA2" w:rsidP="009C6AA2">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Pr="0052783C">
        <w:t xml:space="preserve">3.2.5, 3.6.1, and 3.9.1 </w:t>
      </w:r>
      <w:r w:rsidRPr="0052783C">
        <w:rPr>
          <w:lang w:val="en-US"/>
        </w:rPr>
        <w:t>[effective upon system implementation]</w:t>
      </w:r>
    </w:p>
    <w:p w14:paraId="611BD4AB" w14:textId="4CFBE252" w:rsidR="00CB2785" w:rsidRPr="0052783C" w:rsidRDefault="00CB2785" w:rsidP="00CB2785">
      <w:pPr>
        <w:pStyle w:val="PRRHeader"/>
        <w:widowControl w:val="0"/>
        <w:spacing w:after="100" w:afterAutospacing="1"/>
        <w:ind w:left="720" w:firstLine="0"/>
      </w:pPr>
      <w:r w:rsidRPr="0052783C">
        <w:rPr>
          <w:lang w:val="en-US"/>
        </w:rPr>
        <w:t xml:space="preserve">NPRR1244 – </w:t>
      </w:r>
      <w:r w:rsidRPr="0052783C">
        <w:t>Clarification of Controllable Load Resource Primary Frequency Response Responsibilities</w:t>
      </w:r>
    </w:p>
    <w:p w14:paraId="03BA7E90" w14:textId="0A4F27A8" w:rsidR="00CB2785" w:rsidRPr="0052783C" w:rsidRDefault="00CB2785" w:rsidP="00CB2785">
      <w:pPr>
        <w:pStyle w:val="PRRHeader"/>
        <w:widowControl w:val="0"/>
        <w:spacing w:after="100" w:afterAutospacing="1"/>
        <w:ind w:left="1152" w:firstLine="0"/>
        <w:rPr>
          <w:b w:val="0"/>
          <w:lang w:val="en-US"/>
        </w:rPr>
      </w:pPr>
      <w:r w:rsidRPr="0052783C">
        <w:rPr>
          <w:b w:val="0"/>
          <w:lang w:val="en-US"/>
        </w:rPr>
        <w:t xml:space="preserve">This Nodal Protocol Revision Request (NPRR) aligns provisions regarding eligibility of a Controllable Load Resource that is not providing Primary Frequency Response to provide ERCOT Contingency Reserve Service (ECRS), and the calculation of Physical Responsive Capability (PRC) to include only the capacity of Controllable Load Resources when they are qualified to provide Regulation Service and/or Responsive Reserve (RRS) which requires the Controllable Load Resource to be capable of providing </w:t>
      </w:r>
      <w:r w:rsidR="00CC0632">
        <w:rPr>
          <w:b w:val="0"/>
          <w:lang w:val="en-US"/>
        </w:rPr>
        <w:t>Primary Frequency Response</w:t>
      </w:r>
      <w:r w:rsidRPr="0052783C">
        <w:rPr>
          <w:b w:val="0"/>
          <w:lang w:val="en-US"/>
        </w:rPr>
        <w:t>.</w:t>
      </w:r>
    </w:p>
    <w:p w14:paraId="24961702" w14:textId="60A8D06B" w:rsidR="00CB2785" w:rsidRPr="0052783C" w:rsidRDefault="00CB2785" w:rsidP="006A3620">
      <w:pPr>
        <w:pStyle w:val="PRRHeader"/>
        <w:widowControl w:val="0"/>
        <w:spacing w:after="100" w:afterAutospacing="1"/>
        <w:ind w:left="720" w:firstLine="0"/>
      </w:pPr>
      <w:r w:rsidRPr="0052783C">
        <w:rPr>
          <w:rFonts w:cs="Arial"/>
          <w:bCs w:val="0"/>
          <w:szCs w:val="20"/>
        </w:rPr>
        <w:t>Revised</w:t>
      </w:r>
      <w:r w:rsidRPr="0052783C">
        <w:t xml:space="preserve"> Subsection:</w:t>
      </w:r>
      <w:r w:rsidRPr="0052783C">
        <w:rPr>
          <w:lang w:val="en-US"/>
        </w:rPr>
        <w:t xml:space="preserve">  3.6.1</w:t>
      </w:r>
      <w:r w:rsidR="006A3620" w:rsidRPr="0052783C">
        <w:t xml:space="preserve"> </w:t>
      </w:r>
      <w:r w:rsidR="006A3620" w:rsidRPr="0052783C">
        <w:rPr>
          <w:lang w:val="en-US"/>
        </w:rPr>
        <w:t>[effective upon system implementation]</w:t>
      </w:r>
    </w:p>
    <w:p w14:paraId="0E207229" w14:textId="43043126" w:rsidR="009C6AA2" w:rsidRPr="0052783C" w:rsidRDefault="009C6AA2" w:rsidP="009C6AA2">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4:</w:t>
      </w:r>
    </w:p>
    <w:p w14:paraId="0DC84226" w14:textId="77777777" w:rsidR="009C6AA2" w:rsidRPr="0052783C" w:rsidRDefault="009C6AA2" w:rsidP="009C6AA2">
      <w:pPr>
        <w:pStyle w:val="PRRHeader"/>
        <w:widowControl w:val="0"/>
        <w:spacing w:after="100" w:afterAutospacing="1"/>
        <w:ind w:left="720" w:firstLine="0"/>
      </w:pPr>
      <w:r w:rsidRPr="0052783C">
        <w:rPr>
          <w:lang w:val="en-US"/>
        </w:rPr>
        <w:t xml:space="preserve">NPRR1188 – </w:t>
      </w:r>
      <w:r w:rsidRPr="0052783C">
        <w:t>Implement Nodal Dispatch and Energy Settlement for Controllable Load Resources</w:t>
      </w:r>
    </w:p>
    <w:p w14:paraId="569E6892" w14:textId="77777777" w:rsidR="009C6AA2" w:rsidRPr="0052783C" w:rsidRDefault="009C6AA2" w:rsidP="009C6AA2">
      <w:pPr>
        <w:pStyle w:val="PRRHeader"/>
        <w:widowControl w:val="0"/>
        <w:spacing w:after="100" w:afterAutospacing="1"/>
        <w:ind w:left="1152" w:firstLine="0"/>
        <w:rPr>
          <w:b w:val="0"/>
          <w:i/>
          <w:lang w:val="en-US"/>
        </w:rPr>
      </w:pPr>
      <w:r w:rsidRPr="0052783C">
        <w:rPr>
          <w:b w:val="0"/>
          <w:i/>
          <w:lang w:val="en-US"/>
        </w:rPr>
        <w:t>See Section 1 above.</w:t>
      </w:r>
    </w:p>
    <w:p w14:paraId="161E8ECB" w14:textId="07143021" w:rsidR="009C6AA2" w:rsidRPr="0052783C" w:rsidRDefault="009C6AA2" w:rsidP="009C6AA2">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Pr="0052783C">
        <w:t>4.2.4, 4.4.7.2, 4.4.9.8</w:t>
      </w:r>
      <w:r w:rsidR="009B775F" w:rsidRPr="0052783C">
        <w:t xml:space="preserve"> (new)</w:t>
      </w:r>
      <w:r w:rsidRPr="0052783C">
        <w:t>, 4.4.9.8.1</w:t>
      </w:r>
      <w:r w:rsidR="009B775F" w:rsidRPr="0052783C">
        <w:t xml:space="preserve"> (new)</w:t>
      </w:r>
      <w:r w:rsidRPr="0052783C">
        <w:t>, 4.4.9.8.2</w:t>
      </w:r>
      <w:r w:rsidR="009B775F" w:rsidRPr="0052783C">
        <w:t xml:space="preserve"> (new)</w:t>
      </w:r>
      <w:r w:rsidRPr="0052783C">
        <w:t xml:space="preserve">, 4.4.10, 4.5.1, 4.5.3, 4.6.2.2, and 4.6.2.3.2 </w:t>
      </w:r>
      <w:r w:rsidRPr="0052783C">
        <w:rPr>
          <w:lang w:val="en-US"/>
        </w:rPr>
        <w:t>[effective upon system implementation]</w:t>
      </w:r>
    </w:p>
    <w:p w14:paraId="7B50024D" w14:textId="4472E98A" w:rsidR="00C0492B" w:rsidRPr="0052783C" w:rsidRDefault="00C0492B" w:rsidP="00C0492B">
      <w:pPr>
        <w:pStyle w:val="PRRHeader"/>
        <w:widowControl w:val="0"/>
        <w:spacing w:after="100" w:afterAutospacing="1"/>
        <w:ind w:left="720" w:firstLine="0"/>
      </w:pPr>
      <w:r w:rsidRPr="0052783C">
        <w:rPr>
          <w:lang w:val="en-US"/>
        </w:rPr>
        <w:t xml:space="preserve">NPRR1215 – </w:t>
      </w:r>
      <w:r w:rsidRPr="0052783C">
        <w:t>Clarifications to the Day-Ahead Market (DAM) Energy-Only Offer Calculation</w:t>
      </w:r>
    </w:p>
    <w:p w14:paraId="47752BE6" w14:textId="2201A799" w:rsidR="00C0492B" w:rsidRPr="0052783C" w:rsidRDefault="00C0492B" w:rsidP="00C0492B">
      <w:pPr>
        <w:pStyle w:val="PRRHeader"/>
        <w:widowControl w:val="0"/>
        <w:spacing w:after="100" w:afterAutospacing="1"/>
        <w:ind w:left="1152" w:firstLine="0"/>
        <w:rPr>
          <w:b w:val="0"/>
          <w:lang w:val="en-US"/>
        </w:rPr>
      </w:pPr>
      <w:r w:rsidRPr="0052783C">
        <w:rPr>
          <w:b w:val="0"/>
          <w:lang w:val="en-US"/>
        </w:rPr>
        <w:t xml:space="preserve">This Nodal Protocol Revision Request (NPRR) clarifies that the Day-Ahead Market (DAM) Energy-Only Offer credit exposure calculation zeros out negative values, with any zeroed-out values being included in the calculation of the </w:t>
      </w:r>
      <w:proofErr w:type="spellStart"/>
      <w:r w:rsidRPr="0052783C">
        <w:rPr>
          <w:b w:val="0"/>
          <w:lang w:val="en-US"/>
        </w:rPr>
        <w:t>dpth</w:t>
      </w:r>
      <w:proofErr w:type="spellEnd"/>
      <w:r w:rsidRPr="0052783C">
        <w:rPr>
          <w:b w:val="0"/>
          <w:lang w:val="en-US"/>
        </w:rPr>
        <w:t xml:space="preserve"> percentile difference. This clarification aligns with how ERCOT has been performing the calculation since Nodal Go-Live.</w:t>
      </w:r>
    </w:p>
    <w:p w14:paraId="7521EDFE" w14:textId="2C75B602" w:rsidR="00C0492B" w:rsidRPr="0052783C" w:rsidRDefault="00C0492B" w:rsidP="00C0492B">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w:t>
      </w:r>
      <w:r w:rsidRPr="0052783C">
        <w:t>4.4.10</w:t>
      </w:r>
    </w:p>
    <w:p w14:paraId="48403C69" w14:textId="57D0825B" w:rsidR="00CB2785" w:rsidRPr="0052783C" w:rsidRDefault="00CB2785" w:rsidP="00CB2785">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5:</w:t>
      </w:r>
    </w:p>
    <w:p w14:paraId="3B9FD272" w14:textId="1DA8D7AC" w:rsidR="00CB2785" w:rsidRPr="0052783C" w:rsidRDefault="00CB2785" w:rsidP="00CB2785">
      <w:pPr>
        <w:pStyle w:val="PRRHeader"/>
        <w:widowControl w:val="0"/>
        <w:spacing w:after="100" w:afterAutospacing="1"/>
        <w:ind w:left="720" w:firstLine="0"/>
      </w:pPr>
      <w:r w:rsidRPr="0052783C">
        <w:rPr>
          <w:lang w:val="en-US"/>
        </w:rPr>
        <w:t xml:space="preserve">NPRR1236 – </w:t>
      </w:r>
      <w:r w:rsidRPr="0052783C">
        <w:t>RTC+B Modifications to RUC Capacity Short Calculations</w:t>
      </w:r>
    </w:p>
    <w:p w14:paraId="7D592698" w14:textId="7368CE57" w:rsidR="00CB2785" w:rsidRPr="0052783C" w:rsidRDefault="00CB2785" w:rsidP="00CB2785">
      <w:pPr>
        <w:pStyle w:val="PRRHeader"/>
        <w:widowControl w:val="0"/>
        <w:spacing w:after="100" w:afterAutospacing="1"/>
        <w:ind w:left="1152" w:firstLine="0"/>
        <w:rPr>
          <w:b w:val="0"/>
          <w:lang w:val="en-US"/>
        </w:rPr>
      </w:pPr>
      <w:r w:rsidRPr="0052783C">
        <w:rPr>
          <w:b w:val="0"/>
          <w:lang w:val="en-US"/>
        </w:rPr>
        <w:t xml:space="preserve">This Nodal Protocol Revision Request (NPRR) reflects the modifications addressed in the Real-Time Co-optimization Plus Batteries (RTC+B) Task Force whitepaper to </w:t>
      </w:r>
      <w:r w:rsidRPr="0052783C">
        <w:rPr>
          <w:b w:val="0"/>
          <w:lang w:val="en-US"/>
        </w:rPr>
        <w:lastRenderedPageBreak/>
        <w:t xml:space="preserve">the Reliability Unit Commitment (RUC) Capacity Short calculations. This NPRR addresses limitations in the current RUC Capacity Short calculations by considering Ancillary Service sub-types and changes to the calculation process involving Regulation Down Service (Reg-Down). This NPRR also addresses changes required to align Protocol language with the </w:t>
      </w:r>
      <w:proofErr w:type="gramStart"/>
      <w:r w:rsidRPr="0052783C">
        <w:rPr>
          <w:b w:val="0"/>
          <w:lang w:val="en-US"/>
        </w:rPr>
        <w:t>recently-approved</w:t>
      </w:r>
      <w:proofErr w:type="gramEnd"/>
      <w:r w:rsidRPr="0052783C">
        <w:rPr>
          <w:b w:val="0"/>
          <w:lang w:val="en-US"/>
        </w:rPr>
        <w:t xml:space="preserve"> NPRR1204, Considerations of State of Charge with Real-Time Co-Optimization Implementation, as it relates to the RUC process. This NPRR implements an approach that continues the current policy (i.e., allocating costs in a manner consistent with cost causation) to first proportionally assign RUC Make Whole costs to Qualified Scheduling Entities (QSEs) that are determined to be short of capacity or Ancillary Service capability when the RUC decision was made and, if necessary, assign the remaining RUC Make Whole costs to QSEs based on Load Ratio Share (LRS). </w:t>
      </w:r>
    </w:p>
    <w:p w14:paraId="602A847C" w14:textId="0621CE9C" w:rsidR="00CB2785" w:rsidRPr="0052783C" w:rsidRDefault="00CB2785" w:rsidP="00CB2785">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w:t>
      </w:r>
      <w:r w:rsidRPr="0052783C">
        <w:t>5.7.4.1.1 [effective upon system implementation of PR447, Real-Time Co-Optimization (RTC)]</w:t>
      </w:r>
    </w:p>
    <w:p w14:paraId="62A7EE71" w14:textId="0C391252" w:rsidR="009C6AA2" w:rsidRPr="0052783C" w:rsidRDefault="009C6AA2" w:rsidP="009C6AA2">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6:</w:t>
      </w:r>
    </w:p>
    <w:p w14:paraId="5F734D33" w14:textId="77777777" w:rsidR="009C6AA2" w:rsidRPr="0052783C" w:rsidRDefault="009C6AA2" w:rsidP="009C6AA2">
      <w:pPr>
        <w:pStyle w:val="PRRHeader"/>
        <w:widowControl w:val="0"/>
        <w:spacing w:after="100" w:afterAutospacing="1"/>
        <w:ind w:left="720" w:firstLine="0"/>
      </w:pPr>
      <w:r w:rsidRPr="0052783C">
        <w:rPr>
          <w:lang w:val="en-US"/>
        </w:rPr>
        <w:t xml:space="preserve">NPRR1188 – </w:t>
      </w:r>
      <w:r w:rsidRPr="0052783C">
        <w:t>Implement Nodal Dispatch and Energy Settlement for Controllable Load Resources</w:t>
      </w:r>
    </w:p>
    <w:p w14:paraId="656589CC" w14:textId="77777777" w:rsidR="009C6AA2" w:rsidRPr="0052783C" w:rsidRDefault="009C6AA2" w:rsidP="009C6AA2">
      <w:pPr>
        <w:pStyle w:val="PRRHeader"/>
        <w:widowControl w:val="0"/>
        <w:spacing w:after="100" w:afterAutospacing="1"/>
        <w:ind w:left="1152" w:firstLine="0"/>
        <w:rPr>
          <w:b w:val="0"/>
          <w:i/>
          <w:lang w:val="en-US"/>
        </w:rPr>
      </w:pPr>
      <w:r w:rsidRPr="0052783C">
        <w:rPr>
          <w:b w:val="0"/>
          <w:i/>
          <w:lang w:val="en-US"/>
        </w:rPr>
        <w:t>See Section 1 above.</w:t>
      </w:r>
    </w:p>
    <w:p w14:paraId="03644303" w14:textId="357EB66C" w:rsidR="009C6AA2" w:rsidRPr="0052783C" w:rsidRDefault="009C6AA2" w:rsidP="009C6AA2">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Pr="0052783C">
        <w:t xml:space="preserve">6.3.1, 6.4.3, 6.4.3.1, 6.4.3.1.1, 6.4.3.1.2, 6.5.7.3, 6.5.7.3.1, 6.5.7.4, 6.5.7.5, 6.5.7.6.2.3, 6.6.1.2, 6.6.1.4, 6.6.3.1, 6.6.3.2, 6.6.5.1, and 6.6.5.6 </w:t>
      </w:r>
      <w:r w:rsidRPr="0052783C">
        <w:rPr>
          <w:lang w:val="en-US"/>
        </w:rPr>
        <w:t>[effective upon system implementation]</w:t>
      </w:r>
    </w:p>
    <w:p w14:paraId="61D6D92E" w14:textId="4F9B4F38" w:rsidR="00C0492B" w:rsidRPr="0052783C" w:rsidRDefault="00C0492B" w:rsidP="00C0492B">
      <w:pPr>
        <w:pStyle w:val="PRRHeader"/>
        <w:widowControl w:val="0"/>
        <w:spacing w:after="100" w:afterAutospacing="1"/>
        <w:ind w:left="720" w:firstLine="0"/>
      </w:pPr>
      <w:r w:rsidRPr="0052783C">
        <w:rPr>
          <w:lang w:val="en-US"/>
        </w:rPr>
        <w:t xml:space="preserve">NPRR1221 – </w:t>
      </w:r>
      <w:r w:rsidRPr="0052783C">
        <w:t>Related to NOGRR262, Provisions for Operator Controlled Manual Load Shed</w:t>
      </w:r>
    </w:p>
    <w:p w14:paraId="0A56A4C9" w14:textId="0B35AC8E" w:rsidR="00C0492B" w:rsidRPr="0052783C" w:rsidRDefault="00C0492B" w:rsidP="00C0492B">
      <w:pPr>
        <w:pStyle w:val="PRRHeader"/>
        <w:widowControl w:val="0"/>
        <w:spacing w:after="100" w:afterAutospacing="1"/>
        <w:ind w:left="1152" w:firstLine="0"/>
        <w:rPr>
          <w:b w:val="0"/>
          <w:lang w:val="en-US"/>
        </w:rPr>
      </w:pPr>
      <w:r w:rsidRPr="0052783C">
        <w:rPr>
          <w:b w:val="0"/>
          <w:lang w:val="en-US"/>
        </w:rPr>
        <w:t>This Nodal Protocol Revision Request (NPRR) aligns provisions regarding manual and automatic firm Load shed; clarifies the proper use and interplay of Under-Voltage Load Shed (UVLS), Under-Frequency Load Shed (UFLS), and manual Load shed; and addresses reliability concerns ERCOT has identified regarding the extent of Transmission Operators’ (TOs’) manual Load shed capabilities.</w:t>
      </w:r>
    </w:p>
    <w:p w14:paraId="38FC7C26" w14:textId="5276480D" w:rsidR="00C0492B" w:rsidRPr="0052783C" w:rsidRDefault="00C0492B" w:rsidP="00C0492B">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6.5.9.4.2</w:t>
      </w:r>
    </w:p>
    <w:p w14:paraId="55D3CF6C" w14:textId="5723E8F4" w:rsidR="00CB2785" w:rsidRPr="0052783C" w:rsidRDefault="00CB2785" w:rsidP="00CB2785">
      <w:pPr>
        <w:pStyle w:val="PRRHeader"/>
        <w:widowControl w:val="0"/>
        <w:spacing w:after="100" w:afterAutospacing="1"/>
        <w:ind w:left="720" w:firstLine="0"/>
      </w:pPr>
      <w:r w:rsidRPr="0052783C">
        <w:rPr>
          <w:lang w:val="en-US"/>
        </w:rPr>
        <w:t xml:space="preserve">NPRR1244 – </w:t>
      </w:r>
      <w:r w:rsidRPr="0052783C">
        <w:t>Clarification of Controllable Load Resource Primary Frequency Response Responsibilities</w:t>
      </w:r>
    </w:p>
    <w:p w14:paraId="39C9431E" w14:textId="4BB8B31B" w:rsidR="00CB2785" w:rsidRPr="0052783C" w:rsidRDefault="00CB2785" w:rsidP="00CB2785">
      <w:pPr>
        <w:pStyle w:val="PRRHeader"/>
        <w:widowControl w:val="0"/>
        <w:spacing w:after="100" w:afterAutospacing="1"/>
        <w:ind w:left="1152" w:firstLine="0"/>
        <w:rPr>
          <w:b w:val="0"/>
          <w:i/>
          <w:lang w:val="en-US"/>
        </w:rPr>
      </w:pPr>
      <w:r w:rsidRPr="0052783C">
        <w:rPr>
          <w:b w:val="0"/>
          <w:i/>
          <w:lang w:val="en-US"/>
        </w:rPr>
        <w:t>See Section 3 above.</w:t>
      </w:r>
    </w:p>
    <w:p w14:paraId="7920AA6A" w14:textId="2A463AD4" w:rsidR="00CB2785" w:rsidRPr="0052783C" w:rsidRDefault="00CB2785" w:rsidP="00CB2785">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w:t>
      </w:r>
      <w:r w:rsidRPr="0052783C">
        <w:t>:</w:t>
      </w:r>
      <w:r w:rsidRPr="0052783C">
        <w:rPr>
          <w:lang w:val="en-US"/>
        </w:rPr>
        <w:t xml:space="preserve">  </w:t>
      </w:r>
      <w:r w:rsidRPr="0052783C">
        <w:t>6.5.7.5</w:t>
      </w:r>
      <w:r w:rsidR="006A3620" w:rsidRPr="0052783C">
        <w:t xml:space="preserve"> </w:t>
      </w:r>
      <w:r w:rsidR="006A3620" w:rsidRPr="0052783C">
        <w:rPr>
          <w:lang w:val="en-US"/>
        </w:rPr>
        <w:t>[effective upon system implementation]</w:t>
      </w:r>
    </w:p>
    <w:p w14:paraId="09762CC2" w14:textId="428BD229" w:rsidR="009C6AA2" w:rsidRPr="0052783C" w:rsidRDefault="009C6AA2" w:rsidP="009C6AA2">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7:</w:t>
      </w:r>
    </w:p>
    <w:p w14:paraId="159FB3CB" w14:textId="77777777" w:rsidR="009C6AA2" w:rsidRPr="0052783C" w:rsidRDefault="009C6AA2" w:rsidP="009C6AA2">
      <w:pPr>
        <w:pStyle w:val="PRRHeader"/>
        <w:widowControl w:val="0"/>
        <w:spacing w:after="100" w:afterAutospacing="1"/>
        <w:ind w:left="720" w:firstLine="0"/>
      </w:pPr>
      <w:r w:rsidRPr="0052783C">
        <w:rPr>
          <w:lang w:val="en-US"/>
        </w:rPr>
        <w:lastRenderedPageBreak/>
        <w:t xml:space="preserve">NPRR1188 – </w:t>
      </w:r>
      <w:r w:rsidRPr="0052783C">
        <w:t>Implement Nodal Dispatch and Energy Settlement for Controllable Load Resources</w:t>
      </w:r>
    </w:p>
    <w:p w14:paraId="2AC137C2" w14:textId="77777777" w:rsidR="009C6AA2" w:rsidRPr="0052783C" w:rsidRDefault="009C6AA2" w:rsidP="009C6AA2">
      <w:pPr>
        <w:pStyle w:val="PRRHeader"/>
        <w:widowControl w:val="0"/>
        <w:spacing w:after="100" w:afterAutospacing="1"/>
        <w:ind w:left="1152" w:firstLine="0"/>
        <w:rPr>
          <w:b w:val="0"/>
          <w:i/>
          <w:lang w:val="en-US"/>
        </w:rPr>
      </w:pPr>
      <w:r w:rsidRPr="0052783C">
        <w:rPr>
          <w:b w:val="0"/>
          <w:i/>
          <w:lang w:val="en-US"/>
        </w:rPr>
        <w:t>See Section 1 above.</w:t>
      </w:r>
    </w:p>
    <w:p w14:paraId="5184CC1E" w14:textId="3D0D5A40" w:rsidR="009C6AA2" w:rsidRPr="0052783C" w:rsidRDefault="009C6AA2" w:rsidP="009C6AA2">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Pr="0052783C">
        <w:t>7.9.1.3 and 7.9.3.1</w:t>
      </w:r>
      <w:r w:rsidRPr="0052783C">
        <w:rPr>
          <w:lang w:val="en-US"/>
        </w:rPr>
        <w:t xml:space="preserve"> [effective upon system implementation]</w:t>
      </w:r>
    </w:p>
    <w:p w14:paraId="03D19206" w14:textId="4E52930E" w:rsidR="009C6AA2" w:rsidRPr="0052783C" w:rsidRDefault="009C6AA2" w:rsidP="009C6AA2">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8:</w:t>
      </w:r>
    </w:p>
    <w:p w14:paraId="19DBA2AF" w14:textId="77777777" w:rsidR="009C6AA2" w:rsidRPr="0052783C" w:rsidRDefault="009C6AA2" w:rsidP="009C6AA2">
      <w:pPr>
        <w:pStyle w:val="PRRHeader"/>
        <w:widowControl w:val="0"/>
        <w:spacing w:after="100" w:afterAutospacing="1"/>
        <w:ind w:left="720" w:firstLine="0"/>
      </w:pPr>
      <w:r w:rsidRPr="0052783C">
        <w:rPr>
          <w:lang w:val="en-US"/>
        </w:rPr>
        <w:t xml:space="preserve">NPRR1188 – </w:t>
      </w:r>
      <w:r w:rsidRPr="0052783C">
        <w:t>Implement Nodal Dispatch and Energy Settlement for Controllable Load Resources</w:t>
      </w:r>
    </w:p>
    <w:p w14:paraId="19FCD763" w14:textId="77777777" w:rsidR="009C6AA2" w:rsidRPr="0052783C" w:rsidRDefault="009C6AA2" w:rsidP="009C6AA2">
      <w:pPr>
        <w:pStyle w:val="PRRHeader"/>
        <w:widowControl w:val="0"/>
        <w:spacing w:after="100" w:afterAutospacing="1"/>
        <w:ind w:left="1152" w:firstLine="0"/>
        <w:rPr>
          <w:b w:val="0"/>
          <w:i/>
          <w:lang w:val="en-US"/>
        </w:rPr>
      </w:pPr>
      <w:r w:rsidRPr="0052783C">
        <w:rPr>
          <w:b w:val="0"/>
          <w:i/>
          <w:lang w:val="en-US"/>
        </w:rPr>
        <w:t>See Section 1 above.</w:t>
      </w:r>
    </w:p>
    <w:p w14:paraId="13DFB334" w14:textId="23EFB57F" w:rsidR="009C6AA2" w:rsidRPr="0052783C" w:rsidRDefault="009C6AA2" w:rsidP="009C6AA2">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Pr="0052783C">
        <w:t>8.1.1.1 and 8.1.1.4.3</w:t>
      </w:r>
      <w:r w:rsidRPr="0052783C">
        <w:rPr>
          <w:lang w:val="en-US"/>
        </w:rPr>
        <w:t xml:space="preserve"> [effective upon system implementation]</w:t>
      </w:r>
    </w:p>
    <w:p w14:paraId="617D4F56" w14:textId="77777777" w:rsidR="00CB2785" w:rsidRPr="0052783C" w:rsidRDefault="00CB2785" w:rsidP="00CB2785">
      <w:pPr>
        <w:pStyle w:val="PRRHeader"/>
        <w:widowControl w:val="0"/>
        <w:spacing w:after="100" w:afterAutospacing="1"/>
        <w:ind w:left="720" w:firstLine="0"/>
      </w:pPr>
      <w:r w:rsidRPr="0052783C">
        <w:rPr>
          <w:lang w:val="en-US"/>
        </w:rPr>
        <w:t xml:space="preserve">NPRR1244 – </w:t>
      </w:r>
      <w:r w:rsidRPr="0052783C">
        <w:t>Clarification of Controllable Load Resource Primary Frequency Response Responsibilities</w:t>
      </w:r>
    </w:p>
    <w:p w14:paraId="1F5992ED" w14:textId="77777777" w:rsidR="00CB2785" w:rsidRPr="0052783C" w:rsidRDefault="00CB2785" w:rsidP="00CB2785">
      <w:pPr>
        <w:pStyle w:val="PRRHeader"/>
        <w:widowControl w:val="0"/>
        <w:spacing w:after="100" w:afterAutospacing="1"/>
        <w:ind w:left="1152" w:firstLine="0"/>
        <w:rPr>
          <w:b w:val="0"/>
          <w:i/>
          <w:lang w:val="en-US"/>
        </w:rPr>
      </w:pPr>
      <w:r w:rsidRPr="0052783C">
        <w:rPr>
          <w:b w:val="0"/>
          <w:i/>
          <w:lang w:val="en-US"/>
        </w:rPr>
        <w:t>See Section 3 above.</w:t>
      </w:r>
    </w:p>
    <w:p w14:paraId="4A664B2A" w14:textId="6A1FEF7A" w:rsidR="00CB2785" w:rsidRPr="0052783C" w:rsidRDefault="00CB2785" w:rsidP="00CB2785">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w:t>
      </w:r>
      <w:r w:rsidRPr="0052783C">
        <w:t>:</w:t>
      </w:r>
      <w:r w:rsidRPr="0052783C">
        <w:rPr>
          <w:lang w:val="en-US"/>
        </w:rPr>
        <w:t xml:space="preserve">  </w:t>
      </w:r>
      <w:r w:rsidRPr="0052783C">
        <w:t>8.5.2.1</w:t>
      </w:r>
      <w:r w:rsidR="006A3620" w:rsidRPr="0052783C">
        <w:t xml:space="preserve"> </w:t>
      </w:r>
      <w:r w:rsidR="006A3620" w:rsidRPr="0052783C">
        <w:rPr>
          <w:lang w:val="en-US"/>
        </w:rPr>
        <w:t>[effective upon system implementation]</w:t>
      </w:r>
    </w:p>
    <w:p w14:paraId="7DC31591" w14:textId="5E6B55C7" w:rsidR="00C0492B" w:rsidRPr="0052783C" w:rsidRDefault="00C0492B" w:rsidP="00C0492B">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9:</w:t>
      </w:r>
    </w:p>
    <w:p w14:paraId="401F63D2" w14:textId="77777777" w:rsidR="00C0492B" w:rsidRPr="0052783C" w:rsidRDefault="00C0492B" w:rsidP="00C0492B">
      <w:pPr>
        <w:pStyle w:val="PRRHeader"/>
        <w:widowControl w:val="0"/>
        <w:spacing w:after="100" w:afterAutospacing="1"/>
        <w:ind w:left="720" w:firstLine="0"/>
      </w:pPr>
      <w:r w:rsidRPr="0052783C">
        <w:rPr>
          <w:lang w:val="en-US"/>
        </w:rPr>
        <w:t xml:space="preserve">NPRR1188 – </w:t>
      </w:r>
      <w:r w:rsidRPr="0052783C">
        <w:t>Implement Nodal Dispatch and Energy Settlement for Controllable Load Resources</w:t>
      </w:r>
    </w:p>
    <w:p w14:paraId="0F454AC8" w14:textId="77777777" w:rsidR="00C0492B" w:rsidRPr="0052783C" w:rsidRDefault="00C0492B" w:rsidP="00C0492B">
      <w:pPr>
        <w:pStyle w:val="PRRHeader"/>
        <w:widowControl w:val="0"/>
        <w:spacing w:after="100" w:afterAutospacing="1"/>
        <w:ind w:left="1152" w:firstLine="0"/>
        <w:rPr>
          <w:b w:val="0"/>
          <w:i/>
          <w:lang w:val="en-US"/>
        </w:rPr>
      </w:pPr>
      <w:r w:rsidRPr="0052783C">
        <w:rPr>
          <w:b w:val="0"/>
          <w:i/>
          <w:lang w:val="en-US"/>
        </w:rPr>
        <w:t>See Section 1 above.</w:t>
      </w:r>
    </w:p>
    <w:p w14:paraId="705285D0" w14:textId="1089EF6F" w:rsidR="00C0492B" w:rsidRPr="0052783C" w:rsidRDefault="00C0492B" w:rsidP="00C0492B">
      <w:pPr>
        <w:pStyle w:val="PRRHeader"/>
        <w:widowControl w:val="0"/>
        <w:spacing w:after="100" w:afterAutospacing="1"/>
        <w:ind w:left="720" w:firstLine="0"/>
        <w:rPr>
          <w:lang w:val="en-US"/>
        </w:rPr>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Pr="0052783C">
        <w:t>9.14.10, 9.17.1, and 9.19.1</w:t>
      </w:r>
      <w:r w:rsidRPr="0052783C">
        <w:rPr>
          <w:lang w:val="en-US"/>
        </w:rPr>
        <w:t xml:space="preserve"> [effective upon system implementation]</w:t>
      </w:r>
    </w:p>
    <w:p w14:paraId="75810811" w14:textId="2E3EF6A4" w:rsidR="00C0492B" w:rsidRPr="0052783C" w:rsidRDefault="00C0492B" w:rsidP="00C0492B">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10:</w:t>
      </w:r>
    </w:p>
    <w:p w14:paraId="721F6A43" w14:textId="77777777" w:rsidR="00C0492B" w:rsidRPr="0052783C" w:rsidRDefault="00C0492B" w:rsidP="00C0492B">
      <w:pPr>
        <w:pStyle w:val="PRRHeader"/>
        <w:widowControl w:val="0"/>
        <w:spacing w:after="100" w:afterAutospacing="1"/>
        <w:ind w:left="720" w:firstLine="0"/>
      </w:pPr>
      <w:r w:rsidRPr="0052783C">
        <w:rPr>
          <w:lang w:val="en-US"/>
        </w:rPr>
        <w:t xml:space="preserve">NPRR1188 – </w:t>
      </w:r>
      <w:r w:rsidRPr="0052783C">
        <w:t>Implement Nodal Dispatch and Energy Settlement for Controllable Load Resources</w:t>
      </w:r>
    </w:p>
    <w:p w14:paraId="3A3C705F" w14:textId="77777777" w:rsidR="00C0492B" w:rsidRPr="0052783C" w:rsidRDefault="00C0492B" w:rsidP="00C0492B">
      <w:pPr>
        <w:pStyle w:val="PRRHeader"/>
        <w:widowControl w:val="0"/>
        <w:spacing w:after="100" w:afterAutospacing="1"/>
        <w:ind w:left="1152" w:firstLine="0"/>
        <w:rPr>
          <w:b w:val="0"/>
          <w:i/>
          <w:lang w:val="en-US"/>
        </w:rPr>
      </w:pPr>
      <w:r w:rsidRPr="0052783C">
        <w:rPr>
          <w:b w:val="0"/>
          <w:i/>
          <w:lang w:val="en-US"/>
        </w:rPr>
        <w:t>See Section 1 above.</w:t>
      </w:r>
    </w:p>
    <w:p w14:paraId="3BAFB2DF" w14:textId="3A72FC5B" w:rsidR="00C0492B" w:rsidRPr="0052783C" w:rsidRDefault="00C0492B" w:rsidP="00C0492B">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Pr="0052783C">
        <w:t>10.2.2, 10.2.3, and 10.3.2.3</w:t>
      </w:r>
      <w:r w:rsidRPr="0052783C">
        <w:rPr>
          <w:lang w:val="en-US"/>
        </w:rPr>
        <w:t xml:space="preserve"> [effective upon system implementation]</w:t>
      </w:r>
    </w:p>
    <w:p w14:paraId="63383F4E" w14:textId="20EAE951" w:rsidR="00C0492B" w:rsidRPr="0052783C" w:rsidRDefault="00C0492B" w:rsidP="00C0492B">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11:</w:t>
      </w:r>
    </w:p>
    <w:p w14:paraId="7FE16BF9" w14:textId="77777777" w:rsidR="00C0492B" w:rsidRPr="0052783C" w:rsidRDefault="00C0492B" w:rsidP="00C0492B">
      <w:pPr>
        <w:pStyle w:val="PRRHeader"/>
        <w:widowControl w:val="0"/>
        <w:spacing w:after="100" w:afterAutospacing="1"/>
        <w:ind w:left="720" w:firstLine="0"/>
      </w:pPr>
      <w:r w:rsidRPr="0052783C">
        <w:rPr>
          <w:lang w:val="en-US"/>
        </w:rPr>
        <w:t xml:space="preserve">NPRR1188 – </w:t>
      </w:r>
      <w:r w:rsidRPr="0052783C">
        <w:t>Implement Nodal Dispatch and Energy Settlement for Controllable Load Resources</w:t>
      </w:r>
    </w:p>
    <w:p w14:paraId="05F82B18" w14:textId="77777777" w:rsidR="00C0492B" w:rsidRPr="0052783C" w:rsidRDefault="00C0492B" w:rsidP="00C0492B">
      <w:pPr>
        <w:pStyle w:val="PRRHeader"/>
        <w:widowControl w:val="0"/>
        <w:spacing w:after="100" w:afterAutospacing="1"/>
        <w:ind w:left="1152" w:firstLine="0"/>
        <w:rPr>
          <w:b w:val="0"/>
          <w:i/>
          <w:lang w:val="en-US"/>
        </w:rPr>
      </w:pPr>
      <w:r w:rsidRPr="0052783C">
        <w:rPr>
          <w:b w:val="0"/>
          <w:i/>
          <w:lang w:val="en-US"/>
        </w:rPr>
        <w:lastRenderedPageBreak/>
        <w:t>See Section 1 above.</w:t>
      </w:r>
    </w:p>
    <w:p w14:paraId="1C99E01C" w14:textId="633DEED4" w:rsidR="00C0492B" w:rsidRPr="0052783C" w:rsidRDefault="00C0492B" w:rsidP="00C0492B">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w:t>
      </w:r>
      <w:r w:rsidRPr="0052783C">
        <w:t>:</w:t>
      </w:r>
      <w:r w:rsidRPr="0052783C">
        <w:rPr>
          <w:lang w:val="en-US"/>
        </w:rPr>
        <w:t xml:space="preserve">  </w:t>
      </w:r>
      <w:r w:rsidRPr="0052783C">
        <w:t xml:space="preserve">11.1.6 </w:t>
      </w:r>
      <w:r w:rsidRPr="0052783C">
        <w:rPr>
          <w:lang w:val="en-US"/>
        </w:rPr>
        <w:t>[effective upon system implementation]</w:t>
      </w:r>
    </w:p>
    <w:p w14:paraId="3522E07E" w14:textId="5579C04E" w:rsidR="00036326" w:rsidRPr="0052783C" w:rsidRDefault="00036326" w:rsidP="00036326">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15:</w:t>
      </w:r>
    </w:p>
    <w:p w14:paraId="160B0B0E" w14:textId="48EF3171" w:rsidR="00036326" w:rsidRPr="0052783C" w:rsidRDefault="00036326" w:rsidP="00036326">
      <w:pPr>
        <w:pStyle w:val="PRRHeader"/>
        <w:widowControl w:val="0"/>
        <w:spacing w:after="100" w:afterAutospacing="1"/>
        <w:ind w:left="720" w:firstLine="0"/>
      </w:pPr>
      <w:r w:rsidRPr="0052783C">
        <w:rPr>
          <w:lang w:val="en-US"/>
        </w:rPr>
        <w:t xml:space="preserve">NPRR1227 – </w:t>
      </w:r>
      <w:r w:rsidRPr="0052783C">
        <w:t>Related to RMGRR181, Alignment of Defined Term Usage and Resolution of Inconsistencies</w:t>
      </w:r>
    </w:p>
    <w:p w14:paraId="40B3E44A" w14:textId="23E2E578" w:rsidR="00036326" w:rsidRPr="0052783C" w:rsidRDefault="00036326" w:rsidP="00036326">
      <w:pPr>
        <w:pStyle w:val="PRRHeader"/>
        <w:widowControl w:val="0"/>
        <w:spacing w:after="100" w:afterAutospacing="1"/>
        <w:ind w:left="1152" w:firstLine="0"/>
        <w:rPr>
          <w:b w:val="0"/>
          <w:i/>
          <w:lang w:val="en-US"/>
        </w:rPr>
      </w:pPr>
      <w:r w:rsidRPr="0052783C">
        <w:rPr>
          <w:b w:val="0"/>
          <w:i/>
          <w:lang w:val="en-US"/>
        </w:rPr>
        <w:t>See Section 2 above.</w:t>
      </w:r>
    </w:p>
    <w:p w14:paraId="5049BA4E" w14:textId="6C581ECD" w:rsidR="00036326" w:rsidRPr="0052783C" w:rsidRDefault="00036326" w:rsidP="00036326">
      <w:pPr>
        <w:pStyle w:val="PRRHeader"/>
        <w:widowControl w:val="0"/>
        <w:spacing w:after="100" w:afterAutospacing="1"/>
        <w:ind w:left="720" w:firstLine="0"/>
        <w:rPr>
          <w:lang w:val="en-US"/>
        </w:rPr>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Pr="0052783C">
        <w:t xml:space="preserve">15.1.1.7, 15.1.3.2, 15.1.3.3, </w:t>
      </w:r>
      <w:r w:rsidR="004C3285" w:rsidRPr="0052783C">
        <w:t xml:space="preserve">and </w:t>
      </w:r>
      <w:r w:rsidRPr="0052783C">
        <w:t>15.1.7</w:t>
      </w:r>
    </w:p>
    <w:p w14:paraId="42617874" w14:textId="689DEE2E" w:rsidR="00C0492B" w:rsidRPr="0052783C" w:rsidRDefault="00C0492B" w:rsidP="00C0492B">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16:</w:t>
      </w:r>
    </w:p>
    <w:p w14:paraId="3056D960" w14:textId="77777777" w:rsidR="00C0492B" w:rsidRPr="0052783C" w:rsidRDefault="00C0492B" w:rsidP="00C0492B">
      <w:pPr>
        <w:pStyle w:val="PRRHeader"/>
        <w:widowControl w:val="0"/>
        <w:spacing w:after="100" w:afterAutospacing="1"/>
        <w:ind w:left="720" w:firstLine="0"/>
      </w:pPr>
      <w:r w:rsidRPr="0052783C">
        <w:rPr>
          <w:lang w:val="en-US"/>
        </w:rPr>
        <w:t xml:space="preserve">NPRR1188 – </w:t>
      </w:r>
      <w:r w:rsidRPr="0052783C">
        <w:t>Implement Nodal Dispatch and Energy Settlement for Controllable Load Resources</w:t>
      </w:r>
    </w:p>
    <w:p w14:paraId="0EDE0C8C" w14:textId="77777777" w:rsidR="00C0492B" w:rsidRPr="0052783C" w:rsidRDefault="00C0492B" w:rsidP="00C0492B">
      <w:pPr>
        <w:pStyle w:val="PRRHeader"/>
        <w:widowControl w:val="0"/>
        <w:spacing w:after="100" w:afterAutospacing="1"/>
        <w:ind w:left="1152" w:firstLine="0"/>
        <w:rPr>
          <w:b w:val="0"/>
          <w:i/>
          <w:lang w:val="en-US"/>
        </w:rPr>
      </w:pPr>
      <w:r w:rsidRPr="0052783C">
        <w:rPr>
          <w:b w:val="0"/>
          <w:i/>
          <w:lang w:val="en-US"/>
        </w:rPr>
        <w:t>See Section 1 above.</w:t>
      </w:r>
    </w:p>
    <w:p w14:paraId="77941413" w14:textId="204F1F07" w:rsidR="00C0492B" w:rsidRPr="0052783C" w:rsidRDefault="00C0492B" w:rsidP="00C0492B">
      <w:pPr>
        <w:pStyle w:val="PRRHeader"/>
        <w:widowControl w:val="0"/>
        <w:spacing w:after="100" w:afterAutospacing="1"/>
        <w:ind w:left="720" w:firstLine="0"/>
        <w:rPr>
          <w:lang w:val="en-US"/>
        </w:rPr>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Pr="0052783C">
        <w:t xml:space="preserve">16.11.4.1 and 16.11.4.3.2 </w:t>
      </w:r>
      <w:r w:rsidRPr="0052783C">
        <w:rPr>
          <w:lang w:val="en-US"/>
        </w:rPr>
        <w:t>[effective upon system implementation]</w:t>
      </w:r>
    </w:p>
    <w:p w14:paraId="7D8055A5" w14:textId="77777777" w:rsidR="00036326" w:rsidRPr="0052783C" w:rsidRDefault="00036326" w:rsidP="00036326">
      <w:pPr>
        <w:pStyle w:val="PRRHeader"/>
        <w:widowControl w:val="0"/>
        <w:spacing w:after="100" w:afterAutospacing="1"/>
        <w:ind w:left="720" w:firstLine="0"/>
      </w:pPr>
      <w:r w:rsidRPr="0052783C">
        <w:rPr>
          <w:lang w:val="en-US"/>
        </w:rPr>
        <w:t xml:space="preserve">NPRR1227 – </w:t>
      </w:r>
      <w:r w:rsidRPr="0052783C">
        <w:t>Related to RMGRR181, Alignment of Defined Term Usage and Resolution of Inconsistencies</w:t>
      </w:r>
    </w:p>
    <w:p w14:paraId="3F628617" w14:textId="77777777" w:rsidR="00036326" w:rsidRPr="0052783C" w:rsidRDefault="00036326" w:rsidP="00036326">
      <w:pPr>
        <w:pStyle w:val="PRRHeader"/>
        <w:widowControl w:val="0"/>
        <w:spacing w:after="100" w:afterAutospacing="1"/>
        <w:ind w:left="1152" w:firstLine="0"/>
        <w:rPr>
          <w:b w:val="0"/>
          <w:i/>
          <w:lang w:val="en-US"/>
        </w:rPr>
      </w:pPr>
      <w:r w:rsidRPr="0052783C">
        <w:rPr>
          <w:b w:val="0"/>
          <w:i/>
          <w:lang w:val="en-US"/>
        </w:rPr>
        <w:t>See Section 2 above.</w:t>
      </w:r>
    </w:p>
    <w:p w14:paraId="41BEF09B" w14:textId="0ED7094F" w:rsidR="00036326" w:rsidRPr="0052783C" w:rsidRDefault="00036326" w:rsidP="00036326">
      <w:pPr>
        <w:pStyle w:val="PRRHeader"/>
        <w:widowControl w:val="0"/>
        <w:spacing w:after="100" w:afterAutospacing="1"/>
        <w:ind w:left="720" w:firstLine="0"/>
        <w:rPr>
          <w:lang w:val="en-US"/>
        </w:rPr>
      </w:pPr>
      <w:r w:rsidRPr="0052783C">
        <w:rPr>
          <w:rFonts w:cs="Arial"/>
          <w:bCs w:val="0"/>
          <w:szCs w:val="20"/>
        </w:rPr>
        <w:t>Revised</w:t>
      </w:r>
      <w:r w:rsidRPr="0052783C">
        <w:t xml:space="preserve"> </w:t>
      </w:r>
      <w:r w:rsidRPr="0052783C">
        <w:rPr>
          <w:lang w:val="en-US"/>
        </w:rPr>
        <w:t>Subsection</w:t>
      </w:r>
      <w:r w:rsidRPr="0052783C">
        <w:t>:</w:t>
      </w:r>
      <w:r w:rsidRPr="0052783C">
        <w:rPr>
          <w:lang w:val="en-US"/>
        </w:rPr>
        <w:t xml:space="preserve">  16.1.1</w:t>
      </w:r>
    </w:p>
    <w:p w14:paraId="78BE763C" w14:textId="7668BEF2" w:rsidR="00CB2785" w:rsidRPr="0052783C" w:rsidRDefault="00CB2785" w:rsidP="00CB2785">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19:</w:t>
      </w:r>
    </w:p>
    <w:p w14:paraId="1AEDEB45" w14:textId="77777777" w:rsidR="00CB2785" w:rsidRPr="0052783C" w:rsidRDefault="00CB2785" w:rsidP="00CB2785">
      <w:pPr>
        <w:pStyle w:val="PRRHeader"/>
        <w:widowControl w:val="0"/>
        <w:spacing w:after="100" w:afterAutospacing="1"/>
        <w:ind w:left="720" w:firstLine="0"/>
      </w:pPr>
      <w:r w:rsidRPr="0052783C">
        <w:rPr>
          <w:lang w:val="en-US"/>
        </w:rPr>
        <w:t xml:space="preserve">NPRR1227 – </w:t>
      </w:r>
      <w:r w:rsidRPr="0052783C">
        <w:t>Related to RMGRR181, Alignment of Defined Term Usage and Resolution of Inconsistencies</w:t>
      </w:r>
    </w:p>
    <w:p w14:paraId="3467857E" w14:textId="77777777" w:rsidR="00CB2785" w:rsidRPr="0052783C" w:rsidRDefault="00CB2785" w:rsidP="00CB2785">
      <w:pPr>
        <w:pStyle w:val="PRRHeader"/>
        <w:widowControl w:val="0"/>
        <w:spacing w:after="100" w:afterAutospacing="1"/>
        <w:ind w:left="1152" w:firstLine="0"/>
        <w:rPr>
          <w:b w:val="0"/>
          <w:i/>
          <w:lang w:val="en-US"/>
        </w:rPr>
      </w:pPr>
      <w:r w:rsidRPr="0052783C">
        <w:rPr>
          <w:b w:val="0"/>
          <w:i/>
          <w:lang w:val="en-US"/>
        </w:rPr>
        <w:t>See Section 2 above.</w:t>
      </w:r>
    </w:p>
    <w:p w14:paraId="0278FAEF" w14:textId="06120BDF" w:rsidR="00CB2785" w:rsidRPr="0052783C" w:rsidRDefault="00CB2785" w:rsidP="00CB2785">
      <w:pPr>
        <w:pStyle w:val="PRRHeader"/>
        <w:widowControl w:val="0"/>
        <w:spacing w:after="100" w:afterAutospacing="1"/>
        <w:ind w:left="720" w:firstLine="0"/>
        <w:rPr>
          <w:lang w:val="en-US"/>
        </w:rPr>
      </w:pPr>
      <w:r w:rsidRPr="0052783C">
        <w:rPr>
          <w:rFonts w:cs="Arial"/>
          <w:bCs w:val="0"/>
          <w:szCs w:val="20"/>
        </w:rPr>
        <w:t>Revised</w:t>
      </w:r>
      <w:r w:rsidRPr="0052783C">
        <w:t xml:space="preserve"> </w:t>
      </w:r>
      <w:r w:rsidRPr="0052783C">
        <w:rPr>
          <w:lang w:val="en-US"/>
        </w:rPr>
        <w:t>Subsection</w:t>
      </w:r>
      <w:r w:rsidRPr="0052783C">
        <w:t>:</w:t>
      </w:r>
      <w:r w:rsidRPr="0052783C">
        <w:rPr>
          <w:lang w:val="en-US"/>
        </w:rPr>
        <w:t xml:space="preserve">  19.3.1</w:t>
      </w:r>
    </w:p>
    <w:p w14:paraId="60CF446A" w14:textId="11356DD1" w:rsidR="00CB2785" w:rsidRPr="0052783C" w:rsidRDefault="00CB2785" w:rsidP="00CB2785">
      <w:pPr>
        <w:pStyle w:val="PRRHeader"/>
        <w:widowControl w:val="0"/>
        <w:spacing w:after="100" w:afterAutospacing="1"/>
        <w:ind w:left="720" w:firstLine="0"/>
      </w:pPr>
      <w:r w:rsidRPr="0052783C">
        <w:rPr>
          <w:lang w:val="en-US"/>
        </w:rPr>
        <w:t xml:space="preserve">NPRR1237 – </w:t>
      </w:r>
      <w:r w:rsidRPr="0052783C">
        <w:t>Retail Market Qualification Testing Requirements</w:t>
      </w:r>
    </w:p>
    <w:p w14:paraId="0A8084BB" w14:textId="309F801C" w:rsidR="00CB2785" w:rsidRPr="0052783C" w:rsidRDefault="00CB2785" w:rsidP="00CB2785">
      <w:pPr>
        <w:pStyle w:val="PRRHeader"/>
        <w:widowControl w:val="0"/>
        <w:spacing w:after="100" w:afterAutospacing="1"/>
        <w:ind w:left="1152" w:firstLine="0"/>
        <w:rPr>
          <w:b w:val="0"/>
          <w:lang w:val="en-US"/>
        </w:rPr>
      </w:pPr>
      <w:r w:rsidRPr="0052783C">
        <w:rPr>
          <w:b w:val="0"/>
          <w:lang w:val="en-US"/>
        </w:rPr>
        <w:t>This Nodal Protocol Revision Request (NPRR) provides conditions in which ERCOT requires all Competitive Retailers (CRs), new and existing, and Transmission and/or Distribution Service Providers (TDSPs) to successfully complete retail market qualification testing.</w:t>
      </w:r>
    </w:p>
    <w:p w14:paraId="7F70B4D3" w14:textId="27AACBEC" w:rsidR="00CB2785" w:rsidRPr="0052783C" w:rsidRDefault="00CB2785" w:rsidP="00CB2785">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19.8</w:t>
      </w:r>
    </w:p>
    <w:p w14:paraId="76586831" w14:textId="23519DEF" w:rsidR="00CB2785" w:rsidRPr="0052783C" w:rsidRDefault="00CB2785" w:rsidP="00CB2785">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lastRenderedPageBreak/>
        <w:t>Section 23:</w:t>
      </w:r>
    </w:p>
    <w:p w14:paraId="38A21331" w14:textId="77777777" w:rsidR="00CB2785" w:rsidRPr="0052783C" w:rsidRDefault="00CB2785" w:rsidP="00CB2785">
      <w:pPr>
        <w:pStyle w:val="PRRHeader"/>
        <w:widowControl w:val="0"/>
        <w:spacing w:after="100" w:afterAutospacing="1"/>
        <w:ind w:left="720" w:firstLine="0"/>
      </w:pPr>
      <w:r w:rsidRPr="0052783C">
        <w:rPr>
          <w:lang w:val="en-US"/>
        </w:rPr>
        <w:t xml:space="preserve">NPRR1227 – </w:t>
      </w:r>
      <w:r w:rsidRPr="0052783C">
        <w:t>Related to RMGRR181, Alignment of Defined Term Usage and Resolution of Inconsistencies</w:t>
      </w:r>
    </w:p>
    <w:p w14:paraId="3CC70E26" w14:textId="77777777" w:rsidR="00CB2785" w:rsidRPr="0052783C" w:rsidRDefault="00CB2785" w:rsidP="00CB2785">
      <w:pPr>
        <w:pStyle w:val="PRRHeader"/>
        <w:widowControl w:val="0"/>
        <w:spacing w:after="100" w:afterAutospacing="1"/>
        <w:ind w:left="1152" w:firstLine="0"/>
        <w:rPr>
          <w:b w:val="0"/>
          <w:i/>
          <w:lang w:val="en-US"/>
        </w:rPr>
      </w:pPr>
      <w:r w:rsidRPr="0052783C">
        <w:rPr>
          <w:b w:val="0"/>
          <w:i/>
          <w:lang w:val="en-US"/>
        </w:rPr>
        <w:t>See Section 2 above.</w:t>
      </w:r>
    </w:p>
    <w:p w14:paraId="3B76AF5B" w14:textId="3986F222" w:rsidR="00CB2785" w:rsidRPr="0052783C" w:rsidRDefault="00CB2785" w:rsidP="00CB2785">
      <w:pPr>
        <w:pStyle w:val="PRRHeader"/>
        <w:widowControl w:val="0"/>
        <w:spacing w:after="100" w:afterAutospacing="1"/>
        <w:ind w:left="720" w:firstLine="0"/>
        <w:rPr>
          <w:lang w:val="en-US"/>
        </w:rPr>
      </w:pPr>
      <w:r w:rsidRPr="0052783C">
        <w:rPr>
          <w:rFonts w:cs="Arial"/>
          <w:bCs w:val="0"/>
          <w:szCs w:val="20"/>
        </w:rPr>
        <w:t>Revised</w:t>
      </w:r>
      <w:r w:rsidRPr="0052783C">
        <w:t xml:space="preserve"> </w:t>
      </w:r>
      <w:r w:rsidRPr="0052783C">
        <w:rPr>
          <w:lang w:val="en-US"/>
        </w:rPr>
        <w:t>Form</w:t>
      </w:r>
      <w:r w:rsidRPr="0052783C">
        <w:t>:</w:t>
      </w:r>
      <w:r w:rsidRPr="0052783C">
        <w:rPr>
          <w:lang w:val="en-US"/>
        </w:rPr>
        <w:t xml:space="preserve">  B</w:t>
      </w:r>
    </w:p>
    <w:p w14:paraId="42FCC0B2" w14:textId="424C6B48" w:rsidR="00C0492B" w:rsidRPr="0052783C" w:rsidRDefault="00C0492B" w:rsidP="00C0492B">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26:</w:t>
      </w:r>
    </w:p>
    <w:p w14:paraId="7579400E" w14:textId="77777777" w:rsidR="00C0492B" w:rsidRPr="0052783C" w:rsidRDefault="00C0492B" w:rsidP="00C0492B">
      <w:pPr>
        <w:pStyle w:val="PRRHeader"/>
        <w:widowControl w:val="0"/>
        <w:spacing w:after="100" w:afterAutospacing="1"/>
        <w:ind w:left="720" w:firstLine="0"/>
      </w:pPr>
      <w:r w:rsidRPr="0052783C">
        <w:rPr>
          <w:lang w:val="en-US"/>
        </w:rPr>
        <w:t xml:space="preserve">NPRR1188 – </w:t>
      </w:r>
      <w:r w:rsidRPr="0052783C">
        <w:t>Implement Nodal Dispatch and Energy Settlement for Controllable Load Resources</w:t>
      </w:r>
    </w:p>
    <w:p w14:paraId="479B5FA8" w14:textId="77777777" w:rsidR="00C0492B" w:rsidRPr="0052783C" w:rsidRDefault="00C0492B" w:rsidP="00C0492B">
      <w:pPr>
        <w:pStyle w:val="PRRHeader"/>
        <w:widowControl w:val="0"/>
        <w:spacing w:after="100" w:afterAutospacing="1"/>
        <w:ind w:left="1152" w:firstLine="0"/>
        <w:rPr>
          <w:b w:val="0"/>
          <w:i/>
          <w:lang w:val="en-US"/>
        </w:rPr>
      </w:pPr>
      <w:r w:rsidRPr="0052783C">
        <w:rPr>
          <w:b w:val="0"/>
          <w:i/>
          <w:lang w:val="en-US"/>
        </w:rPr>
        <w:t>See Section 1 above.</w:t>
      </w:r>
    </w:p>
    <w:p w14:paraId="2EB19290" w14:textId="5A0C0520" w:rsidR="00C0492B" w:rsidRPr="0052783C" w:rsidRDefault="00C0492B" w:rsidP="00C0492B">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w:t>
      </w:r>
      <w:r w:rsidRPr="0052783C">
        <w:t>:</w:t>
      </w:r>
      <w:r w:rsidRPr="0052783C">
        <w:rPr>
          <w:lang w:val="en-US"/>
        </w:rPr>
        <w:t xml:space="preserve">  </w:t>
      </w:r>
      <w:r w:rsidRPr="0052783C">
        <w:t xml:space="preserve">26.2 </w:t>
      </w:r>
      <w:r w:rsidRPr="0052783C">
        <w:rPr>
          <w:lang w:val="en-US"/>
        </w:rPr>
        <w:t>[effective upon system implementation]</w:t>
      </w:r>
    </w:p>
    <w:p w14:paraId="2DF7A977" w14:textId="77777777" w:rsidR="00AC048F" w:rsidRPr="0052783C" w:rsidRDefault="00AC048F" w:rsidP="00AC048F">
      <w:pPr>
        <w:widowControl w:val="0"/>
        <w:spacing w:after="100" w:afterAutospacing="1"/>
        <w:outlineLvl w:val="0"/>
        <w:rPr>
          <w:b/>
          <w:u w:val="single"/>
        </w:rPr>
      </w:pPr>
      <w:r w:rsidRPr="0052783C">
        <w:rPr>
          <w:b/>
          <w:u w:val="single"/>
        </w:rPr>
        <w:t>Administrative Changes:</w:t>
      </w:r>
    </w:p>
    <w:p w14:paraId="112CF5BB" w14:textId="77777777" w:rsidR="00AC048F" w:rsidRPr="0052783C" w:rsidRDefault="00AC048F" w:rsidP="00AC048F">
      <w:pPr>
        <w:widowControl w:val="0"/>
        <w:spacing w:after="100" w:afterAutospacing="1"/>
        <w:ind w:left="720"/>
        <w:outlineLvl w:val="0"/>
        <w:rPr>
          <w:b/>
          <w:u w:val="single"/>
        </w:rPr>
      </w:pPr>
      <w:r w:rsidRPr="0052783C">
        <w:t>Non-substantive administrative changes were made such as spelling corrections, formatting, and correcting Section numbering and references.</w:t>
      </w:r>
    </w:p>
    <w:p w14:paraId="03173FCF" w14:textId="5635C951" w:rsidR="00AC048F" w:rsidRPr="00AC048F" w:rsidRDefault="00AC048F" w:rsidP="00AC048F">
      <w:pPr>
        <w:pStyle w:val="PRRHeader"/>
        <w:widowControl w:val="0"/>
        <w:spacing w:after="100" w:afterAutospacing="1"/>
        <w:ind w:left="720" w:firstLine="0"/>
        <w:rPr>
          <w:b w:val="0"/>
          <w:bCs w:val="0"/>
          <w:lang w:val="en-US"/>
        </w:rPr>
      </w:pPr>
      <w:r w:rsidRPr="0052783C">
        <w:t xml:space="preserve">Revised </w:t>
      </w:r>
      <w:r w:rsidRPr="0052783C">
        <w:rPr>
          <w:lang w:val="en-US"/>
        </w:rPr>
        <w:t xml:space="preserve">Subsection:  </w:t>
      </w:r>
      <w:r w:rsidR="004C59D3" w:rsidRPr="0052783C">
        <w:rPr>
          <w:lang w:val="en-US"/>
        </w:rPr>
        <w:t>5.7.4.1.1</w:t>
      </w:r>
    </w:p>
    <w:sectPr w:rsidR="00AC048F" w:rsidRPr="00AC048F">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A151" w14:textId="77777777" w:rsidR="00C75619" w:rsidRDefault="00C75619">
      <w:r>
        <w:separator/>
      </w:r>
    </w:p>
  </w:endnote>
  <w:endnote w:type="continuationSeparator" w:id="0">
    <w:p w14:paraId="0A360FED" w14:textId="77777777" w:rsidR="00C75619" w:rsidRDefault="00C7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5E08" w14:textId="77777777" w:rsidR="00C75619" w:rsidRDefault="00C75619">
      <w:r>
        <w:separator/>
      </w:r>
    </w:p>
  </w:footnote>
  <w:footnote w:type="continuationSeparator" w:id="0">
    <w:p w14:paraId="6BEBE6C1" w14:textId="77777777" w:rsidR="00C75619" w:rsidRDefault="00C75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3220FF26"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9C6AA2">
      <w:rPr>
        <w:rFonts w:ascii="Times New Roman Bold" w:hAnsi="Times New Roman Bold"/>
        <w:b w:val="0"/>
      </w:rPr>
      <w:t>December</w:t>
    </w:r>
    <w:r w:rsidR="008E2C3C">
      <w:rPr>
        <w:rFonts w:ascii="Times New Roman Bold" w:hAnsi="Times New Roman Bold"/>
        <w:b w:val="0"/>
      </w:rPr>
      <w:t xml:space="preserve"> </w:t>
    </w:r>
    <w:r w:rsidR="000D26EB">
      <w:rPr>
        <w:rFonts w:ascii="Times New Roman Bold" w:hAnsi="Times New Roman Bold"/>
        <w:b w:val="0"/>
      </w:rPr>
      <w:t>1</w:t>
    </w:r>
    <w:r>
      <w:rPr>
        <w:rFonts w:ascii="Times New Roman Bold" w:hAnsi="Times New Roman Bold"/>
        <w:b w:val="0"/>
      </w:rPr>
      <w:t>, 202</w:t>
    </w:r>
    <w:r w:rsidR="00251000">
      <w:rPr>
        <w:rFonts w:ascii="Times New Roman Bold" w:hAnsi="Times New Roman Bold"/>
        <w:b w:val="0"/>
      </w:rPr>
      <w:t>4</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50845948">
    <w:abstractNumId w:val="11"/>
  </w:num>
  <w:num w:numId="2" w16cid:durableId="1593473380">
    <w:abstractNumId w:val="36"/>
  </w:num>
  <w:num w:numId="3" w16cid:durableId="2119566639">
    <w:abstractNumId w:val="18"/>
  </w:num>
  <w:num w:numId="4" w16cid:durableId="1986617372">
    <w:abstractNumId w:val="0"/>
  </w:num>
  <w:num w:numId="5" w16cid:durableId="1409644870">
    <w:abstractNumId w:val="1"/>
  </w:num>
  <w:num w:numId="6" w16cid:durableId="2135632196">
    <w:abstractNumId w:val="2"/>
  </w:num>
  <w:num w:numId="7" w16cid:durableId="75059341">
    <w:abstractNumId w:val="3"/>
  </w:num>
  <w:num w:numId="8" w16cid:durableId="615723160">
    <w:abstractNumId w:val="8"/>
  </w:num>
  <w:num w:numId="9" w16cid:durableId="522935785">
    <w:abstractNumId w:val="4"/>
  </w:num>
  <w:num w:numId="10" w16cid:durableId="1833595598">
    <w:abstractNumId w:val="5"/>
  </w:num>
  <w:num w:numId="11" w16cid:durableId="566573731">
    <w:abstractNumId w:val="6"/>
  </w:num>
  <w:num w:numId="12" w16cid:durableId="1084453785">
    <w:abstractNumId w:val="7"/>
  </w:num>
  <w:num w:numId="13" w16cid:durableId="1332836883">
    <w:abstractNumId w:val="9"/>
  </w:num>
  <w:num w:numId="14" w16cid:durableId="1905993005">
    <w:abstractNumId w:val="21"/>
  </w:num>
  <w:num w:numId="15" w16cid:durableId="453794146">
    <w:abstractNumId w:val="30"/>
  </w:num>
  <w:num w:numId="16" w16cid:durableId="1866556982">
    <w:abstractNumId w:val="32"/>
  </w:num>
  <w:num w:numId="17" w16cid:durableId="1115321533">
    <w:abstractNumId w:val="27"/>
  </w:num>
  <w:num w:numId="18" w16cid:durableId="263272201">
    <w:abstractNumId w:val="16"/>
  </w:num>
  <w:num w:numId="19" w16cid:durableId="1109818447">
    <w:abstractNumId w:val="14"/>
  </w:num>
  <w:num w:numId="20" w16cid:durableId="1031764785">
    <w:abstractNumId w:val="31"/>
  </w:num>
  <w:num w:numId="21" w16cid:durableId="1860048029">
    <w:abstractNumId w:val="23"/>
  </w:num>
  <w:num w:numId="22" w16cid:durableId="1562713068">
    <w:abstractNumId w:val="12"/>
  </w:num>
  <w:num w:numId="23" w16cid:durableId="1424647989">
    <w:abstractNumId w:val="38"/>
  </w:num>
  <w:num w:numId="24" w16cid:durableId="195237500">
    <w:abstractNumId w:val="10"/>
  </w:num>
  <w:num w:numId="25" w16cid:durableId="439765613">
    <w:abstractNumId w:val="33"/>
  </w:num>
  <w:num w:numId="26" w16cid:durableId="14112021">
    <w:abstractNumId w:val="13"/>
  </w:num>
  <w:num w:numId="27" w16cid:durableId="823622163">
    <w:abstractNumId w:val="29"/>
  </w:num>
  <w:num w:numId="28" w16cid:durableId="88623846">
    <w:abstractNumId w:val="37"/>
  </w:num>
  <w:num w:numId="29" w16cid:durableId="966358003">
    <w:abstractNumId w:val="15"/>
  </w:num>
  <w:num w:numId="30" w16cid:durableId="701981614">
    <w:abstractNumId w:val="19"/>
  </w:num>
  <w:num w:numId="31" w16cid:durableId="44182771">
    <w:abstractNumId w:val="22"/>
  </w:num>
  <w:num w:numId="32" w16cid:durableId="271783445">
    <w:abstractNumId w:val="20"/>
  </w:num>
  <w:num w:numId="33" w16cid:durableId="1300110930">
    <w:abstractNumId w:val="35"/>
  </w:num>
  <w:num w:numId="34" w16cid:durableId="608464146">
    <w:abstractNumId w:val="25"/>
  </w:num>
  <w:num w:numId="35" w16cid:durableId="1467234658">
    <w:abstractNumId w:val="17"/>
  </w:num>
  <w:num w:numId="36" w16cid:durableId="1295135066">
    <w:abstractNumId w:val="24"/>
  </w:num>
  <w:num w:numId="37" w16cid:durableId="411775275">
    <w:abstractNumId w:val="26"/>
  </w:num>
  <w:num w:numId="38" w16cid:durableId="1111702687">
    <w:abstractNumId w:val="28"/>
  </w:num>
  <w:num w:numId="39" w16cid:durableId="10095995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CC6"/>
    <w:rsid w:val="00000D01"/>
    <w:rsid w:val="00002284"/>
    <w:rsid w:val="00002F9F"/>
    <w:rsid w:val="00005BAB"/>
    <w:rsid w:val="000070F8"/>
    <w:rsid w:val="00007595"/>
    <w:rsid w:val="000103DE"/>
    <w:rsid w:val="00011267"/>
    <w:rsid w:val="00011C80"/>
    <w:rsid w:val="00011FFD"/>
    <w:rsid w:val="00012091"/>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26"/>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002"/>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1EC"/>
    <w:rsid w:val="0008020D"/>
    <w:rsid w:val="0008023B"/>
    <w:rsid w:val="00081381"/>
    <w:rsid w:val="000815AE"/>
    <w:rsid w:val="00081715"/>
    <w:rsid w:val="00082A20"/>
    <w:rsid w:val="000837DD"/>
    <w:rsid w:val="000841E7"/>
    <w:rsid w:val="000846D3"/>
    <w:rsid w:val="0008473D"/>
    <w:rsid w:val="0008515B"/>
    <w:rsid w:val="00090563"/>
    <w:rsid w:val="000910E8"/>
    <w:rsid w:val="000922DB"/>
    <w:rsid w:val="0009243F"/>
    <w:rsid w:val="000926EF"/>
    <w:rsid w:val="00093EEE"/>
    <w:rsid w:val="00096771"/>
    <w:rsid w:val="00096BF6"/>
    <w:rsid w:val="00097096"/>
    <w:rsid w:val="000A0E55"/>
    <w:rsid w:val="000A1958"/>
    <w:rsid w:val="000A1A59"/>
    <w:rsid w:val="000A1D55"/>
    <w:rsid w:val="000A2C41"/>
    <w:rsid w:val="000A32F9"/>
    <w:rsid w:val="000A3456"/>
    <w:rsid w:val="000A503A"/>
    <w:rsid w:val="000A5180"/>
    <w:rsid w:val="000A5683"/>
    <w:rsid w:val="000A6AEE"/>
    <w:rsid w:val="000A6CC8"/>
    <w:rsid w:val="000A6F35"/>
    <w:rsid w:val="000B219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26EB"/>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2AB"/>
    <w:rsid w:val="000F7868"/>
    <w:rsid w:val="00100CF6"/>
    <w:rsid w:val="00101302"/>
    <w:rsid w:val="00102F30"/>
    <w:rsid w:val="00104B56"/>
    <w:rsid w:val="00106474"/>
    <w:rsid w:val="001069A4"/>
    <w:rsid w:val="001071D5"/>
    <w:rsid w:val="00110B5F"/>
    <w:rsid w:val="00111EA9"/>
    <w:rsid w:val="0011310D"/>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5D7"/>
    <w:rsid w:val="00142E7D"/>
    <w:rsid w:val="001434BB"/>
    <w:rsid w:val="00143A1C"/>
    <w:rsid w:val="0014430C"/>
    <w:rsid w:val="0014494C"/>
    <w:rsid w:val="00144CBA"/>
    <w:rsid w:val="00146653"/>
    <w:rsid w:val="00147741"/>
    <w:rsid w:val="0014776A"/>
    <w:rsid w:val="00147AEF"/>
    <w:rsid w:val="0015155D"/>
    <w:rsid w:val="001526E3"/>
    <w:rsid w:val="001575A6"/>
    <w:rsid w:val="001576DB"/>
    <w:rsid w:val="001602E0"/>
    <w:rsid w:val="0016078E"/>
    <w:rsid w:val="00160E6A"/>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56A2"/>
    <w:rsid w:val="001978E7"/>
    <w:rsid w:val="001A073D"/>
    <w:rsid w:val="001A0773"/>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68C"/>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64E6"/>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3FB"/>
    <w:rsid w:val="002237EE"/>
    <w:rsid w:val="00225E4E"/>
    <w:rsid w:val="00225E62"/>
    <w:rsid w:val="00226A60"/>
    <w:rsid w:val="002271AF"/>
    <w:rsid w:val="002274EB"/>
    <w:rsid w:val="002303A6"/>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1000"/>
    <w:rsid w:val="00252378"/>
    <w:rsid w:val="002529AD"/>
    <w:rsid w:val="00252D62"/>
    <w:rsid w:val="002536D8"/>
    <w:rsid w:val="0025404A"/>
    <w:rsid w:val="00254C98"/>
    <w:rsid w:val="00255005"/>
    <w:rsid w:val="0025611C"/>
    <w:rsid w:val="00256C71"/>
    <w:rsid w:val="00257207"/>
    <w:rsid w:val="0025738F"/>
    <w:rsid w:val="00257F78"/>
    <w:rsid w:val="00260777"/>
    <w:rsid w:val="00261AB2"/>
    <w:rsid w:val="00261FA5"/>
    <w:rsid w:val="0026404D"/>
    <w:rsid w:val="002654AF"/>
    <w:rsid w:val="00266650"/>
    <w:rsid w:val="002701EE"/>
    <w:rsid w:val="002707FE"/>
    <w:rsid w:val="00270A6B"/>
    <w:rsid w:val="002750C2"/>
    <w:rsid w:val="00275800"/>
    <w:rsid w:val="0027597B"/>
    <w:rsid w:val="00276064"/>
    <w:rsid w:val="002766F0"/>
    <w:rsid w:val="00277FA4"/>
    <w:rsid w:val="0028046A"/>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583E"/>
    <w:rsid w:val="00297D85"/>
    <w:rsid w:val="002A07EB"/>
    <w:rsid w:val="002A07FA"/>
    <w:rsid w:val="002A188C"/>
    <w:rsid w:val="002A19E1"/>
    <w:rsid w:val="002A2402"/>
    <w:rsid w:val="002A292E"/>
    <w:rsid w:val="002A3657"/>
    <w:rsid w:val="002A415B"/>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549B"/>
    <w:rsid w:val="002C614F"/>
    <w:rsid w:val="002C66E5"/>
    <w:rsid w:val="002C70CA"/>
    <w:rsid w:val="002C783F"/>
    <w:rsid w:val="002D02AB"/>
    <w:rsid w:val="002D02C8"/>
    <w:rsid w:val="002D03B9"/>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2759"/>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06D1"/>
    <w:rsid w:val="00321187"/>
    <w:rsid w:val="00321830"/>
    <w:rsid w:val="00322ADC"/>
    <w:rsid w:val="00322B59"/>
    <w:rsid w:val="00323331"/>
    <w:rsid w:val="003236E6"/>
    <w:rsid w:val="00323DDA"/>
    <w:rsid w:val="0032477C"/>
    <w:rsid w:val="003267A4"/>
    <w:rsid w:val="003268B5"/>
    <w:rsid w:val="00326B0E"/>
    <w:rsid w:val="00327475"/>
    <w:rsid w:val="003313E3"/>
    <w:rsid w:val="00331897"/>
    <w:rsid w:val="00332701"/>
    <w:rsid w:val="00332960"/>
    <w:rsid w:val="00333A72"/>
    <w:rsid w:val="00334366"/>
    <w:rsid w:val="00334774"/>
    <w:rsid w:val="00334A3C"/>
    <w:rsid w:val="0033581A"/>
    <w:rsid w:val="0033767E"/>
    <w:rsid w:val="00341648"/>
    <w:rsid w:val="003417E5"/>
    <w:rsid w:val="003429CD"/>
    <w:rsid w:val="00343233"/>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46E3"/>
    <w:rsid w:val="00375971"/>
    <w:rsid w:val="00375B6D"/>
    <w:rsid w:val="00376E3A"/>
    <w:rsid w:val="0038040A"/>
    <w:rsid w:val="00380821"/>
    <w:rsid w:val="003815E3"/>
    <w:rsid w:val="00382BB3"/>
    <w:rsid w:val="003856FF"/>
    <w:rsid w:val="00385C9D"/>
    <w:rsid w:val="0038663A"/>
    <w:rsid w:val="00387468"/>
    <w:rsid w:val="003900D3"/>
    <w:rsid w:val="003935E8"/>
    <w:rsid w:val="003938E4"/>
    <w:rsid w:val="003946DD"/>
    <w:rsid w:val="00394945"/>
    <w:rsid w:val="00394B9A"/>
    <w:rsid w:val="00394E07"/>
    <w:rsid w:val="00395EC5"/>
    <w:rsid w:val="00396579"/>
    <w:rsid w:val="003A2264"/>
    <w:rsid w:val="003A2425"/>
    <w:rsid w:val="003A38C0"/>
    <w:rsid w:val="003A3E2A"/>
    <w:rsid w:val="003A3F41"/>
    <w:rsid w:val="003A3FC1"/>
    <w:rsid w:val="003A4DBF"/>
    <w:rsid w:val="003A62EA"/>
    <w:rsid w:val="003A6975"/>
    <w:rsid w:val="003A6CE8"/>
    <w:rsid w:val="003A71F0"/>
    <w:rsid w:val="003A76DB"/>
    <w:rsid w:val="003A7B62"/>
    <w:rsid w:val="003B120D"/>
    <w:rsid w:val="003B1FCC"/>
    <w:rsid w:val="003B28DD"/>
    <w:rsid w:val="003B349B"/>
    <w:rsid w:val="003B39E8"/>
    <w:rsid w:val="003B5715"/>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46C8"/>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08E"/>
    <w:rsid w:val="003D5BCB"/>
    <w:rsid w:val="003D5DC7"/>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35F"/>
    <w:rsid w:val="003F1B92"/>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9E6"/>
    <w:rsid w:val="00405CD6"/>
    <w:rsid w:val="00406919"/>
    <w:rsid w:val="00407563"/>
    <w:rsid w:val="00407EBB"/>
    <w:rsid w:val="00411324"/>
    <w:rsid w:val="00412885"/>
    <w:rsid w:val="00413E89"/>
    <w:rsid w:val="00414FA6"/>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1766"/>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5D46"/>
    <w:rsid w:val="00456498"/>
    <w:rsid w:val="004625BD"/>
    <w:rsid w:val="004633DB"/>
    <w:rsid w:val="004645D0"/>
    <w:rsid w:val="004654F7"/>
    <w:rsid w:val="00467B28"/>
    <w:rsid w:val="00467F36"/>
    <w:rsid w:val="00471815"/>
    <w:rsid w:val="00471C18"/>
    <w:rsid w:val="00472731"/>
    <w:rsid w:val="00472EBE"/>
    <w:rsid w:val="0047301C"/>
    <w:rsid w:val="00473DD1"/>
    <w:rsid w:val="004743F8"/>
    <w:rsid w:val="004745CD"/>
    <w:rsid w:val="0047463E"/>
    <w:rsid w:val="00475073"/>
    <w:rsid w:val="00475BEB"/>
    <w:rsid w:val="0047668D"/>
    <w:rsid w:val="00477181"/>
    <w:rsid w:val="00477C6C"/>
    <w:rsid w:val="00477D21"/>
    <w:rsid w:val="00477D8B"/>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86"/>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220"/>
    <w:rsid w:val="004C3285"/>
    <w:rsid w:val="004C33B1"/>
    <w:rsid w:val="004C385E"/>
    <w:rsid w:val="004C3ECC"/>
    <w:rsid w:val="004C464B"/>
    <w:rsid w:val="004C59D3"/>
    <w:rsid w:val="004C5E6D"/>
    <w:rsid w:val="004C70B2"/>
    <w:rsid w:val="004D01DD"/>
    <w:rsid w:val="004D0416"/>
    <w:rsid w:val="004D10F4"/>
    <w:rsid w:val="004D11EC"/>
    <w:rsid w:val="004D143E"/>
    <w:rsid w:val="004D1711"/>
    <w:rsid w:val="004D1C97"/>
    <w:rsid w:val="004D1D44"/>
    <w:rsid w:val="004D3369"/>
    <w:rsid w:val="004D5F38"/>
    <w:rsid w:val="004D64D5"/>
    <w:rsid w:val="004E0202"/>
    <w:rsid w:val="004E0308"/>
    <w:rsid w:val="004E050E"/>
    <w:rsid w:val="004E0838"/>
    <w:rsid w:val="004E3235"/>
    <w:rsid w:val="004E44D0"/>
    <w:rsid w:val="004E4DC1"/>
    <w:rsid w:val="004E59EC"/>
    <w:rsid w:val="004E6509"/>
    <w:rsid w:val="004F09B7"/>
    <w:rsid w:val="004F25C3"/>
    <w:rsid w:val="004F2FCC"/>
    <w:rsid w:val="004F34D2"/>
    <w:rsid w:val="004F5341"/>
    <w:rsid w:val="004F5BC4"/>
    <w:rsid w:val="004F6A04"/>
    <w:rsid w:val="00500243"/>
    <w:rsid w:val="0050091D"/>
    <w:rsid w:val="00501CCB"/>
    <w:rsid w:val="005032AA"/>
    <w:rsid w:val="00503477"/>
    <w:rsid w:val="005037A4"/>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1545"/>
    <w:rsid w:val="005228D9"/>
    <w:rsid w:val="00522FCB"/>
    <w:rsid w:val="00523B42"/>
    <w:rsid w:val="0052448A"/>
    <w:rsid w:val="005244E6"/>
    <w:rsid w:val="00524D3C"/>
    <w:rsid w:val="0052555D"/>
    <w:rsid w:val="00525FB0"/>
    <w:rsid w:val="00525FB6"/>
    <w:rsid w:val="00527336"/>
    <w:rsid w:val="00527587"/>
    <w:rsid w:val="00527656"/>
    <w:rsid w:val="0052783C"/>
    <w:rsid w:val="005303F6"/>
    <w:rsid w:val="00530AB2"/>
    <w:rsid w:val="00530C63"/>
    <w:rsid w:val="00531AA3"/>
    <w:rsid w:val="005327F0"/>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731"/>
    <w:rsid w:val="00550C61"/>
    <w:rsid w:val="0055215D"/>
    <w:rsid w:val="005528FD"/>
    <w:rsid w:val="00553288"/>
    <w:rsid w:val="00553971"/>
    <w:rsid w:val="005543BD"/>
    <w:rsid w:val="00554605"/>
    <w:rsid w:val="00555C40"/>
    <w:rsid w:val="0055634C"/>
    <w:rsid w:val="0055656F"/>
    <w:rsid w:val="00557949"/>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3C60"/>
    <w:rsid w:val="00594A2F"/>
    <w:rsid w:val="00595BED"/>
    <w:rsid w:val="0059718F"/>
    <w:rsid w:val="005A2537"/>
    <w:rsid w:val="005A2705"/>
    <w:rsid w:val="005A2866"/>
    <w:rsid w:val="005A2A64"/>
    <w:rsid w:val="005A2CD1"/>
    <w:rsid w:val="005A3032"/>
    <w:rsid w:val="005A30DB"/>
    <w:rsid w:val="005A35B3"/>
    <w:rsid w:val="005A37D5"/>
    <w:rsid w:val="005A3BF6"/>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519"/>
    <w:rsid w:val="005B6983"/>
    <w:rsid w:val="005B7FEA"/>
    <w:rsid w:val="005C1D71"/>
    <w:rsid w:val="005C2234"/>
    <w:rsid w:val="005C2E06"/>
    <w:rsid w:val="005C388B"/>
    <w:rsid w:val="005C3896"/>
    <w:rsid w:val="005C5107"/>
    <w:rsid w:val="005C5A9C"/>
    <w:rsid w:val="005C60CE"/>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2F90"/>
    <w:rsid w:val="005F31A8"/>
    <w:rsid w:val="005F3D3F"/>
    <w:rsid w:val="005F530D"/>
    <w:rsid w:val="005F5954"/>
    <w:rsid w:val="005F6F02"/>
    <w:rsid w:val="005F7440"/>
    <w:rsid w:val="006003D3"/>
    <w:rsid w:val="00600847"/>
    <w:rsid w:val="00600E43"/>
    <w:rsid w:val="006015EC"/>
    <w:rsid w:val="00603742"/>
    <w:rsid w:val="00603D50"/>
    <w:rsid w:val="006048F6"/>
    <w:rsid w:val="00604D7C"/>
    <w:rsid w:val="00604E2B"/>
    <w:rsid w:val="006067DB"/>
    <w:rsid w:val="00606B8B"/>
    <w:rsid w:val="00607220"/>
    <w:rsid w:val="0060747E"/>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C55"/>
    <w:rsid w:val="00632F8D"/>
    <w:rsid w:val="00633712"/>
    <w:rsid w:val="00635BCB"/>
    <w:rsid w:val="00635CD1"/>
    <w:rsid w:val="00635E37"/>
    <w:rsid w:val="00635FAD"/>
    <w:rsid w:val="006409A7"/>
    <w:rsid w:val="00640F3B"/>
    <w:rsid w:val="00641AE9"/>
    <w:rsid w:val="00642BEF"/>
    <w:rsid w:val="006436B0"/>
    <w:rsid w:val="00643E5D"/>
    <w:rsid w:val="00644263"/>
    <w:rsid w:val="0064441D"/>
    <w:rsid w:val="0064449D"/>
    <w:rsid w:val="00644B3C"/>
    <w:rsid w:val="00647B26"/>
    <w:rsid w:val="00647BF2"/>
    <w:rsid w:val="00647DF4"/>
    <w:rsid w:val="0065001E"/>
    <w:rsid w:val="00650B11"/>
    <w:rsid w:val="006518E1"/>
    <w:rsid w:val="0065191F"/>
    <w:rsid w:val="006523BC"/>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492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3620"/>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18AF"/>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8D0"/>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4391"/>
    <w:rsid w:val="0072725C"/>
    <w:rsid w:val="00727365"/>
    <w:rsid w:val="007277E6"/>
    <w:rsid w:val="0073031E"/>
    <w:rsid w:val="00731D7C"/>
    <w:rsid w:val="007322F5"/>
    <w:rsid w:val="0073386F"/>
    <w:rsid w:val="007340BA"/>
    <w:rsid w:val="00734DCD"/>
    <w:rsid w:val="0073502B"/>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1AED"/>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3C72"/>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4E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B7D95"/>
    <w:rsid w:val="007C24E8"/>
    <w:rsid w:val="007C2A7E"/>
    <w:rsid w:val="007C2CC2"/>
    <w:rsid w:val="007C33F3"/>
    <w:rsid w:val="007C37FF"/>
    <w:rsid w:val="007C3B1A"/>
    <w:rsid w:val="007C3CF8"/>
    <w:rsid w:val="007C41A7"/>
    <w:rsid w:val="007C42C4"/>
    <w:rsid w:val="007C5B8D"/>
    <w:rsid w:val="007C7143"/>
    <w:rsid w:val="007D0A2D"/>
    <w:rsid w:val="007D0F6D"/>
    <w:rsid w:val="007D3AE6"/>
    <w:rsid w:val="007D3DEF"/>
    <w:rsid w:val="007D423C"/>
    <w:rsid w:val="007D4420"/>
    <w:rsid w:val="007D453C"/>
    <w:rsid w:val="007D4588"/>
    <w:rsid w:val="007D4DC7"/>
    <w:rsid w:val="007D73B5"/>
    <w:rsid w:val="007D7F5D"/>
    <w:rsid w:val="007E0CC9"/>
    <w:rsid w:val="007E1936"/>
    <w:rsid w:val="007E4D15"/>
    <w:rsid w:val="007E585D"/>
    <w:rsid w:val="007E58E6"/>
    <w:rsid w:val="007E59B2"/>
    <w:rsid w:val="007E5B0C"/>
    <w:rsid w:val="007E71EB"/>
    <w:rsid w:val="007E7613"/>
    <w:rsid w:val="007E7C79"/>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1B3"/>
    <w:rsid w:val="008032F8"/>
    <w:rsid w:val="00805ABC"/>
    <w:rsid w:val="00810D42"/>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3B1"/>
    <w:rsid w:val="00841EA4"/>
    <w:rsid w:val="00842079"/>
    <w:rsid w:val="008428E1"/>
    <w:rsid w:val="00842950"/>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4D0D"/>
    <w:rsid w:val="0086540F"/>
    <w:rsid w:val="008659EC"/>
    <w:rsid w:val="0086725C"/>
    <w:rsid w:val="008673CA"/>
    <w:rsid w:val="0086744F"/>
    <w:rsid w:val="00867963"/>
    <w:rsid w:val="00867BD8"/>
    <w:rsid w:val="00867C7B"/>
    <w:rsid w:val="00870739"/>
    <w:rsid w:val="008725AB"/>
    <w:rsid w:val="00872C55"/>
    <w:rsid w:val="00873204"/>
    <w:rsid w:val="00873AB8"/>
    <w:rsid w:val="00874E58"/>
    <w:rsid w:val="00876B5E"/>
    <w:rsid w:val="008774C5"/>
    <w:rsid w:val="008800FE"/>
    <w:rsid w:val="008802DD"/>
    <w:rsid w:val="00880637"/>
    <w:rsid w:val="00880DD8"/>
    <w:rsid w:val="00882962"/>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33E"/>
    <w:rsid w:val="008A2F73"/>
    <w:rsid w:val="008A388B"/>
    <w:rsid w:val="008A47C3"/>
    <w:rsid w:val="008A4805"/>
    <w:rsid w:val="008A4A5F"/>
    <w:rsid w:val="008A5606"/>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6A38"/>
    <w:rsid w:val="008C736C"/>
    <w:rsid w:val="008C7B26"/>
    <w:rsid w:val="008D0115"/>
    <w:rsid w:val="008D062F"/>
    <w:rsid w:val="008D104A"/>
    <w:rsid w:val="008D120C"/>
    <w:rsid w:val="008D47FE"/>
    <w:rsid w:val="008D5E3D"/>
    <w:rsid w:val="008D62DC"/>
    <w:rsid w:val="008D6CCA"/>
    <w:rsid w:val="008D7EC2"/>
    <w:rsid w:val="008E07F4"/>
    <w:rsid w:val="008E2B0E"/>
    <w:rsid w:val="008E2C3C"/>
    <w:rsid w:val="008E2EA0"/>
    <w:rsid w:val="008E3B1D"/>
    <w:rsid w:val="008E4A2B"/>
    <w:rsid w:val="008E52CE"/>
    <w:rsid w:val="008E5D79"/>
    <w:rsid w:val="008E6242"/>
    <w:rsid w:val="008E68A2"/>
    <w:rsid w:val="008E6B7E"/>
    <w:rsid w:val="008E772A"/>
    <w:rsid w:val="008F1018"/>
    <w:rsid w:val="008F1EFC"/>
    <w:rsid w:val="008F2DC5"/>
    <w:rsid w:val="008F5055"/>
    <w:rsid w:val="008F565F"/>
    <w:rsid w:val="008F5954"/>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156F"/>
    <w:rsid w:val="0092272A"/>
    <w:rsid w:val="00922C25"/>
    <w:rsid w:val="009231E5"/>
    <w:rsid w:val="0092475A"/>
    <w:rsid w:val="00924809"/>
    <w:rsid w:val="00924FCA"/>
    <w:rsid w:val="00925008"/>
    <w:rsid w:val="009252A8"/>
    <w:rsid w:val="00926388"/>
    <w:rsid w:val="009271E6"/>
    <w:rsid w:val="009272CB"/>
    <w:rsid w:val="00927EF1"/>
    <w:rsid w:val="00930103"/>
    <w:rsid w:val="00930425"/>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489"/>
    <w:rsid w:val="009778A1"/>
    <w:rsid w:val="00977BEE"/>
    <w:rsid w:val="00981E39"/>
    <w:rsid w:val="00981E57"/>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5C83"/>
    <w:rsid w:val="009A6E74"/>
    <w:rsid w:val="009A7794"/>
    <w:rsid w:val="009A7E7B"/>
    <w:rsid w:val="009B0C75"/>
    <w:rsid w:val="009B0CEB"/>
    <w:rsid w:val="009B101E"/>
    <w:rsid w:val="009B1C8E"/>
    <w:rsid w:val="009B1E75"/>
    <w:rsid w:val="009B3096"/>
    <w:rsid w:val="009B3EC6"/>
    <w:rsid w:val="009B4A74"/>
    <w:rsid w:val="009B5805"/>
    <w:rsid w:val="009B668A"/>
    <w:rsid w:val="009B775F"/>
    <w:rsid w:val="009C0C5B"/>
    <w:rsid w:val="009C14C4"/>
    <w:rsid w:val="009C1905"/>
    <w:rsid w:val="009C22F1"/>
    <w:rsid w:val="009C3AF3"/>
    <w:rsid w:val="009C3E5A"/>
    <w:rsid w:val="009C406C"/>
    <w:rsid w:val="009C617F"/>
    <w:rsid w:val="009C6530"/>
    <w:rsid w:val="009C6AA2"/>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9F78C0"/>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20B"/>
    <w:rsid w:val="00A24344"/>
    <w:rsid w:val="00A2465F"/>
    <w:rsid w:val="00A24E8D"/>
    <w:rsid w:val="00A26897"/>
    <w:rsid w:val="00A307EE"/>
    <w:rsid w:val="00A3255F"/>
    <w:rsid w:val="00A33691"/>
    <w:rsid w:val="00A3398A"/>
    <w:rsid w:val="00A3551F"/>
    <w:rsid w:val="00A36FA4"/>
    <w:rsid w:val="00A4000F"/>
    <w:rsid w:val="00A402D8"/>
    <w:rsid w:val="00A4197B"/>
    <w:rsid w:val="00A426EB"/>
    <w:rsid w:val="00A42A17"/>
    <w:rsid w:val="00A44FB9"/>
    <w:rsid w:val="00A45111"/>
    <w:rsid w:val="00A46989"/>
    <w:rsid w:val="00A46BF9"/>
    <w:rsid w:val="00A50695"/>
    <w:rsid w:val="00A50E17"/>
    <w:rsid w:val="00A51798"/>
    <w:rsid w:val="00A51FDD"/>
    <w:rsid w:val="00A52CED"/>
    <w:rsid w:val="00A54BD2"/>
    <w:rsid w:val="00A54E69"/>
    <w:rsid w:val="00A55424"/>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5742"/>
    <w:rsid w:val="00A6680A"/>
    <w:rsid w:val="00A6729F"/>
    <w:rsid w:val="00A67D5C"/>
    <w:rsid w:val="00A7057F"/>
    <w:rsid w:val="00A71CDB"/>
    <w:rsid w:val="00A71DC3"/>
    <w:rsid w:val="00A729CD"/>
    <w:rsid w:val="00A73972"/>
    <w:rsid w:val="00A74A5C"/>
    <w:rsid w:val="00A74AE1"/>
    <w:rsid w:val="00A74EB0"/>
    <w:rsid w:val="00A75EE8"/>
    <w:rsid w:val="00A7667B"/>
    <w:rsid w:val="00A77D4B"/>
    <w:rsid w:val="00A82400"/>
    <w:rsid w:val="00A82F9A"/>
    <w:rsid w:val="00A842D8"/>
    <w:rsid w:val="00A84F31"/>
    <w:rsid w:val="00A8567C"/>
    <w:rsid w:val="00A86090"/>
    <w:rsid w:val="00A8663D"/>
    <w:rsid w:val="00A86D8E"/>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0D4"/>
    <w:rsid w:val="00AA6613"/>
    <w:rsid w:val="00AA7196"/>
    <w:rsid w:val="00AA7723"/>
    <w:rsid w:val="00AA7793"/>
    <w:rsid w:val="00AB0756"/>
    <w:rsid w:val="00AB2DE2"/>
    <w:rsid w:val="00AB2FAE"/>
    <w:rsid w:val="00AB366A"/>
    <w:rsid w:val="00AB4B36"/>
    <w:rsid w:val="00AB5334"/>
    <w:rsid w:val="00AB552F"/>
    <w:rsid w:val="00AB5DB1"/>
    <w:rsid w:val="00AB6269"/>
    <w:rsid w:val="00AB7B2D"/>
    <w:rsid w:val="00AC006E"/>
    <w:rsid w:val="00AC048F"/>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AF6B40"/>
    <w:rsid w:val="00B00106"/>
    <w:rsid w:val="00B003CE"/>
    <w:rsid w:val="00B01368"/>
    <w:rsid w:val="00B02788"/>
    <w:rsid w:val="00B02975"/>
    <w:rsid w:val="00B02BB0"/>
    <w:rsid w:val="00B02F35"/>
    <w:rsid w:val="00B030E2"/>
    <w:rsid w:val="00B04BCF"/>
    <w:rsid w:val="00B0534B"/>
    <w:rsid w:val="00B05AAE"/>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1F5B"/>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B1D"/>
    <w:rsid w:val="00B60C4A"/>
    <w:rsid w:val="00B6154F"/>
    <w:rsid w:val="00B61CDE"/>
    <w:rsid w:val="00B6292D"/>
    <w:rsid w:val="00B6365A"/>
    <w:rsid w:val="00B643AB"/>
    <w:rsid w:val="00B6496D"/>
    <w:rsid w:val="00B64CE3"/>
    <w:rsid w:val="00B650A6"/>
    <w:rsid w:val="00B658A5"/>
    <w:rsid w:val="00B66083"/>
    <w:rsid w:val="00B67749"/>
    <w:rsid w:val="00B67771"/>
    <w:rsid w:val="00B67CB6"/>
    <w:rsid w:val="00B70BCE"/>
    <w:rsid w:val="00B7173D"/>
    <w:rsid w:val="00B73052"/>
    <w:rsid w:val="00B731E8"/>
    <w:rsid w:val="00B73962"/>
    <w:rsid w:val="00B74024"/>
    <w:rsid w:val="00B7459D"/>
    <w:rsid w:val="00B7505A"/>
    <w:rsid w:val="00B75902"/>
    <w:rsid w:val="00B832A7"/>
    <w:rsid w:val="00B833F2"/>
    <w:rsid w:val="00B848FF"/>
    <w:rsid w:val="00B855C2"/>
    <w:rsid w:val="00B85950"/>
    <w:rsid w:val="00B864A5"/>
    <w:rsid w:val="00B86AF4"/>
    <w:rsid w:val="00B86F0A"/>
    <w:rsid w:val="00B876DC"/>
    <w:rsid w:val="00B87B72"/>
    <w:rsid w:val="00B90AF2"/>
    <w:rsid w:val="00B90B76"/>
    <w:rsid w:val="00B90D2A"/>
    <w:rsid w:val="00B90EF7"/>
    <w:rsid w:val="00B911E9"/>
    <w:rsid w:val="00B912F9"/>
    <w:rsid w:val="00B921C4"/>
    <w:rsid w:val="00B92332"/>
    <w:rsid w:val="00B92411"/>
    <w:rsid w:val="00B92F54"/>
    <w:rsid w:val="00B93F1E"/>
    <w:rsid w:val="00B954AE"/>
    <w:rsid w:val="00BA0A65"/>
    <w:rsid w:val="00BA17A7"/>
    <w:rsid w:val="00BA1CA6"/>
    <w:rsid w:val="00BA2256"/>
    <w:rsid w:val="00BA4982"/>
    <w:rsid w:val="00BA4F6D"/>
    <w:rsid w:val="00BA586D"/>
    <w:rsid w:val="00BA5911"/>
    <w:rsid w:val="00BA6F52"/>
    <w:rsid w:val="00BA7B86"/>
    <w:rsid w:val="00BB05CE"/>
    <w:rsid w:val="00BB0B44"/>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365E"/>
    <w:rsid w:val="00BC43BC"/>
    <w:rsid w:val="00BC481A"/>
    <w:rsid w:val="00BC7F76"/>
    <w:rsid w:val="00BD03CE"/>
    <w:rsid w:val="00BD0C2F"/>
    <w:rsid w:val="00BD0C86"/>
    <w:rsid w:val="00BD0CE1"/>
    <w:rsid w:val="00BD12FD"/>
    <w:rsid w:val="00BD2241"/>
    <w:rsid w:val="00BD26C3"/>
    <w:rsid w:val="00BD5D4B"/>
    <w:rsid w:val="00BD7546"/>
    <w:rsid w:val="00BD7B72"/>
    <w:rsid w:val="00BD7BF3"/>
    <w:rsid w:val="00BE0D12"/>
    <w:rsid w:val="00BE29E9"/>
    <w:rsid w:val="00BE2AE8"/>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92B"/>
    <w:rsid w:val="00C04E38"/>
    <w:rsid w:val="00C065EE"/>
    <w:rsid w:val="00C113F0"/>
    <w:rsid w:val="00C12632"/>
    <w:rsid w:val="00C13C14"/>
    <w:rsid w:val="00C147E0"/>
    <w:rsid w:val="00C148FE"/>
    <w:rsid w:val="00C15343"/>
    <w:rsid w:val="00C15C39"/>
    <w:rsid w:val="00C16657"/>
    <w:rsid w:val="00C170A5"/>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9C5"/>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619"/>
    <w:rsid w:val="00C75817"/>
    <w:rsid w:val="00C75B30"/>
    <w:rsid w:val="00C760DB"/>
    <w:rsid w:val="00C773A1"/>
    <w:rsid w:val="00C77E6B"/>
    <w:rsid w:val="00C829C4"/>
    <w:rsid w:val="00C83CD1"/>
    <w:rsid w:val="00C84384"/>
    <w:rsid w:val="00C84414"/>
    <w:rsid w:val="00C84B0F"/>
    <w:rsid w:val="00C87E8B"/>
    <w:rsid w:val="00C9038B"/>
    <w:rsid w:val="00C90F83"/>
    <w:rsid w:val="00C910B2"/>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2785"/>
    <w:rsid w:val="00CB3B95"/>
    <w:rsid w:val="00CB5E3C"/>
    <w:rsid w:val="00CB70E9"/>
    <w:rsid w:val="00CB746B"/>
    <w:rsid w:val="00CB771A"/>
    <w:rsid w:val="00CC0013"/>
    <w:rsid w:val="00CC02AF"/>
    <w:rsid w:val="00CC0422"/>
    <w:rsid w:val="00CC0632"/>
    <w:rsid w:val="00CC0B83"/>
    <w:rsid w:val="00CC63EB"/>
    <w:rsid w:val="00CC79F3"/>
    <w:rsid w:val="00CC7B20"/>
    <w:rsid w:val="00CD0618"/>
    <w:rsid w:val="00CD0ECD"/>
    <w:rsid w:val="00CD16F8"/>
    <w:rsid w:val="00CD34FF"/>
    <w:rsid w:val="00CD4C85"/>
    <w:rsid w:val="00CD5002"/>
    <w:rsid w:val="00CD57D1"/>
    <w:rsid w:val="00CD5B0B"/>
    <w:rsid w:val="00CD5C1F"/>
    <w:rsid w:val="00CD6668"/>
    <w:rsid w:val="00CD76F2"/>
    <w:rsid w:val="00CD77B7"/>
    <w:rsid w:val="00CE2BC4"/>
    <w:rsid w:val="00CE35B4"/>
    <w:rsid w:val="00CE39D5"/>
    <w:rsid w:val="00CE3A97"/>
    <w:rsid w:val="00CE45FA"/>
    <w:rsid w:val="00CE60F1"/>
    <w:rsid w:val="00CE7880"/>
    <w:rsid w:val="00CE7C61"/>
    <w:rsid w:val="00CF0D49"/>
    <w:rsid w:val="00CF0E34"/>
    <w:rsid w:val="00CF2382"/>
    <w:rsid w:val="00CF2F4C"/>
    <w:rsid w:val="00CF3766"/>
    <w:rsid w:val="00CF3FA1"/>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112"/>
    <w:rsid w:val="00D14430"/>
    <w:rsid w:val="00D147C2"/>
    <w:rsid w:val="00D1501D"/>
    <w:rsid w:val="00D15133"/>
    <w:rsid w:val="00D159A1"/>
    <w:rsid w:val="00D174FB"/>
    <w:rsid w:val="00D17602"/>
    <w:rsid w:val="00D17C8E"/>
    <w:rsid w:val="00D20FD0"/>
    <w:rsid w:val="00D23397"/>
    <w:rsid w:val="00D2442B"/>
    <w:rsid w:val="00D2508D"/>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740"/>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7BA"/>
    <w:rsid w:val="00DB08C7"/>
    <w:rsid w:val="00DB1568"/>
    <w:rsid w:val="00DB2C6F"/>
    <w:rsid w:val="00DB2E47"/>
    <w:rsid w:val="00DB4B5B"/>
    <w:rsid w:val="00DB57D1"/>
    <w:rsid w:val="00DB659C"/>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22D"/>
    <w:rsid w:val="00DD17E0"/>
    <w:rsid w:val="00DD204D"/>
    <w:rsid w:val="00DD2A72"/>
    <w:rsid w:val="00DD2B25"/>
    <w:rsid w:val="00DD3030"/>
    <w:rsid w:val="00DD34CB"/>
    <w:rsid w:val="00DD4C7C"/>
    <w:rsid w:val="00DD5A57"/>
    <w:rsid w:val="00DD656D"/>
    <w:rsid w:val="00DD70C1"/>
    <w:rsid w:val="00DE04A7"/>
    <w:rsid w:val="00DE1413"/>
    <w:rsid w:val="00DE1D10"/>
    <w:rsid w:val="00DE2BCA"/>
    <w:rsid w:val="00DE2D80"/>
    <w:rsid w:val="00DE2E20"/>
    <w:rsid w:val="00DE3205"/>
    <w:rsid w:val="00DE40E7"/>
    <w:rsid w:val="00DE4397"/>
    <w:rsid w:val="00DE50D0"/>
    <w:rsid w:val="00DE5C65"/>
    <w:rsid w:val="00DF0BEE"/>
    <w:rsid w:val="00DF0E45"/>
    <w:rsid w:val="00DF2A25"/>
    <w:rsid w:val="00DF2F5C"/>
    <w:rsid w:val="00DF4F9C"/>
    <w:rsid w:val="00DF5D6F"/>
    <w:rsid w:val="00DF73BC"/>
    <w:rsid w:val="00DF7B5C"/>
    <w:rsid w:val="00DF7FDF"/>
    <w:rsid w:val="00E00ED5"/>
    <w:rsid w:val="00E01647"/>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3CA"/>
    <w:rsid w:val="00E25B7C"/>
    <w:rsid w:val="00E25E86"/>
    <w:rsid w:val="00E2748A"/>
    <w:rsid w:val="00E27E93"/>
    <w:rsid w:val="00E308D9"/>
    <w:rsid w:val="00E30BC9"/>
    <w:rsid w:val="00E31B61"/>
    <w:rsid w:val="00E32656"/>
    <w:rsid w:val="00E32A5D"/>
    <w:rsid w:val="00E32CC6"/>
    <w:rsid w:val="00E32CD3"/>
    <w:rsid w:val="00E331E9"/>
    <w:rsid w:val="00E3320C"/>
    <w:rsid w:val="00E33A97"/>
    <w:rsid w:val="00E34182"/>
    <w:rsid w:val="00E34529"/>
    <w:rsid w:val="00E352ED"/>
    <w:rsid w:val="00E35E4B"/>
    <w:rsid w:val="00E37329"/>
    <w:rsid w:val="00E375C1"/>
    <w:rsid w:val="00E40120"/>
    <w:rsid w:val="00E41232"/>
    <w:rsid w:val="00E428CF"/>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0CC"/>
    <w:rsid w:val="00E64638"/>
    <w:rsid w:val="00E6558F"/>
    <w:rsid w:val="00E65BBB"/>
    <w:rsid w:val="00E65BCD"/>
    <w:rsid w:val="00E6764C"/>
    <w:rsid w:val="00E677FF"/>
    <w:rsid w:val="00E67FF6"/>
    <w:rsid w:val="00E700A4"/>
    <w:rsid w:val="00E70137"/>
    <w:rsid w:val="00E708F4"/>
    <w:rsid w:val="00E71F67"/>
    <w:rsid w:val="00E74CB8"/>
    <w:rsid w:val="00E7596C"/>
    <w:rsid w:val="00E76B1A"/>
    <w:rsid w:val="00E76D8E"/>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24BE"/>
    <w:rsid w:val="00EB6D61"/>
    <w:rsid w:val="00EB70B2"/>
    <w:rsid w:val="00EC0CAF"/>
    <w:rsid w:val="00EC1121"/>
    <w:rsid w:val="00EC115C"/>
    <w:rsid w:val="00EC127C"/>
    <w:rsid w:val="00EC1BCF"/>
    <w:rsid w:val="00EC2299"/>
    <w:rsid w:val="00EC2EFD"/>
    <w:rsid w:val="00EC3D58"/>
    <w:rsid w:val="00EC4740"/>
    <w:rsid w:val="00EC4C91"/>
    <w:rsid w:val="00EC5FE7"/>
    <w:rsid w:val="00EC7F77"/>
    <w:rsid w:val="00ED0826"/>
    <w:rsid w:val="00ED1163"/>
    <w:rsid w:val="00ED14DF"/>
    <w:rsid w:val="00ED298F"/>
    <w:rsid w:val="00ED2C99"/>
    <w:rsid w:val="00ED2CF7"/>
    <w:rsid w:val="00ED350E"/>
    <w:rsid w:val="00ED3B20"/>
    <w:rsid w:val="00ED3D99"/>
    <w:rsid w:val="00ED3EF2"/>
    <w:rsid w:val="00ED42B9"/>
    <w:rsid w:val="00ED5151"/>
    <w:rsid w:val="00ED5A7C"/>
    <w:rsid w:val="00ED5F36"/>
    <w:rsid w:val="00ED6E6D"/>
    <w:rsid w:val="00ED7114"/>
    <w:rsid w:val="00ED76A9"/>
    <w:rsid w:val="00EE0EE2"/>
    <w:rsid w:val="00EE14E2"/>
    <w:rsid w:val="00EE1C89"/>
    <w:rsid w:val="00EE2B25"/>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4C02"/>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4B26"/>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68B8"/>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1B7"/>
    <w:rsid w:val="00F81907"/>
    <w:rsid w:val="00F83E7A"/>
    <w:rsid w:val="00F849E4"/>
    <w:rsid w:val="00F84F53"/>
    <w:rsid w:val="00F86069"/>
    <w:rsid w:val="00F90F7D"/>
    <w:rsid w:val="00F943B6"/>
    <w:rsid w:val="00F9654D"/>
    <w:rsid w:val="00F9766D"/>
    <w:rsid w:val="00F97FA7"/>
    <w:rsid w:val="00FA0294"/>
    <w:rsid w:val="00FA0D4B"/>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61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39F9"/>
    <w:rsid w:val="00FD4E3A"/>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6DC1"/>
    <w:rsid w:val="00FE757A"/>
    <w:rsid w:val="00FF02A6"/>
    <w:rsid w:val="00FF09BB"/>
    <w:rsid w:val="00FF107C"/>
    <w:rsid w:val="00FF286E"/>
    <w:rsid w:val="00FF2D80"/>
    <w:rsid w:val="00FF335D"/>
    <w:rsid w:val="00FF4C33"/>
    <w:rsid w:val="00FF55CF"/>
    <w:rsid w:val="00FF5C97"/>
    <w:rsid w:val="00FF628A"/>
    <w:rsid w:val="00FF6DBE"/>
    <w:rsid w:val="00FF7724"/>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595407403">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3.xml><?xml version="1.0" encoding="utf-8"?>
<ds:datastoreItem xmlns:ds="http://schemas.openxmlformats.org/officeDocument/2006/customXml" ds:itemID="{BA2A035A-C81B-41E0-B58B-DA54CB1981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1186</Words>
  <Characters>7831</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 Market Rules</cp:lastModifiedBy>
  <cp:revision>2</cp:revision>
  <cp:lastPrinted>2019-12-18T16:51:00Z</cp:lastPrinted>
  <dcterms:created xsi:type="dcterms:W3CDTF">2024-11-25T16:12:00Z</dcterms:created>
  <dcterms:modified xsi:type="dcterms:W3CDTF">2024-11-25T16:12:00Z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y fmtid="{D5CDD505-2E9C-101B-9397-08002B2CF9AE}" pid="4" name="MSIP_Label_7084cbda-52b8-46fb-a7b7-cb5bd465ed85_Enabled">
    <vt:lpwstr>true</vt:lpwstr>
  </property>
  <property fmtid="{D5CDD505-2E9C-101B-9397-08002B2CF9AE}" pid="5" name="MSIP_Label_7084cbda-52b8-46fb-a7b7-cb5bd465ed85_SetDate">
    <vt:lpwstr>2023-07-27T15:34:48Z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bf6826fb-23ec-4474-9bb0-176f3e9f9865</vt:lpwstr>
  </property>
  <property fmtid="{D5CDD505-2E9C-101B-9397-08002B2CF9AE}" pid="10" name="MSIP_Label_7084cbda-52b8-46fb-a7b7-cb5bd465ed85_ContentBits">
    <vt:lpwstr>0</vt:lpwstr>
  </property>
</Properties>
</file>