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5A7D3FD6" w:rsidR="007F1A85" w:rsidRPr="00F47DEE" w:rsidRDefault="00AC30A6" w:rsidP="00CF3582">
            <w:pPr>
              <w:tabs>
                <w:tab w:val="left" w:pos="720"/>
                <w:tab w:val="left" w:pos="1080"/>
                <w:tab w:val="left" w:pos="1725"/>
              </w:tabs>
              <w:rPr>
                <w:rFonts w:ascii="Arial" w:hAnsi="Arial" w:cs="Arial"/>
              </w:rPr>
            </w:pPr>
            <w:r>
              <w:rPr>
                <w:rFonts w:ascii="Arial" w:hAnsi="Arial" w:cs="Arial"/>
              </w:rPr>
              <w:t>November</w:t>
            </w:r>
            <w:r w:rsidR="00836366">
              <w:rPr>
                <w:rFonts w:ascii="Arial" w:hAnsi="Arial" w:cs="Arial"/>
              </w:rPr>
              <w:t xml:space="preserve"> </w:t>
            </w:r>
            <w:r>
              <w:rPr>
                <w:rFonts w:ascii="Arial" w:hAnsi="Arial" w:cs="Arial"/>
              </w:rPr>
              <w:t>22</w:t>
            </w:r>
            <w:r w:rsidR="00836366">
              <w:rPr>
                <w:rFonts w:ascii="Arial" w:hAnsi="Arial" w:cs="Arial"/>
              </w:rPr>
              <w:t>, 2024</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1842EB6D" w:rsidR="0088605A" w:rsidRPr="00F47DEE" w:rsidRDefault="008E54C3" w:rsidP="005F3826">
            <w:pPr>
              <w:tabs>
                <w:tab w:val="left" w:pos="720"/>
                <w:tab w:val="left" w:pos="1080"/>
              </w:tabs>
              <w:rPr>
                <w:rFonts w:ascii="Arial" w:hAnsi="Arial" w:cs="Arial"/>
              </w:rPr>
            </w:pPr>
            <w:r>
              <w:rPr>
                <w:rFonts w:ascii="Arial" w:hAnsi="Arial" w:cs="Arial"/>
              </w:rPr>
              <w:t>Caitlin Smith</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28358926" w:rsidR="005C33DD" w:rsidRPr="00DE2AE6" w:rsidRDefault="007D620B" w:rsidP="005C33DD">
            <w:pPr>
              <w:pStyle w:val="BulletIndent"/>
              <w:rPr>
                <w:rFonts w:ascii="Arial" w:hAnsi="Arial" w:cs="Arial"/>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AC30A6" w:rsidRPr="00AC30A6">
              <w:rPr>
                <w:rFonts w:ascii="Arial" w:hAnsi="Arial" w:cs="Arial"/>
                <w:szCs w:val="24"/>
              </w:rPr>
              <w:t>December 3, 2024</w:t>
            </w:r>
          </w:p>
          <w:p w14:paraId="54AFDC54" w14:textId="7102DC18"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AC30A6" w:rsidRPr="00AC30A6">
              <w:rPr>
                <w:rFonts w:ascii="Arial" w:hAnsi="Arial" w:cs="Arial"/>
                <w:szCs w:val="24"/>
              </w:rPr>
              <w:t xml:space="preserve"> 3.1</w:t>
            </w:r>
            <w:r w:rsidR="007D620B" w:rsidRPr="00F47DEE">
              <w:rPr>
                <w:rFonts w:ascii="Arial" w:hAnsi="Arial" w:cs="Arial"/>
                <w:bCs/>
                <w:szCs w:val="24"/>
              </w:rPr>
              <w:t xml:space="preserve"> </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6D9134F" w14:textId="2636FE8A" w:rsidR="00A53564" w:rsidRPr="00A8165F" w:rsidRDefault="009C6BA6" w:rsidP="00A8165F">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Revision Requests</w:t>
            </w:r>
            <w:r w:rsidR="00381767">
              <w:rPr>
                <w:rFonts w:ascii="Arial" w:hAnsi="Arial" w:cs="Arial"/>
                <w:bCs/>
                <w:u w:val="none"/>
              </w:rPr>
              <w:t>:</w:t>
            </w:r>
            <w:r w:rsidR="00EA565D">
              <w:rPr>
                <w:rFonts w:ascii="Arial" w:hAnsi="Arial" w:cs="Arial"/>
                <w:bCs/>
                <w:u w:val="none"/>
              </w:rPr>
              <w:t xml:space="preserve"> </w:t>
            </w:r>
            <w:r w:rsidR="00657622">
              <w:rPr>
                <w:rFonts w:ascii="Arial" w:hAnsi="Arial" w:cs="Arial"/>
                <w:bCs/>
                <w:u w:val="none"/>
              </w:rPr>
              <w:t>Nodal Protocol Revision Request (NPRR</w:t>
            </w:r>
            <w:r w:rsidR="00972931">
              <w:rPr>
                <w:rFonts w:ascii="Arial" w:hAnsi="Arial" w:cs="Arial"/>
                <w:bCs/>
                <w:u w:val="none"/>
              </w:rPr>
              <w:t>s</w:t>
            </w:r>
            <w:r w:rsidR="009922C0">
              <w:rPr>
                <w:rFonts w:ascii="Arial" w:hAnsi="Arial" w:cs="Arial"/>
                <w:bCs/>
                <w:u w:val="none"/>
              </w:rPr>
              <w:t>)</w:t>
            </w:r>
            <w:r w:rsidR="00972931">
              <w:rPr>
                <w:rFonts w:ascii="Arial" w:hAnsi="Arial" w:cs="Arial"/>
                <w:bCs/>
                <w:u w:val="none"/>
              </w:rPr>
              <w:t xml:space="preserve">, </w:t>
            </w:r>
            <w:r w:rsidR="00A77256">
              <w:rPr>
                <w:rFonts w:ascii="Arial" w:hAnsi="Arial" w:cs="Arial"/>
                <w:bCs/>
                <w:u w:val="none"/>
              </w:rPr>
              <w:t xml:space="preserve">Nodal Operating Guide Revision Requests (NOGRRs), </w:t>
            </w:r>
            <w:r w:rsidR="006A7A74">
              <w:rPr>
                <w:rFonts w:ascii="Arial" w:hAnsi="Arial" w:cs="Arial"/>
                <w:bCs/>
                <w:u w:val="none"/>
              </w:rPr>
              <w:t>Other Binding Document Revision Request</w:t>
            </w:r>
            <w:r w:rsidR="008A5AC9">
              <w:rPr>
                <w:rFonts w:ascii="Arial" w:hAnsi="Arial" w:cs="Arial"/>
                <w:bCs/>
                <w:u w:val="none"/>
              </w:rPr>
              <w:t>s</w:t>
            </w:r>
            <w:r w:rsidR="006A7A74">
              <w:rPr>
                <w:rFonts w:ascii="Arial" w:hAnsi="Arial" w:cs="Arial"/>
                <w:bCs/>
                <w:u w:val="none"/>
              </w:rPr>
              <w:t xml:space="preserve"> (OBDRR</w:t>
            </w:r>
            <w:r w:rsidR="008A5AC9">
              <w:rPr>
                <w:rFonts w:ascii="Arial" w:hAnsi="Arial" w:cs="Arial"/>
                <w:bCs/>
                <w:u w:val="none"/>
              </w:rPr>
              <w:t>s</w:t>
            </w:r>
            <w:r w:rsidR="006A7A74">
              <w:rPr>
                <w:rFonts w:ascii="Arial" w:hAnsi="Arial" w:cs="Arial"/>
                <w:bCs/>
                <w:u w:val="none"/>
              </w:rPr>
              <w:t xml:space="preserve">), </w:t>
            </w:r>
            <w:r w:rsidR="00A77256">
              <w:rPr>
                <w:rFonts w:ascii="Arial" w:hAnsi="Arial" w:cs="Arial"/>
                <w:bCs/>
                <w:u w:val="none"/>
              </w:rPr>
              <w:t xml:space="preserve">and </w:t>
            </w:r>
            <w:r w:rsidR="008A5AC9">
              <w:rPr>
                <w:rFonts w:ascii="Arial" w:hAnsi="Arial" w:cs="Arial"/>
                <w:bCs/>
                <w:u w:val="none"/>
              </w:rPr>
              <w:t>Planning Guide Revision Requests (PGRRs),</w:t>
            </w:r>
            <w:r w:rsidR="00A77256">
              <w:rPr>
                <w:rFonts w:ascii="Arial" w:hAnsi="Arial" w:cs="Arial"/>
                <w:bCs/>
                <w:u w:val="none"/>
              </w:rPr>
              <w:t xml:space="preserve"> </w:t>
            </w:r>
            <w:r w:rsidRPr="00F47DEE">
              <w:rPr>
                <w:rFonts w:ascii="Arial" w:hAnsi="Arial" w:cs="Arial"/>
                <w:bCs/>
                <w:u w:val="none"/>
              </w:rPr>
              <w:t>recommended for approval by TAC (with no opposing votes recorded):</w:t>
            </w:r>
          </w:p>
          <w:p w14:paraId="7E397F45" w14:textId="27E9A414" w:rsidR="008A5AC9" w:rsidRDefault="008A5AC9" w:rsidP="00A62673">
            <w:pPr>
              <w:pStyle w:val="ListParagraph"/>
              <w:numPr>
                <w:ilvl w:val="0"/>
                <w:numId w:val="6"/>
              </w:numPr>
              <w:rPr>
                <w:rFonts w:ascii="Arial" w:hAnsi="Arial" w:cs="Arial"/>
                <w:bCs/>
              </w:rPr>
            </w:pPr>
            <w:bookmarkStart w:id="2" w:name="_Hlk177984731"/>
            <w:bookmarkEnd w:id="1"/>
            <w:r w:rsidRPr="008A5AC9">
              <w:rPr>
                <w:rFonts w:ascii="Arial" w:hAnsi="Arial" w:cs="Arial"/>
                <w:bCs/>
              </w:rPr>
              <w:t xml:space="preserve">NPRR1180, Inclusion of Forecasted Load in Planning </w:t>
            </w:r>
            <w:proofErr w:type="gramStart"/>
            <w:r w:rsidRPr="008A5AC9">
              <w:rPr>
                <w:rFonts w:ascii="Arial" w:hAnsi="Arial" w:cs="Arial"/>
                <w:bCs/>
              </w:rPr>
              <w:t>Analyses</w:t>
            </w:r>
            <w:r w:rsidR="00621951">
              <w:rPr>
                <w:rFonts w:ascii="Arial" w:hAnsi="Arial" w:cs="Arial"/>
                <w:bCs/>
              </w:rPr>
              <w:t>;</w:t>
            </w:r>
            <w:proofErr w:type="gramEnd"/>
          </w:p>
          <w:p w14:paraId="757828F1" w14:textId="49484E16" w:rsidR="008A5AC9" w:rsidRDefault="008A5AC9" w:rsidP="00A62673">
            <w:pPr>
              <w:pStyle w:val="ListParagraph"/>
              <w:numPr>
                <w:ilvl w:val="0"/>
                <w:numId w:val="6"/>
              </w:numPr>
              <w:rPr>
                <w:rFonts w:ascii="Arial" w:hAnsi="Arial" w:cs="Arial"/>
                <w:bCs/>
              </w:rPr>
            </w:pPr>
            <w:r w:rsidRPr="008A5AC9">
              <w:rPr>
                <w:rFonts w:ascii="Arial" w:hAnsi="Arial" w:cs="Arial"/>
                <w:bCs/>
              </w:rPr>
              <w:t xml:space="preserve">NPRR1239, Access to Market </w:t>
            </w:r>
            <w:proofErr w:type="gramStart"/>
            <w:r w:rsidRPr="008A5AC9">
              <w:rPr>
                <w:rFonts w:ascii="Arial" w:hAnsi="Arial" w:cs="Arial"/>
                <w:bCs/>
              </w:rPr>
              <w:t>Information</w:t>
            </w:r>
            <w:r w:rsidR="00621951">
              <w:rPr>
                <w:rFonts w:ascii="Arial" w:hAnsi="Arial" w:cs="Arial"/>
                <w:bCs/>
              </w:rPr>
              <w:t>;</w:t>
            </w:r>
            <w:proofErr w:type="gramEnd"/>
          </w:p>
          <w:p w14:paraId="0C43507D" w14:textId="75E86C05" w:rsidR="008A5AC9" w:rsidRDefault="008A5AC9" w:rsidP="00A62673">
            <w:pPr>
              <w:pStyle w:val="ListParagraph"/>
              <w:numPr>
                <w:ilvl w:val="0"/>
                <w:numId w:val="6"/>
              </w:numPr>
              <w:rPr>
                <w:rFonts w:ascii="Arial" w:hAnsi="Arial" w:cs="Arial"/>
                <w:bCs/>
              </w:rPr>
            </w:pPr>
            <w:r w:rsidRPr="008A5AC9">
              <w:rPr>
                <w:rFonts w:ascii="Arial" w:hAnsi="Arial" w:cs="Arial"/>
                <w:bCs/>
              </w:rPr>
              <w:t xml:space="preserve">NPRR1240, Access to Transmission Planning </w:t>
            </w:r>
            <w:proofErr w:type="gramStart"/>
            <w:r w:rsidRPr="008A5AC9">
              <w:rPr>
                <w:rFonts w:ascii="Arial" w:hAnsi="Arial" w:cs="Arial"/>
                <w:bCs/>
              </w:rPr>
              <w:t>Information</w:t>
            </w:r>
            <w:r w:rsidR="00621951">
              <w:rPr>
                <w:rFonts w:ascii="Arial" w:hAnsi="Arial" w:cs="Arial"/>
                <w:bCs/>
              </w:rPr>
              <w:t>;</w:t>
            </w:r>
            <w:proofErr w:type="gramEnd"/>
          </w:p>
          <w:p w14:paraId="4ADBC65D" w14:textId="7084E756" w:rsidR="00A77256" w:rsidRDefault="008A5AC9" w:rsidP="00A62673">
            <w:pPr>
              <w:pStyle w:val="ListParagraph"/>
              <w:numPr>
                <w:ilvl w:val="0"/>
                <w:numId w:val="6"/>
              </w:numPr>
              <w:rPr>
                <w:rFonts w:ascii="Arial" w:hAnsi="Arial" w:cs="Arial"/>
                <w:bCs/>
              </w:rPr>
            </w:pPr>
            <w:r>
              <w:rPr>
                <w:rFonts w:ascii="Arial" w:hAnsi="Arial" w:cs="Arial"/>
                <w:bCs/>
              </w:rPr>
              <w:t xml:space="preserve">NPRR1245, </w:t>
            </w:r>
            <w:r w:rsidRPr="008A5AC9">
              <w:rPr>
                <w:rFonts w:ascii="Arial" w:hAnsi="Arial" w:cs="Arial"/>
                <w:bCs/>
              </w:rPr>
              <w:t>Additional Clarifying Revisions to Real-Time Co-</w:t>
            </w:r>
            <w:proofErr w:type="gramStart"/>
            <w:r w:rsidRPr="008A5AC9">
              <w:rPr>
                <w:rFonts w:ascii="Arial" w:hAnsi="Arial" w:cs="Arial"/>
                <w:bCs/>
              </w:rPr>
              <w:t>Optimization</w:t>
            </w:r>
            <w:r w:rsidR="00621951">
              <w:rPr>
                <w:rFonts w:ascii="Arial" w:hAnsi="Arial" w:cs="Arial"/>
                <w:bCs/>
              </w:rPr>
              <w:t>;</w:t>
            </w:r>
            <w:proofErr w:type="gramEnd"/>
          </w:p>
          <w:p w14:paraId="46A9E09E" w14:textId="35ABC142" w:rsidR="008A5AC9" w:rsidRDefault="008A5AC9" w:rsidP="00A62673">
            <w:pPr>
              <w:pStyle w:val="ListParagraph"/>
              <w:numPr>
                <w:ilvl w:val="0"/>
                <w:numId w:val="6"/>
              </w:numPr>
              <w:rPr>
                <w:rFonts w:ascii="Arial" w:hAnsi="Arial" w:cs="Arial"/>
                <w:bCs/>
              </w:rPr>
            </w:pPr>
            <w:r w:rsidRPr="008A5AC9">
              <w:rPr>
                <w:rFonts w:ascii="Arial" w:hAnsi="Arial" w:cs="Arial"/>
                <w:bCs/>
              </w:rPr>
              <w:t xml:space="preserve">NPRR1246, Energy Storage Resource Terminology Alignment for the Single-Model </w:t>
            </w:r>
            <w:proofErr w:type="gramStart"/>
            <w:r w:rsidRPr="008A5AC9">
              <w:rPr>
                <w:rFonts w:ascii="Arial" w:hAnsi="Arial" w:cs="Arial"/>
                <w:bCs/>
              </w:rPr>
              <w:t>Era</w:t>
            </w:r>
            <w:r w:rsidR="00621951">
              <w:rPr>
                <w:rFonts w:ascii="Arial" w:hAnsi="Arial" w:cs="Arial"/>
                <w:bCs/>
              </w:rPr>
              <w:t>;</w:t>
            </w:r>
            <w:proofErr w:type="gramEnd"/>
          </w:p>
          <w:p w14:paraId="3096F753" w14:textId="1921D3ED" w:rsidR="008A5AC9" w:rsidRDefault="008A5AC9" w:rsidP="008A5AC9">
            <w:pPr>
              <w:pStyle w:val="ListParagraph"/>
              <w:numPr>
                <w:ilvl w:val="0"/>
                <w:numId w:val="6"/>
              </w:numPr>
              <w:rPr>
                <w:rFonts w:ascii="Arial" w:hAnsi="Arial" w:cs="Arial"/>
                <w:bCs/>
              </w:rPr>
            </w:pPr>
            <w:r>
              <w:rPr>
                <w:rFonts w:ascii="Arial" w:hAnsi="Arial" w:cs="Arial"/>
                <w:bCs/>
              </w:rPr>
              <w:t xml:space="preserve">NPRR1248, </w:t>
            </w:r>
            <w:r w:rsidRPr="008A5AC9">
              <w:rPr>
                <w:rFonts w:ascii="Arial" w:hAnsi="Arial" w:cs="Arial"/>
                <w:bCs/>
              </w:rPr>
              <w:t xml:space="preserve">Correction to NPRR1197, Optional Exclusion of Load from Netting at EPS Metering Facilities which Include </w:t>
            </w:r>
            <w:proofErr w:type="gramStart"/>
            <w:r w:rsidRPr="008A5AC9">
              <w:rPr>
                <w:rFonts w:ascii="Arial" w:hAnsi="Arial" w:cs="Arial"/>
                <w:bCs/>
              </w:rPr>
              <w:t>Resources</w:t>
            </w:r>
            <w:r w:rsidR="00621951">
              <w:rPr>
                <w:rFonts w:ascii="Arial" w:hAnsi="Arial" w:cs="Arial"/>
                <w:bCs/>
              </w:rPr>
              <w:t>;</w:t>
            </w:r>
            <w:proofErr w:type="gramEnd"/>
          </w:p>
          <w:p w14:paraId="5E70F69D" w14:textId="210B2873" w:rsidR="008A5AC9" w:rsidRDefault="008A5AC9" w:rsidP="008A5AC9">
            <w:pPr>
              <w:pStyle w:val="ListParagraph"/>
              <w:numPr>
                <w:ilvl w:val="0"/>
                <w:numId w:val="6"/>
              </w:numPr>
              <w:rPr>
                <w:rFonts w:ascii="Arial" w:hAnsi="Arial" w:cs="Arial"/>
                <w:bCs/>
              </w:rPr>
            </w:pPr>
            <w:r>
              <w:rPr>
                <w:rFonts w:ascii="Arial" w:hAnsi="Arial" w:cs="Arial"/>
                <w:bCs/>
              </w:rPr>
              <w:t>NPRR1249,</w:t>
            </w:r>
            <w:r w:rsidR="00621951">
              <w:rPr>
                <w:rFonts w:ascii="Arial" w:hAnsi="Arial" w:cs="Arial"/>
                <w:bCs/>
              </w:rPr>
              <w:t xml:space="preserve"> </w:t>
            </w:r>
            <w:r w:rsidRPr="008A5AC9">
              <w:rPr>
                <w:rFonts w:ascii="Arial" w:hAnsi="Arial" w:cs="Arial"/>
                <w:bCs/>
              </w:rPr>
              <w:t xml:space="preserve">Publication of Shift Factors for All Active Transmission Constraints in the </w:t>
            </w:r>
            <w:proofErr w:type="gramStart"/>
            <w:r w:rsidRPr="008A5AC9">
              <w:rPr>
                <w:rFonts w:ascii="Arial" w:hAnsi="Arial" w:cs="Arial"/>
                <w:bCs/>
              </w:rPr>
              <w:t>RTM</w:t>
            </w:r>
            <w:r w:rsidR="00621951">
              <w:rPr>
                <w:rFonts w:ascii="Arial" w:hAnsi="Arial" w:cs="Arial"/>
                <w:bCs/>
              </w:rPr>
              <w:t>;</w:t>
            </w:r>
            <w:proofErr w:type="gramEnd"/>
          </w:p>
          <w:p w14:paraId="39334818" w14:textId="441B7AA0" w:rsidR="008A5AC9" w:rsidRDefault="008A5AC9" w:rsidP="008A5AC9">
            <w:pPr>
              <w:pStyle w:val="ListParagraph"/>
              <w:numPr>
                <w:ilvl w:val="0"/>
                <w:numId w:val="6"/>
              </w:numPr>
              <w:rPr>
                <w:rFonts w:ascii="Arial" w:hAnsi="Arial" w:cs="Arial"/>
                <w:bCs/>
              </w:rPr>
            </w:pPr>
            <w:r w:rsidRPr="008A5AC9">
              <w:rPr>
                <w:rFonts w:ascii="Arial" w:hAnsi="Arial" w:cs="Arial"/>
                <w:bCs/>
              </w:rPr>
              <w:t xml:space="preserve">NPRR1254, Modeling Deadline for Initial Submission of Resource Registration </w:t>
            </w:r>
            <w:proofErr w:type="gramStart"/>
            <w:r w:rsidRPr="008A5AC9">
              <w:rPr>
                <w:rFonts w:ascii="Arial" w:hAnsi="Arial" w:cs="Arial"/>
                <w:bCs/>
              </w:rPr>
              <w:t>Data</w:t>
            </w:r>
            <w:r w:rsidR="00621951">
              <w:rPr>
                <w:rFonts w:ascii="Arial" w:hAnsi="Arial" w:cs="Arial"/>
                <w:bCs/>
              </w:rPr>
              <w:t>;</w:t>
            </w:r>
            <w:proofErr w:type="gramEnd"/>
          </w:p>
          <w:p w14:paraId="37C561DA" w14:textId="6D3C2477" w:rsidR="008A5AC9" w:rsidRDefault="008A5AC9" w:rsidP="008A5AC9">
            <w:pPr>
              <w:pStyle w:val="ListParagraph"/>
              <w:numPr>
                <w:ilvl w:val="0"/>
                <w:numId w:val="6"/>
              </w:numPr>
              <w:rPr>
                <w:rFonts w:ascii="Arial" w:hAnsi="Arial" w:cs="Arial"/>
                <w:bCs/>
              </w:rPr>
            </w:pPr>
            <w:r w:rsidRPr="008A5AC9">
              <w:rPr>
                <w:rFonts w:ascii="Arial" w:hAnsi="Arial" w:cs="Arial"/>
                <w:bCs/>
              </w:rPr>
              <w:t xml:space="preserve">NOGRR266, Related to NPRR1239, Access to Market </w:t>
            </w:r>
            <w:proofErr w:type="gramStart"/>
            <w:r w:rsidRPr="008A5AC9">
              <w:rPr>
                <w:rFonts w:ascii="Arial" w:hAnsi="Arial" w:cs="Arial"/>
                <w:bCs/>
              </w:rPr>
              <w:t>Information</w:t>
            </w:r>
            <w:r w:rsidR="00621951">
              <w:rPr>
                <w:rFonts w:ascii="Arial" w:hAnsi="Arial" w:cs="Arial"/>
                <w:bCs/>
              </w:rPr>
              <w:t>;</w:t>
            </w:r>
            <w:proofErr w:type="gramEnd"/>
          </w:p>
          <w:p w14:paraId="16607528" w14:textId="374FC8FD" w:rsidR="008A5AC9" w:rsidRDefault="008A5AC9" w:rsidP="008A5AC9">
            <w:pPr>
              <w:pStyle w:val="ListParagraph"/>
              <w:numPr>
                <w:ilvl w:val="0"/>
                <w:numId w:val="6"/>
              </w:numPr>
              <w:rPr>
                <w:rFonts w:ascii="Arial" w:hAnsi="Arial" w:cs="Arial"/>
                <w:bCs/>
              </w:rPr>
            </w:pPr>
            <w:r w:rsidRPr="008A5AC9">
              <w:rPr>
                <w:rFonts w:ascii="Arial" w:hAnsi="Arial" w:cs="Arial"/>
                <w:bCs/>
              </w:rPr>
              <w:t xml:space="preserve">NOGRR267, Related to NPRR1240, Access to Transmission Planning </w:t>
            </w:r>
            <w:proofErr w:type="gramStart"/>
            <w:r w:rsidRPr="008A5AC9">
              <w:rPr>
                <w:rFonts w:ascii="Arial" w:hAnsi="Arial" w:cs="Arial"/>
                <w:bCs/>
              </w:rPr>
              <w:t>Information</w:t>
            </w:r>
            <w:r w:rsidR="00621951">
              <w:rPr>
                <w:rFonts w:ascii="Arial" w:hAnsi="Arial" w:cs="Arial"/>
                <w:bCs/>
              </w:rPr>
              <w:t>;</w:t>
            </w:r>
            <w:proofErr w:type="gramEnd"/>
          </w:p>
          <w:p w14:paraId="5706B7AE" w14:textId="0ADE7126" w:rsidR="008A5AC9" w:rsidRDefault="008A5AC9" w:rsidP="008A5AC9">
            <w:pPr>
              <w:pStyle w:val="ListParagraph"/>
              <w:numPr>
                <w:ilvl w:val="0"/>
                <w:numId w:val="6"/>
              </w:numPr>
              <w:rPr>
                <w:rFonts w:ascii="Arial" w:hAnsi="Arial" w:cs="Arial"/>
                <w:bCs/>
              </w:rPr>
            </w:pPr>
            <w:r w:rsidRPr="008A5AC9">
              <w:rPr>
                <w:rFonts w:ascii="Arial" w:hAnsi="Arial" w:cs="Arial"/>
                <w:bCs/>
              </w:rPr>
              <w:t xml:space="preserve">NOGRR268, Related to NPRR1246, Energy Storage Resource Terminology Alignment for the Single-Model </w:t>
            </w:r>
            <w:proofErr w:type="gramStart"/>
            <w:r w:rsidRPr="008A5AC9">
              <w:rPr>
                <w:rFonts w:ascii="Arial" w:hAnsi="Arial" w:cs="Arial"/>
                <w:bCs/>
              </w:rPr>
              <w:t>Era</w:t>
            </w:r>
            <w:r w:rsidR="00621951">
              <w:rPr>
                <w:rFonts w:ascii="Arial" w:hAnsi="Arial" w:cs="Arial"/>
                <w:bCs/>
              </w:rPr>
              <w:t>;</w:t>
            </w:r>
            <w:proofErr w:type="gramEnd"/>
          </w:p>
          <w:p w14:paraId="04765945" w14:textId="12A76D1D" w:rsidR="008A5AC9" w:rsidRDefault="008A5AC9" w:rsidP="008A5AC9">
            <w:pPr>
              <w:pStyle w:val="ListParagraph"/>
              <w:numPr>
                <w:ilvl w:val="0"/>
                <w:numId w:val="6"/>
              </w:numPr>
              <w:rPr>
                <w:rFonts w:ascii="Arial" w:hAnsi="Arial" w:cs="Arial"/>
                <w:bCs/>
              </w:rPr>
            </w:pPr>
            <w:r w:rsidRPr="008A5AC9">
              <w:rPr>
                <w:rFonts w:ascii="Arial" w:hAnsi="Arial" w:cs="Arial"/>
                <w:bCs/>
              </w:rPr>
              <w:t xml:space="preserve">OBDRR052, Related to NPRR1246, Energy Storage Resource Terminology Alignment for the Single-Model </w:t>
            </w:r>
            <w:proofErr w:type="gramStart"/>
            <w:r w:rsidRPr="008A5AC9">
              <w:rPr>
                <w:rFonts w:ascii="Arial" w:hAnsi="Arial" w:cs="Arial"/>
                <w:bCs/>
              </w:rPr>
              <w:t>Era</w:t>
            </w:r>
            <w:r w:rsidR="00621951">
              <w:rPr>
                <w:rFonts w:ascii="Arial" w:hAnsi="Arial" w:cs="Arial"/>
                <w:bCs/>
              </w:rPr>
              <w:t>;</w:t>
            </w:r>
            <w:proofErr w:type="gramEnd"/>
          </w:p>
          <w:p w14:paraId="69C1186F" w14:textId="3C11AEC1" w:rsidR="008A5AC9" w:rsidRDefault="008A5AC9" w:rsidP="008A5AC9">
            <w:pPr>
              <w:pStyle w:val="ListParagraph"/>
              <w:numPr>
                <w:ilvl w:val="0"/>
                <w:numId w:val="6"/>
              </w:numPr>
              <w:rPr>
                <w:rFonts w:ascii="Arial" w:hAnsi="Arial" w:cs="Arial"/>
                <w:bCs/>
              </w:rPr>
            </w:pPr>
            <w:r>
              <w:rPr>
                <w:rFonts w:ascii="Arial" w:hAnsi="Arial" w:cs="Arial"/>
                <w:bCs/>
              </w:rPr>
              <w:t xml:space="preserve">OBDRR053, </w:t>
            </w:r>
            <w:r w:rsidRPr="008A5AC9">
              <w:rPr>
                <w:rFonts w:ascii="Arial" w:hAnsi="Arial" w:cs="Arial"/>
                <w:bCs/>
              </w:rPr>
              <w:t xml:space="preserve">Alignment with NPRR1131, Controllable Load Resource Participation in Non-Spin, and Minor </w:t>
            </w:r>
            <w:proofErr w:type="gramStart"/>
            <w:r w:rsidRPr="008A5AC9">
              <w:rPr>
                <w:rFonts w:ascii="Arial" w:hAnsi="Arial" w:cs="Arial"/>
                <w:bCs/>
              </w:rPr>
              <w:t>Clean-Ups</w:t>
            </w:r>
            <w:r w:rsidR="00621951">
              <w:rPr>
                <w:rFonts w:ascii="Arial" w:hAnsi="Arial" w:cs="Arial"/>
                <w:bCs/>
              </w:rPr>
              <w:t>;</w:t>
            </w:r>
            <w:proofErr w:type="gramEnd"/>
          </w:p>
          <w:p w14:paraId="5941DDEF" w14:textId="0D69E4F4" w:rsidR="008A5AC9" w:rsidRDefault="008A5AC9" w:rsidP="008A5AC9">
            <w:pPr>
              <w:pStyle w:val="ListParagraph"/>
              <w:numPr>
                <w:ilvl w:val="0"/>
                <w:numId w:val="6"/>
              </w:numPr>
              <w:rPr>
                <w:rFonts w:ascii="Arial" w:hAnsi="Arial" w:cs="Arial"/>
                <w:bCs/>
              </w:rPr>
            </w:pPr>
            <w:r w:rsidRPr="008A5AC9">
              <w:rPr>
                <w:rFonts w:ascii="Arial" w:hAnsi="Arial" w:cs="Arial"/>
                <w:bCs/>
              </w:rPr>
              <w:t xml:space="preserve">PGRR107, Related to NPRR1180, Inclusion of Forecasted Load in Planning </w:t>
            </w:r>
            <w:proofErr w:type="gramStart"/>
            <w:r w:rsidRPr="008A5AC9">
              <w:rPr>
                <w:rFonts w:ascii="Arial" w:hAnsi="Arial" w:cs="Arial"/>
                <w:bCs/>
              </w:rPr>
              <w:t>Analyses</w:t>
            </w:r>
            <w:r w:rsidR="00621951">
              <w:rPr>
                <w:rFonts w:ascii="Arial" w:hAnsi="Arial" w:cs="Arial"/>
                <w:bCs/>
              </w:rPr>
              <w:t>;</w:t>
            </w:r>
            <w:proofErr w:type="gramEnd"/>
          </w:p>
          <w:p w14:paraId="15333B0D" w14:textId="7EB7299D" w:rsidR="008A5AC9" w:rsidRDefault="008A5AC9" w:rsidP="008A5AC9">
            <w:pPr>
              <w:pStyle w:val="ListParagraph"/>
              <w:numPr>
                <w:ilvl w:val="0"/>
                <w:numId w:val="6"/>
              </w:numPr>
              <w:rPr>
                <w:rFonts w:ascii="Arial" w:hAnsi="Arial" w:cs="Arial"/>
                <w:bCs/>
              </w:rPr>
            </w:pPr>
            <w:r w:rsidRPr="008A5AC9">
              <w:rPr>
                <w:rFonts w:ascii="Arial" w:hAnsi="Arial" w:cs="Arial"/>
                <w:bCs/>
              </w:rPr>
              <w:t>PGRR116, Related to NPRR1240, Access to Transmission Planning Information</w:t>
            </w:r>
            <w:r w:rsidR="00621951">
              <w:rPr>
                <w:rFonts w:ascii="Arial" w:hAnsi="Arial" w:cs="Arial"/>
                <w:bCs/>
              </w:rPr>
              <w:t>; and</w:t>
            </w:r>
          </w:p>
          <w:p w14:paraId="4D70EC9C" w14:textId="53C473A8" w:rsidR="008A5AC9" w:rsidRPr="008A5AC9" w:rsidRDefault="008A5AC9" w:rsidP="008A5AC9">
            <w:pPr>
              <w:pStyle w:val="ListParagraph"/>
              <w:numPr>
                <w:ilvl w:val="0"/>
                <w:numId w:val="6"/>
              </w:numPr>
              <w:rPr>
                <w:rFonts w:ascii="Arial" w:hAnsi="Arial" w:cs="Arial"/>
                <w:bCs/>
              </w:rPr>
            </w:pPr>
            <w:r w:rsidRPr="008A5AC9">
              <w:rPr>
                <w:rFonts w:ascii="Arial" w:hAnsi="Arial" w:cs="Arial"/>
                <w:bCs/>
              </w:rPr>
              <w:t>PGRR118, Related to NPRR1246, Energy Storage Resource Terminology Alignment for the Single-Model Era</w:t>
            </w:r>
            <w:r w:rsidR="00621951">
              <w:rPr>
                <w:rFonts w:ascii="Arial" w:hAnsi="Arial" w:cs="Arial"/>
                <w:bCs/>
              </w:rPr>
              <w:t>.</w:t>
            </w:r>
          </w:p>
          <w:bookmarkEnd w:id="2"/>
          <w:p w14:paraId="4E760282" w14:textId="40FC878E" w:rsidR="00C75945" w:rsidRPr="00A62673" w:rsidRDefault="00C75945" w:rsidP="00C75945">
            <w:pPr>
              <w:pStyle w:val="ListParagraph"/>
              <w:rPr>
                <w:rFonts w:ascii="Arial" w:hAnsi="Arial" w:cs="Arial"/>
                <w:bCs/>
              </w:rPr>
            </w:pP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5E3961" w:rsidRDefault="007D620B" w:rsidP="00703060">
            <w:pPr>
              <w:pStyle w:val="Heading5"/>
              <w:keepNext w:val="0"/>
              <w:jc w:val="both"/>
              <w:rPr>
                <w:rFonts w:ascii="Arial" w:hAnsi="Arial" w:cs="Arial"/>
                <w:b/>
                <w:bCs/>
              </w:rPr>
            </w:pPr>
            <w:r w:rsidRPr="005E3961">
              <w:rPr>
                <w:rFonts w:ascii="Arial" w:hAnsi="Arial" w:cs="Arial"/>
                <w:b/>
                <w:bCs/>
              </w:rPr>
              <w:t>Background/History:</w:t>
            </w:r>
          </w:p>
          <w:p w14:paraId="478AEBC4" w14:textId="3E638A2B" w:rsidR="005E3961" w:rsidRPr="001F5F1E" w:rsidRDefault="00167741" w:rsidP="00703060">
            <w:pPr>
              <w:jc w:val="both"/>
              <w:rPr>
                <w:rFonts w:ascii="Arial" w:hAnsi="Arial" w:cs="Arial"/>
                <w:b/>
                <w:bCs/>
              </w:rPr>
            </w:pPr>
            <w:r w:rsidRPr="005E3961">
              <w:rPr>
                <w:rFonts w:ascii="Arial" w:hAnsi="Arial" w:cs="Arial"/>
                <w:b/>
                <w:bCs/>
              </w:rPr>
              <w:lastRenderedPageBreak/>
              <w:t>Unless otherwise noted: (i) all Market Segment</w:t>
            </w:r>
            <w:r w:rsidR="00840278" w:rsidRPr="005E3961">
              <w:rPr>
                <w:rFonts w:ascii="Arial" w:hAnsi="Arial" w:cs="Arial"/>
                <w:b/>
                <w:bCs/>
              </w:rPr>
              <w:t xml:space="preserve">s </w:t>
            </w:r>
            <w:r w:rsidR="007F1A85" w:rsidRPr="005E3961">
              <w:rPr>
                <w:rFonts w:ascii="Arial" w:hAnsi="Arial" w:cs="Arial"/>
                <w:b/>
                <w:bCs/>
              </w:rPr>
              <w:t>participated</w:t>
            </w:r>
            <w:r w:rsidR="00177EE8" w:rsidRPr="005E3961">
              <w:rPr>
                <w:rFonts w:ascii="Arial" w:hAnsi="Arial" w:cs="Arial"/>
                <w:b/>
                <w:bCs/>
              </w:rPr>
              <w:t xml:space="preserve"> in</w:t>
            </w:r>
            <w:r w:rsidR="00840278" w:rsidRPr="005E3961">
              <w:rPr>
                <w:rFonts w:ascii="Arial" w:hAnsi="Arial" w:cs="Arial"/>
                <w:b/>
                <w:bCs/>
              </w:rPr>
              <w:t xml:space="preserve"> each vote;</w:t>
            </w:r>
            <w:r w:rsidRPr="005E3961">
              <w:rPr>
                <w:rFonts w:ascii="Arial" w:hAnsi="Arial" w:cs="Arial"/>
                <w:b/>
                <w:bCs/>
              </w:rPr>
              <w:t xml:space="preserve"> (ii) </w:t>
            </w:r>
            <w:r w:rsidR="00ED1822" w:rsidRPr="005E3961">
              <w:rPr>
                <w:rFonts w:ascii="Arial" w:hAnsi="Arial" w:cs="Arial"/>
                <w:b/>
                <w:bCs/>
              </w:rPr>
              <w:t xml:space="preserve">For NPRRs, </w:t>
            </w:r>
            <w:r w:rsidRPr="005E3961">
              <w:rPr>
                <w:rFonts w:ascii="Arial" w:hAnsi="Arial" w:cs="Arial"/>
                <w:b/>
                <w:bCs/>
              </w:rPr>
              <w:t>ERCOT Credit Staf</w:t>
            </w:r>
            <w:r w:rsidR="00D33285">
              <w:rPr>
                <w:rFonts w:ascii="Arial" w:hAnsi="Arial" w:cs="Arial"/>
                <w:b/>
                <w:bCs/>
              </w:rPr>
              <w:t xml:space="preserve">f and </w:t>
            </w:r>
            <w:r w:rsidRPr="005E3961">
              <w:rPr>
                <w:rFonts w:ascii="Arial" w:hAnsi="Arial" w:cs="Arial"/>
                <w:b/>
                <w:bCs/>
              </w:rPr>
              <w:t xml:space="preserve">the </w:t>
            </w:r>
            <w:r w:rsidR="006873EB">
              <w:rPr>
                <w:rFonts w:ascii="Arial" w:hAnsi="Arial" w:cs="Arial"/>
                <w:b/>
                <w:bCs/>
              </w:rPr>
              <w:t xml:space="preserve">Credit Finance Sub Group (CFSG) </w:t>
            </w:r>
            <w:r w:rsidRPr="005E3961">
              <w:rPr>
                <w:rFonts w:ascii="Arial" w:hAnsi="Arial" w:cs="Arial"/>
                <w:b/>
                <w:bCs/>
              </w:rPr>
              <w:t xml:space="preserve">have reviewed the </w:t>
            </w:r>
            <w:r w:rsidR="00ED1822" w:rsidRPr="005E3961">
              <w:rPr>
                <w:rFonts w:ascii="Arial" w:hAnsi="Arial" w:cs="Arial"/>
                <w:b/>
                <w:bCs/>
              </w:rPr>
              <w:t>NPRR</w:t>
            </w:r>
            <w:r w:rsidRPr="005E3961">
              <w:rPr>
                <w:rFonts w:ascii="Arial" w:hAnsi="Arial" w:cs="Arial"/>
                <w:b/>
                <w:bCs/>
              </w:rPr>
              <w:t xml:space="preserve"> and do not believe it requires changes to credit monitoring activity or the calculation of l</w:t>
            </w:r>
            <w:r w:rsidR="00CD0283" w:rsidRPr="005E3961">
              <w:rPr>
                <w:rFonts w:ascii="Arial" w:hAnsi="Arial" w:cs="Arial"/>
                <w:b/>
                <w:bCs/>
              </w:rPr>
              <w:t>iability</w:t>
            </w:r>
            <w:r w:rsidR="00840278" w:rsidRPr="005E3961">
              <w:rPr>
                <w:rFonts w:ascii="Arial" w:hAnsi="Arial" w:cs="Arial"/>
                <w:b/>
                <w:bCs/>
              </w:rPr>
              <w:t xml:space="preserve">; </w:t>
            </w:r>
            <w:r w:rsidR="00CD0283" w:rsidRPr="005E3961">
              <w:rPr>
                <w:rFonts w:ascii="Arial" w:hAnsi="Arial" w:cs="Arial"/>
                <w:b/>
                <w:bCs/>
              </w:rPr>
              <w:t xml:space="preserve">(iii) ERCOT supports the </w:t>
            </w:r>
            <w:r w:rsidR="006873EB">
              <w:rPr>
                <w:rFonts w:ascii="Arial" w:hAnsi="Arial" w:cs="Arial"/>
                <w:b/>
                <w:bCs/>
              </w:rPr>
              <w:t>R</w:t>
            </w:r>
            <w:r w:rsidR="00CD0283" w:rsidRPr="005E3961">
              <w:rPr>
                <w:rFonts w:ascii="Arial" w:hAnsi="Arial" w:cs="Arial"/>
                <w:b/>
                <w:bCs/>
              </w:rPr>
              <w:t xml:space="preserve">evision </w:t>
            </w:r>
            <w:r w:rsidR="006873EB">
              <w:rPr>
                <w:rFonts w:ascii="Arial" w:hAnsi="Arial" w:cs="Arial"/>
                <w:b/>
                <w:bCs/>
              </w:rPr>
              <w:t>R</w:t>
            </w:r>
            <w:r w:rsidR="00CD0283" w:rsidRPr="005E3961">
              <w:rPr>
                <w:rFonts w:ascii="Arial" w:hAnsi="Arial" w:cs="Arial"/>
                <w:b/>
                <w:bCs/>
              </w:rPr>
              <w:t>equest</w:t>
            </w:r>
            <w:r w:rsidR="009922C0">
              <w:rPr>
                <w:rFonts w:ascii="Arial" w:hAnsi="Arial" w:cs="Arial"/>
                <w:b/>
                <w:bCs/>
              </w:rPr>
              <w:t>; and (iv) the Independent Market Monitor</w:t>
            </w:r>
            <w:r w:rsidR="00D33285">
              <w:rPr>
                <w:rFonts w:ascii="Arial" w:hAnsi="Arial" w:cs="Arial"/>
                <w:b/>
                <w:bCs/>
              </w:rPr>
              <w:t xml:space="preserve"> (IMM)</w:t>
            </w:r>
            <w:r w:rsidR="009922C0">
              <w:rPr>
                <w:rFonts w:ascii="Arial" w:hAnsi="Arial" w:cs="Arial"/>
                <w:b/>
                <w:bCs/>
              </w:rPr>
              <w:t xml:space="preserve"> has no opinion on the </w:t>
            </w:r>
            <w:r w:rsidR="006873EB">
              <w:rPr>
                <w:rFonts w:ascii="Arial" w:hAnsi="Arial" w:cs="Arial"/>
                <w:b/>
                <w:bCs/>
              </w:rPr>
              <w:t>R</w:t>
            </w:r>
            <w:r w:rsidR="009922C0">
              <w:rPr>
                <w:rFonts w:ascii="Arial" w:hAnsi="Arial" w:cs="Arial"/>
                <w:b/>
                <w:bCs/>
              </w:rPr>
              <w:t xml:space="preserve">evision </w:t>
            </w:r>
            <w:r w:rsidR="006873EB">
              <w:rPr>
                <w:rFonts w:ascii="Arial" w:hAnsi="Arial" w:cs="Arial"/>
                <w:b/>
                <w:bCs/>
              </w:rPr>
              <w:t>R</w:t>
            </w:r>
            <w:r w:rsidR="009922C0">
              <w:rPr>
                <w:rFonts w:ascii="Arial" w:hAnsi="Arial" w:cs="Arial"/>
                <w:b/>
                <w:bCs/>
              </w:rPr>
              <w:t>equest.</w:t>
            </w:r>
          </w:p>
          <w:p w14:paraId="3FFEAA55" w14:textId="77777777" w:rsidR="009236A0" w:rsidRDefault="009236A0" w:rsidP="001F1D16">
            <w:pPr>
              <w:jc w:val="both"/>
              <w:rPr>
                <w:rFonts w:ascii="Arial" w:hAnsi="Arial" w:cs="Arial"/>
                <w:b/>
              </w:rPr>
            </w:pPr>
          </w:p>
          <w:p w14:paraId="68F4076E" w14:textId="77777777" w:rsidR="009C61B1" w:rsidRDefault="009C61B1" w:rsidP="009C61B1">
            <w:pPr>
              <w:numPr>
                <w:ilvl w:val="0"/>
                <w:numId w:val="27"/>
              </w:numPr>
              <w:rPr>
                <w:rFonts w:ascii="Arial" w:hAnsi="Arial" w:cs="Arial"/>
                <w:b/>
                <w:i/>
              </w:rPr>
            </w:pPr>
            <w:r w:rsidRPr="00553BB5">
              <w:rPr>
                <w:rFonts w:ascii="Arial" w:hAnsi="Arial" w:cs="Arial"/>
                <w:b/>
                <w:i/>
              </w:rPr>
              <w:t>NPRR1</w:t>
            </w:r>
            <w:r>
              <w:rPr>
                <w:rFonts w:ascii="Arial" w:hAnsi="Arial" w:cs="Arial"/>
                <w:b/>
                <w:i/>
              </w:rPr>
              <w:t xml:space="preserve">180, </w:t>
            </w:r>
            <w:r w:rsidRPr="00C02C40">
              <w:rPr>
                <w:rFonts w:ascii="Arial" w:hAnsi="Arial" w:cs="Arial"/>
                <w:b/>
                <w:i/>
              </w:rPr>
              <w:t>Inclusion of Forecasted Load in Planning Analyses</w:t>
            </w:r>
          </w:p>
          <w:p w14:paraId="74CDF879" w14:textId="77777777" w:rsidR="009C61B1" w:rsidRPr="005539E3" w:rsidRDefault="009C61B1" w:rsidP="009C61B1">
            <w:pPr>
              <w:ind w:left="360"/>
              <w:rPr>
                <w:rFonts w:ascii="Arial" w:hAnsi="Arial" w:cs="Arial"/>
                <w:bCs/>
                <w:iCs/>
              </w:rPr>
            </w:pPr>
            <w:r>
              <w:rPr>
                <w:rFonts w:ascii="Arial" w:hAnsi="Arial" w:cs="Arial"/>
                <w:b/>
                <w:iCs/>
              </w:rPr>
              <w:t xml:space="preserve">Sponsor:  </w:t>
            </w:r>
            <w:r>
              <w:rPr>
                <w:rFonts w:ascii="Arial" w:hAnsi="Arial" w:cs="Arial"/>
                <w:bCs/>
                <w:iCs/>
              </w:rPr>
              <w:t>Oncor</w:t>
            </w:r>
          </w:p>
          <w:p w14:paraId="1CC24148" w14:textId="77777777" w:rsidR="009C61B1" w:rsidRPr="005539E3" w:rsidRDefault="009C61B1" w:rsidP="009C61B1">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 xml:space="preserve">The first of the month following Public Utility Commission of Texas (PUCT) </w:t>
            </w:r>
            <w:proofErr w:type="gramStart"/>
            <w:r>
              <w:rPr>
                <w:rFonts w:ascii="Arial" w:hAnsi="Arial" w:cs="Arial"/>
              </w:rPr>
              <w:t>approval</w:t>
            </w:r>
            <w:proofErr w:type="gramEnd"/>
          </w:p>
          <w:p w14:paraId="634F1C6E" w14:textId="0BA51A11" w:rsidR="009C61B1" w:rsidRPr="005539E3" w:rsidRDefault="009C61B1" w:rsidP="009C61B1">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w:t>
            </w:r>
            <w:r w:rsidRPr="00F30642">
              <w:rPr>
                <w:rFonts w:ascii="Arial" w:hAnsi="Arial" w:cs="Arial"/>
                <w:bCs/>
              </w:rPr>
              <w:t xml:space="preserve">  </w:t>
            </w:r>
            <w:r w:rsidR="003B3BFB">
              <w:rPr>
                <w:rFonts w:ascii="Arial" w:hAnsi="Arial" w:cs="Arial"/>
                <w:bCs/>
              </w:rPr>
              <w:t>No impact</w:t>
            </w:r>
          </w:p>
          <w:p w14:paraId="6D02876B" w14:textId="3EB7443A" w:rsidR="009C61B1" w:rsidRPr="005539E3" w:rsidRDefault="009C61B1" w:rsidP="009C61B1">
            <w:pPr>
              <w:ind w:left="360"/>
              <w:rPr>
                <w:rFonts w:ascii="Arial" w:hAnsi="Arial" w:cs="Arial"/>
              </w:rPr>
            </w:pPr>
            <w:r w:rsidRPr="005539E3">
              <w:rPr>
                <w:rFonts w:ascii="Arial" w:hAnsi="Arial" w:cs="Arial"/>
                <w:b/>
              </w:rPr>
              <w:t xml:space="preserve">Revision Description:  </w:t>
            </w:r>
            <w:r w:rsidRPr="00112CBE">
              <w:rPr>
                <w:rFonts w:ascii="Arial" w:hAnsi="Arial" w:cs="Arial"/>
              </w:rPr>
              <w:t>This NPR</w:t>
            </w:r>
            <w:r>
              <w:rPr>
                <w:rFonts w:ascii="Arial" w:hAnsi="Arial" w:cs="Arial"/>
              </w:rPr>
              <w:t>R</w:t>
            </w:r>
            <w:r w:rsidRPr="00112CBE">
              <w:rPr>
                <w:rFonts w:ascii="Arial" w:hAnsi="Arial" w:cs="Arial"/>
              </w:rPr>
              <w:t xml:space="preserve"> revises the Protocols to address recent amendments to P.U.C. S</w:t>
            </w:r>
            <w:r w:rsidR="00621951">
              <w:rPr>
                <w:rFonts w:ascii="Arial" w:hAnsi="Arial" w:cs="Arial"/>
                <w:smallCaps/>
              </w:rPr>
              <w:t>ubst</w:t>
            </w:r>
            <w:r w:rsidRPr="00621951">
              <w:rPr>
                <w:rFonts w:ascii="Arial" w:hAnsi="Arial" w:cs="Arial"/>
                <w:smallCaps/>
              </w:rPr>
              <w:t xml:space="preserve">. </w:t>
            </w:r>
            <w:r w:rsidRPr="00112CBE">
              <w:rPr>
                <w:rFonts w:ascii="Arial" w:hAnsi="Arial" w:cs="Arial"/>
              </w:rPr>
              <w:t xml:space="preserve">R. 25.101, Certification Criteria, which became effective on December 20, 2022. Specifically, NPRR1180 incorporates the requirement in P.U.C. </w:t>
            </w:r>
            <w:r w:rsidR="00621951" w:rsidRPr="00112CBE">
              <w:rPr>
                <w:rFonts w:ascii="Arial" w:hAnsi="Arial" w:cs="Arial"/>
              </w:rPr>
              <w:t>S</w:t>
            </w:r>
            <w:r w:rsidR="00621951">
              <w:rPr>
                <w:rFonts w:ascii="Arial" w:hAnsi="Arial" w:cs="Arial"/>
                <w:smallCaps/>
              </w:rPr>
              <w:t>ubst</w:t>
            </w:r>
            <w:r w:rsidR="00621951" w:rsidRPr="00621951">
              <w:rPr>
                <w:rFonts w:ascii="Arial" w:hAnsi="Arial" w:cs="Arial"/>
                <w:smallCaps/>
              </w:rPr>
              <w:t xml:space="preserve">. </w:t>
            </w:r>
            <w:r w:rsidRPr="00112CBE">
              <w:rPr>
                <w:rFonts w:ascii="Arial" w:hAnsi="Arial" w:cs="Arial"/>
              </w:rPr>
              <w:t>R. 25.101(b)(3)(A)(ii)(II) for any reliability-driven transmission project review conducted by ERCOT to incorporate the historical load, forecasted load growth, and additional load seeking interconnection, in the ERCOT independent review.</w:t>
            </w:r>
          </w:p>
          <w:p w14:paraId="0327FCA8" w14:textId="16F52576" w:rsidR="00DA0ABE" w:rsidRDefault="00DA0ABE" w:rsidP="00DA0ABE">
            <w:pPr>
              <w:ind w:left="360"/>
              <w:rPr>
                <w:rFonts w:ascii="Arial" w:hAnsi="Arial" w:cs="Arial"/>
              </w:rPr>
            </w:pPr>
            <w:r>
              <w:rPr>
                <w:rFonts w:ascii="Arial" w:hAnsi="Arial" w:cs="Arial"/>
                <w:b/>
              </w:rPr>
              <w:t>TAC Decision:</w:t>
            </w:r>
            <w:r>
              <w:rPr>
                <w:rFonts w:ascii="Arial" w:hAnsi="Arial" w:cs="Arial"/>
              </w:rPr>
              <w:t xml:space="preserve">  </w:t>
            </w:r>
            <w:r w:rsidR="0019238E">
              <w:rPr>
                <w:rFonts w:ascii="Arial" w:hAnsi="Arial" w:cs="Arial"/>
              </w:rPr>
              <w:t xml:space="preserve">On 11/20/24, TAC voted to </w:t>
            </w:r>
            <w:r w:rsidR="0019238E" w:rsidRPr="0019238E">
              <w:rPr>
                <w:rFonts w:ascii="Arial" w:hAnsi="Arial" w:cs="Arial"/>
              </w:rPr>
              <w:t>recommend approval of NPRR1180 as recommended by PRS in the 10/17/24 PRS Report and the 10/28/24 Revised Impact Analysis</w:t>
            </w:r>
            <w:r w:rsidR="0019238E">
              <w:rPr>
                <w:rFonts w:ascii="Arial" w:hAnsi="Arial" w:cs="Arial"/>
              </w:rPr>
              <w:t xml:space="preserve">.  There were four abstentions from the Consumer (2) (Residential, OPUC), Cooperative (GSEC), and Independent Power Marketer (IPM) (SENA) Market Segments.  </w:t>
            </w:r>
          </w:p>
          <w:p w14:paraId="30146730" w14:textId="55AACC60" w:rsidR="00DA0ABE" w:rsidRDefault="00DA0ABE" w:rsidP="00DA0ABE">
            <w:pPr>
              <w:ind w:left="360"/>
              <w:rPr>
                <w:rFonts w:ascii="Arial" w:hAnsi="Arial" w:cs="Arial"/>
                <w:bCs/>
              </w:rPr>
            </w:pPr>
            <w:r>
              <w:rPr>
                <w:rFonts w:ascii="Arial" w:hAnsi="Arial" w:cs="Arial"/>
                <w:b/>
              </w:rPr>
              <w:t xml:space="preserve">ERCOT Market Impact Statement:  </w:t>
            </w:r>
            <w:r w:rsidRPr="00DA0ABE">
              <w:rPr>
                <w:rFonts w:ascii="Arial" w:hAnsi="Arial" w:cs="Arial"/>
                <w:bCs/>
              </w:rPr>
              <w:t>ERCOT Staff has reviewed NPRR1180 and believes it appropriately incorporates the requirement in P.U.C. S</w:t>
            </w:r>
            <w:r w:rsidRPr="00621951">
              <w:rPr>
                <w:rFonts w:ascii="Arial" w:hAnsi="Arial" w:cs="Arial"/>
                <w:bCs/>
                <w:smallCaps/>
              </w:rPr>
              <w:t>ubst</w:t>
            </w:r>
            <w:r w:rsidRPr="00DA0ABE">
              <w:rPr>
                <w:rFonts w:ascii="Arial" w:hAnsi="Arial" w:cs="Arial"/>
                <w:bCs/>
              </w:rPr>
              <w:t>. R.</w:t>
            </w:r>
            <w:r w:rsidR="00621951">
              <w:rPr>
                <w:rFonts w:ascii="Arial" w:hAnsi="Arial" w:cs="Arial"/>
                <w:bCs/>
              </w:rPr>
              <w:t xml:space="preserve"> </w:t>
            </w:r>
            <w:r w:rsidRPr="00DA0ABE">
              <w:rPr>
                <w:rFonts w:ascii="Arial" w:hAnsi="Arial" w:cs="Arial"/>
                <w:bCs/>
              </w:rPr>
              <w:t>25.101(b)(3)(A)(ii)(II) for any reliability-driven transmission project review conducted by ERCOT to account for historical Load, forecasted Load growth, and additional Load seeking interconnection.</w:t>
            </w:r>
          </w:p>
          <w:p w14:paraId="697A13DE" w14:textId="3C8A10C5" w:rsidR="00621951" w:rsidRPr="00621951" w:rsidRDefault="00621951" w:rsidP="00DA0ABE">
            <w:pPr>
              <w:ind w:left="360"/>
              <w:rPr>
                <w:rFonts w:ascii="Arial" w:hAnsi="Arial" w:cs="Arial"/>
              </w:rPr>
            </w:pPr>
            <w:r>
              <w:rPr>
                <w:rFonts w:ascii="Arial" w:hAnsi="Arial" w:cs="Arial"/>
                <w:b/>
              </w:rPr>
              <w:t>IMM Opinion:</w:t>
            </w:r>
            <w:r>
              <w:rPr>
                <w:rFonts w:ascii="Arial" w:hAnsi="Arial" w:cs="Arial"/>
              </w:rPr>
              <w:t xml:space="preserve">  The IMM c</w:t>
            </w:r>
            <w:r w:rsidRPr="00621951">
              <w:rPr>
                <w:rFonts w:ascii="Arial" w:hAnsi="Arial" w:cs="Arial"/>
              </w:rPr>
              <w:t>onditionally support</w:t>
            </w:r>
            <w:r>
              <w:rPr>
                <w:rFonts w:ascii="Arial" w:hAnsi="Arial" w:cs="Arial"/>
              </w:rPr>
              <w:t>s</w:t>
            </w:r>
            <w:r w:rsidRPr="00621951">
              <w:rPr>
                <w:rFonts w:ascii="Arial" w:hAnsi="Arial" w:cs="Arial"/>
              </w:rPr>
              <w:t xml:space="preserve"> NPRR1180 in concept however the details of the robustness and use of data in developing inputs to the planning analysis are important. </w:t>
            </w:r>
            <w:r>
              <w:rPr>
                <w:rFonts w:ascii="Arial" w:hAnsi="Arial" w:cs="Arial"/>
              </w:rPr>
              <w:t xml:space="preserve"> IMM </w:t>
            </w:r>
            <w:r w:rsidRPr="00621951">
              <w:rPr>
                <w:rFonts w:ascii="Arial" w:hAnsi="Arial" w:cs="Arial"/>
              </w:rPr>
              <w:t xml:space="preserve">support is contingent upon ERCOT's ability to apply reasonable methods to the data they are provided </w:t>
            </w:r>
            <w:proofErr w:type="gramStart"/>
            <w:r w:rsidRPr="00621951">
              <w:rPr>
                <w:rFonts w:ascii="Arial" w:hAnsi="Arial" w:cs="Arial"/>
              </w:rPr>
              <w:t>in order to</w:t>
            </w:r>
            <w:proofErr w:type="gramEnd"/>
            <w:r w:rsidRPr="00621951">
              <w:rPr>
                <w:rFonts w:ascii="Arial" w:hAnsi="Arial" w:cs="Arial"/>
              </w:rPr>
              <w:t xml:space="preserve"> produce the most accurate forecast for use in planning analysis</w:t>
            </w:r>
            <w:r>
              <w:rPr>
                <w:rFonts w:ascii="Arial" w:hAnsi="Arial" w:cs="Arial"/>
              </w:rPr>
              <w:t>.</w:t>
            </w:r>
          </w:p>
          <w:p w14:paraId="75F87608" w14:textId="77777777" w:rsidR="009C61B1" w:rsidRDefault="009C61B1" w:rsidP="009C61B1">
            <w:pPr>
              <w:ind w:left="360"/>
              <w:rPr>
                <w:rFonts w:ascii="Arial" w:hAnsi="Arial" w:cs="Arial"/>
                <w:b/>
                <w:i/>
              </w:rPr>
            </w:pPr>
          </w:p>
          <w:p w14:paraId="7E65D765" w14:textId="400AB617" w:rsidR="009C61B1" w:rsidRDefault="009C61B1" w:rsidP="009C61B1">
            <w:pPr>
              <w:numPr>
                <w:ilvl w:val="0"/>
                <w:numId w:val="27"/>
              </w:numPr>
              <w:rPr>
                <w:rFonts w:ascii="Arial" w:hAnsi="Arial" w:cs="Arial"/>
                <w:b/>
                <w:i/>
              </w:rPr>
            </w:pPr>
            <w:r w:rsidRPr="00553BB5">
              <w:rPr>
                <w:rFonts w:ascii="Arial" w:hAnsi="Arial" w:cs="Arial"/>
                <w:b/>
                <w:i/>
              </w:rPr>
              <w:t>NPRR1</w:t>
            </w:r>
            <w:r>
              <w:rPr>
                <w:rFonts w:ascii="Arial" w:hAnsi="Arial" w:cs="Arial"/>
                <w:b/>
                <w:i/>
              </w:rPr>
              <w:t xml:space="preserve">239, </w:t>
            </w:r>
            <w:r w:rsidRPr="00DD290C">
              <w:rPr>
                <w:rFonts w:ascii="Arial" w:hAnsi="Arial" w:cs="Arial"/>
                <w:b/>
                <w:i/>
              </w:rPr>
              <w:t>Access to Market Information</w:t>
            </w:r>
          </w:p>
          <w:p w14:paraId="240536ED" w14:textId="77777777" w:rsidR="009C61B1" w:rsidRPr="005539E3" w:rsidRDefault="009C61B1" w:rsidP="009C61B1">
            <w:pPr>
              <w:ind w:left="360"/>
              <w:rPr>
                <w:rFonts w:ascii="Arial" w:hAnsi="Arial" w:cs="Arial"/>
                <w:bCs/>
                <w:iCs/>
              </w:rPr>
            </w:pPr>
            <w:r>
              <w:rPr>
                <w:rFonts w:ascii="Arial" w:hAnsi="Arial" w:cs="Arial"/>
                <w:b/>
                <w:iCs/>
              </w:rPr>
              <w:t xml:space="preserve">Sponsor:  </w:t>
            </w:r>
            <w:r>
              <w:rPr>
                <w:rFonts w:ascii="Arial" w:hAnsi="Arial" w:cs="Arial"/>
                <w:bCs/>
                <w:iCs/>
              </w:rPr>
              <w:t>ERCOT</w:t>
            </w:r>
          </w:p>
          <w:p w14:paraId="7718F80A" w14:textId="77777777" w:rsidR="009C61B1" w:rsidRPr="005539E3" w:rsidRDefault="009C61B1" w:rsidP="009C61B1">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Upon system implementation – Priority 2025; Rank 4540</w:t>
            </w:r>
          </w:p>
          <w:p w14:paraId="13F07E96" w14:textId="77777777" w:rsidR="009C61B1" w:rsidRPr="005539E3" w:rsidRDefault="009C61B1" w:rsidP="009C61B1">
            <w:pPr>
              <w:pStyle w:val="BodyText"/>
              <w:spacing w:before="0" w:after="0"/>
              <w:ind w:left="360"/>
              <w:rPr>
                <w:rFonts w:ascii="Arial" w:hAnsi="Arial" w:cs="Arial"/>
                <w:i/>
              </w:rPr>
            </w:pPr>
            <w:r>
              <w:rPr>
                <w:rFonts w:ascii="Arial" w:hAnsi="Arial" w:cs="Arial"/>
                <w:b/>
              </w:rPr>
              <w:t>Estimated Impacts</w:t>
            </w:r>
            <w:r w:rsidRPr="005539E3">
              <w:rPr>
                <w:rFonts w:ascii="Arial" w:hAnsi="Arial" w:cs="Arial"/>
                <w:b/>
              </w:rPr>
              <w:t xml:space="preserve">:  </w:t>
            </w:r>
            <w:r w:rsidRPr="00EB7C96">
              <w:rPr>
                <w:rFonts w:ascii="Arial" w:hAnsi="Arial" w:cs="Arial"/>
              </w:rPr>
              <w:t>Between $</w:t>
            </w:r>
            <w:r>
              <w:rPr>
                <w:rFonts w:ascii="Arial" w:hAnsi="Arial" w:cs="Arial"/>
              </w:rPr>
              <w:t>50K</w:t>
            </w:r>
            <w:r w:rsidRPr="00EB7C96">
              <w:rPr>
                <w:rFonts w:ascii="Arial" w:hAnsi="Arial" w:cs="Arial"/>
              </w:rPr>
              <w:t xml:space="preserve"> and $</w:t>
            </w:r>
            <w:proofErr w:type="gramStart"/>
            <w:r>
              <w:rPr>
                <w:rFonts w:ascii="Arial" w:hAnsi="Arial" w:cs="Arial"/>
              </w:rPr>
              <w:t>100K</w:t>
            </w:r>
            <w:proofErr w:type="gramEnd"/>
          </w:p>
          <w:p w14:paraId="0C350A26" w14:textId="6012F24A" w:rsidR="009C61B1" w:rsidRPr="005539E3" w:rsidRDefault="009C61B1" w:rsidP="009C61B1">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DD290C">
              <w:rPr>
                <w:rFonts w:ascii="Arial" w:hAnsi="Arial" w:cs="Arial"/>
              </w:rPr>
              <w:t>moves from the MIS Secure Area to the public ERCOT website</w:t>
            </w:r>
            <w:r w:rsidR="00563CB2">
              <w:rPr>
                <w:rFonts w:ascii="Arial" w:hAnsi="Arial" w:cs="Arial"/>
              </w:rPr>
              <w:t>,</w:t>
            </w:r>
            <w:r w:rsidRPr="00DD290C">
              <w:rPr>
                <w:rFonts w:ascii="Arial" w:hAnsi="Arial" w:cs="Arial"/>
              </w:rPr>
              <w:t xml:space="preserve"> reports that do not contain ECEII.  ERCOT Staff analyzed reports in the MIS Secure Area, along with existing Protocols for posting requirements, and identified no ongoing basis for holding in the MIS Secure Area </w:t>
            </w:r>
            <w:r w:rsidRPr="00DD290C">
              <w:rPr>
                <w:rFonts w:ascii="Arial" w:hAnsi="Arial" w:cs="Arial"/>
              </w:rPr>
              <w:lastRenderedPageBreak/>
              <w:t>reports determined to contain only information for a market audience and not ECEII.</w:t>
            </w:r>
          </w:p>
          <w:p w14:paraId="67EB36B3" w14:textId="4356B058" w:rsidR="009C61B1" w:rsidRDefault="009C61B1" w:rsidP="009C61B1">
            <w:pPr>
              <w:ind w:left="360"/>
              <w:rPr>
                <w:rFonts w:ascii="Arial" w:hAnsi="Arial" w:cs="Arial"/>
              </w:rPr>
            </w:pPr>
            <w:r>
              <w:rPr>
                <w:rFonts w:ascii="Arial" w:hAnsi="Arial" w:cs="Arial"/>
                <w:b/>
              </w:rPr>
              <w:t>TAC Decision:</w:t>
            </w:r>
            <w:r>
              <w:rPr>
                <w:rFonts w:ascii="Arial" w:hAnsi="Arial" w:cs="Arial"/>
              </w:rPr>
              <w:t xml:space="preserve">  </w:t>
            </w:r>
            <w:r w:rsidR="0019238E">
              <w:rPr>
                <w:rFonts w:ascii="Arial" w:hAnsi="Arial" w:cs="Arial"/>
              </w:rPr>
              <w:t>On 11/20/24, TAC voted unanimously t</w:t>
            </w:r>
            <w:r w:rsidR="0019238E" w:rsidRPr="0019238E">
              <w:rPr>
                <w:rFonts w:ascii="Arial" w:hAnsi="Arial" w:cs="Arial"/>
              </w:rPr>
              <w:t>o recommend approval of NPRR1239 as recommended by PRS in the 11/14/24 PRS Report</w:t>
            </w:r>
            <w:r w:rsidR="0019238E">
              <w:rPr>
                <w:rFonts w:ascii="Arial" w:hAnsi="Arial" w:cs="Arial"/>
              </w:rPr>
              <w:t>.</w:t>
            </w:r>
          </w:p>
          <w:p w14:paraId="459E5428" w14:textId="56872E6B" w:rsidR="009C61B1" w:rsidRDefault="009C61B1" w:rsidP="009C61B1">
            <w:pPr>
              <w:ind w:left="360"/>
              <w:rPr>
                <w:rFonts w:ascii="Arial" w:hAnsi="Arial" w:cs="Arial"/>
              </w:rPr>
            </w:pPr>
            <w:r>
              <w:rPr>
                <w:rFonts w:ascii="Arial" w:hAnsi="Arial" w:cs="Arial"/>
                <w:b/>
              </w:rPr>
              <w:t xml:space="preserve">ERCOT Market Impact Statement:  </w:t>
            </w:r>
            <w:r w:rsidR="00DA0ABE" w:rsidRPr="00DA0ABE">
              <w:rPr>
                <w:rFonts w:ascii="Arial" w:hAnsi="Arial" w:cs="Arial"/>
                <w:bCs/>
              </w:rPr>
              <w:t>ERCOT Staff has reviewed NPRR1239 and believes it provides a positive market impact by improving access and transparency by moving reports that are not ECEII from the MIS Secure Area to the ERCOT website so the public can directly access reports without registering as a Market Participant and requesting ERCOT to issue a Digital Certificate, or without submitting an ERCOT Information Request.</w:t>
            </w:r>
          </w:p>
          <w:p w14:paraId="62F8A23A" w14:textId="77777777" w:rsidR="009C61B1" w:rsidRDefault="009C61B1" w:rsidP="009C61B1">
            <w:pPr>
              <w:rPr>
                <w:rFonts w:ascii="Arial" w:hAnsi="Arial" w:cs="Arial"/>
                <w:b/>
                <w:i/>
              </w:rPr>
            </w:pPr>
          </w:p>
          <w:p w14:paraId="77747B76" w14:textId="77777777" w:rsidR="009C61B1" w:rsidRDefault="009C61B1" w:rsidP="009C61B1">
            <w:pPr>
              <w:numPr>
                <w:ilvl w:val="0"/>
                <w:numId w:val="27"/>
              </w:numPr>
              <w:rPr>
                <w:rFonts w:ascii="Arial" w:hAnsi="Arial" w:cs="Arial"/>
                <w:b/>
                <w:i/>
              </w:rPr>
            </w:pPr>
            <w:r w:rsidRPr="00553BB5">
              <w:rPr>
                <w:rFonts w:ascii="Arial" w:hAnsi="Arial" w:cs="Arial"/>
                <w:b/>
                <w:i/>
              </w:rPr>
              <w:t>NPRR1</w:t>
            </w:r>
            <w:r>
              <w:rPr>
                <w:rFonts w:ascii="Arial" w:hAnsi="Arial" w:cs="Arial"/>
                <w:b/>
                <w:i/>
              </w:rPr>
              <w:t xml:space="preserve">240, </w:t>
            </w:r>
            <w:r w:rsidRPr="00DD290C">
              <w:rPr>
                <w:rFonts w:ascii="Arial" w:hAnsi="Arial" w:cs="Arial"/>
                <w:b/>
                <w:i/>
              </w:rPr>
              <w:t>Access to Transmission Planning Information</w:t>
            </w:r>
          </w:p>
          <w:p w14:paraId="4AB14964" w14:textId="77777777" w:rsidR="009C61B1" w:rsidRPr="005539E3" w:rsidRDefault="009C61B1" w:rsidP="009C61B1">
            <w:pPr>
              <w:ind w:left="360"/>
              <w:rPr>
                <w:rFonts w:ascii="Arial" w:hAnsi="Arial" w:cs="Arial"/>
                <w:bCs/>
                <w:iCs/>
              </w:rPr>
            </w:pPr>
            <w:r>
              <w:rPr>
                <w:rFonts w:ascii="Arial" w:hAnsi="Arial" w:cs="Arial"/>
                <w:b/>
                <w:iCs/>
              </w:rPr>
              <w:t xml:space="preserve">Sponsor:  </w:t>
            </w:r>
            <w:r>
              <w:rPr>
                <w:rFonts w:ascii="Arial" w:hAnsi="Arial" w:cs="Arial"/>
                <w:bCs/>
                <w:iCs/>
              </w:rPr>
              <w:t>ERCOT</w:t>
            </w:r>
          </w:p>
          <w:p w14:paraId="0E594DFC" w14:textId="77777777" w:rsidR="009C61B1" w:rsidRPr="005539E3" w:rsidRDefault="009C61B1" w:rsidP="009C61B1">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Upon system implementation – Priority 2025; Rank 4540</w:t>
            </w:r>
          </w:p>
          <w:p w14:paraId="1311690F" w14:textId="77777777" w:rsidR="009C61B1" w:rsidRPr="005539E3" w:rsidRDefault="009C61B1" w:rsidP="009C61B1">
            <w:pPr>
              <w:pStyle w:val="BodyText"/>
              <w:spacing w:before="0" w:after="0"/>
              <w:ind w:left="360"/>
              <w:rPr>
                <w:rFonts w:ascii="Arial" w:hAnsi="Arial" w:cs="Arial"/>
                <w:i/>
              </w:rPr>
            </w:pPr>
            <w:r>
              <w:rPr>
                <w:rFonts w:ascii="Arial" w:hAnsi="Arial" w:cs="Arial"/>
                <w:b/>
              </w:rPr>
              <w:t>Estimated Impacts</w:t>
            </w:r>
            <w:r w:rsidRPr="005539E3">
              <w:rPr>
                <w:rFonts w:ascii="Arial" w:hAnsi="Arial" w:cs="Arial"/>
                <w:b/>
              </w:rPr>
              <w:t xml:space="preserve">:  </w:t>
            </w:r>
            <w:r w:rsidRPr="00EB7C96">
              <w:rPr>
                <w:rFonts w:ascii="Arial" w:hAnsi="Arial" w:cs="Arial"/>
              </w:rPr>
              <w:t>Between $</w:t>
            </w:r>
            <w:r>
              <w:rPr>
                <w:rFonts w:ascii="Arial" w:hAnsi="Arial" w:cs="Arial"/>
              </w:rPr>
              <w:t>40K</w:t>
            </w:r>
            <w:r w:rsidRPr="00EB7C96">
              <w:rPr>
                <w:rFonts w:ascii="Arial" w:hAnsi="Arial" w:cs="Arial"/>
              </w:rPr>
              <w:t xml:space="preserve"> and $</w:t>
            </w:r>
            <w:proofErr w:type="gramStart"/>
            <w:r>
              <w:rPr>
                <w:rFonts w:ascii="Arial" w:hAnsi="Arial" w:cs="Arial"/>
              </w:rPr>
              <w:t>60K</w:t>
            </w:r>
            <w:proofErr w:type="gramEnd"/>
          </w:p>
          <w:p w14:paraId="1DF813E2" w14:textId="7A32BACE" w:rsidR="009C61B1" w:rsidRPr="005539E3" w:rsidRDefault="009C61B1" w:rsidP="009C61B1">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DD290C">
              <w:rPr>
                <w:rFonts w:ascii="Arial" w:hAnsi="Arial" w:cs="Arial"/>
              </w:rPr>
              <w:t>moves from the MIS Secure Area to the public ERCOT website reports that do not contain</w:t>
            </w:r>
            <w:r>
              <w:rPr>
                <w:rFonts w:ascii="Arial" w:hAnsi="Arial" w:cs="Arial"/>
              </w:rPr>
              <w:t xml:space="preserve"> </w:t>
            </w:r>
            <w:r w:rsidRPr="00DD290C">
              <w:rPr>
                <w:rFonts w:ascii="Arial" w:hAnsi="Arial" w:cs="Arial"/>
              </w:rPr>
              <w:t xml:space="preserve">ECEII.  ERCOT Staff analyzed reports in the MIS Secure Area, along with existing Protocols for posting requirements, and identified no ongoing basis for holding in the MIS Secure Area reports determined to contain only Transmission planning information for a market audience and not ECEII. </w:t>
            </w:r>
            <w:r>
              <w:rPr>
                <w:rFonts w:ascii="Arial" w:hAnsi="Arial" w:cs="Arial"/>
              </w:rPr>
              <w:t xml:space="preserve"> </w:t>
            </w:r>
            <w:r w:rsidRPr="00DD290C">
              <w:rPr>
                <w:rFonts w:ascii="Arial" w:hAnsi="Arial" w:cs="Arial"/>
              </w:rPr>
              <w:t xml:space="preserve">In addition to moving reports that do not contain ECEII to the ERCOT website, this NPRR also conforms rules with current posting practices for maintaining on the MIS Secure Area ECEII lists of equipment in the Outage Scheduler; for making available in the Model On Demand (MOD) application the annual planning model data submittal schedule; and for posting on the ERCOT website weekly Demand forecasts, demand analyses for 36 months and beyond, metrics of forecast error, and assessments of chronic congestion. </w:t>
            </w:r>
            <w:r>
              <w:rPr>
                <w:rFonts w:ascii="Arial" w:hAnsi="Arial" w:cs="Arial"/>
              </w:rPr>
              <w:t xml:space="preserve"> </w:t>
            </w:r>
            <w:r w:rsidRPr="00DD290C">
              <w:rPr>
                <w:rFonts w:ascii="Arial" w:hAnsi="Arial" w:cs="Arial"/>
              </w:rPr>
              <w:t>This NPRR also clarifies that the TAC publicly reviews the Major Transmission Elements (MTE) list that isn’t ECEII, rather than the High Impact Transmission Elements (HITE) list that is ECEII; that Private Use Network Load distribution factor data would be redacted from postings on the “ERCOT website” rather than on the “MIS”; and that ERCOT’s monthly evaluations of chronic congestion are posted on the ERCOT website.  Finally, this NPRR strikes the requirement to post on the ERCOT website shift schedules for ERCOT Operations Staff – currently, ERCOT posts shift schedules redacted of individuals’ identifying information, making the postings of little or no public use.</w:t>
            </w:r>
          </w:p>
          <w:p w14:paraId="587D4CC1" w14:textId="64576C79" w:rsidR="009C61B1" w:rsidRDefault="009C61B1" w:rsidP="009C61B1">
            <w:pPr>
              <w:ind w:left="360"/>
              <w:rPr>
                <w:rFonts w:ascii="Arial" w:hAnsi="Arial" w:cs="Arial"/>
              </w:rPr>
            </w:pPr>
            <w:r>
              <w:rPr>
                <w:rFonts w:ascii="Arial" w:hAnsi="Arial" w:cs="Arial"/>
                <w:b/>
              </w:rPr>
              <w:t>TAC Decision:</w:t>
            </w:r>
            <w:r>
              <w:rPr>
                <w:rFonts w:ascii="Arial" w:hAnsi="Arial" w:cs="Arial"/>
              </w:rPr>
              <w:t xml:space="preserve">  </w:t>
            </w:r>
            <w:r w:rsidR="0019238E">
              <w:rPr>
                <w:rFonts w:ascii="Arial" w:hAnsi="Arial" w:cs="Arial"/>
              </w:rPr>
              <w:t>On 11/20/24, TAC voted unanimously t</w:t>
            </w:r>
            <w:r w:rsidR="0019238E" w:rsidRPr="0019238E">
              <w:rPr>
                <w:rFonts w:ascii="Arial" w:hAnsi="Arial" w:cs="Arial"/>
              </w:rPr>
              <w:t>o recommend approval of NPRR12</w:t>
            </w:r>
            <w:r w:rsidR="0019238E">
              <w:rPr>
                <w:rFonts w:ascii="Arial" w:hAnsi="Arial" w:cs="Arial"/>
              </w:rPr>
              <w:t>40</w:t>
            </w:r>
            <w:r w:rsidR="0019238E" w:rsidRPr="0019238E">
              <w:rPr>
                <w:rFonts w:ascii="Arial" w:hAnsi="Arial" w:cs="Arial"/>
              </w:rPr>
              <w:t xml:space="preserve"> as recommended by PRS in the 11/14/24 PRS Report</w:t>
            </w:r>
            <w:r w:rsidR="0019238E">
              <w:rPr>
                <w:rFonts w:ascii="Arial" w:hAnsi="Arial" w:cs="Arial"/>
              </w:rPr>
              <w:t>.</w:t>
            </w:r>
          </w:p>
          <w:p w14:paraId="59F669E5" w14:textId="2F0B1445" w:rsidR="009C61B1" w:rsidRDefault="009C61B1" w:rsidP="009C61B1">
            <w:pPr>
              <w:ind w:left="360"/>
              <w:rPr>
                <w:rFonts w:ascii="Arial" w:hAnsi="Arial" w:cs="Arial"/>
              </w:rPr>
            </w:pPr>
            <w:r>
              <w:rPr>
                <w:rFonts w:ascii="Arial" w:hAnsi="Arial" w:cs="Arial"/>
                <w:b/>
              </w:rPr>
              <w:t xml:space="preserve">ERCOT Market Impact Statement:  </w:t>
            </w:r>
            <w:r w:rsidR="002D08CF" w:rsidRPr="002D08CF">
              <w:rPr>
                <w:rFonts w:ascii="Arial" w:hAnsi="Arial" w:cs="Arial"/>
                <w:bCs/>
              </w:rPr>
              <w:t>ERCOT Staff has reviewed NPRR1240 and believes it provides a positive market impact by improving access and transparency by moving reports that are not ECEII from the MIS Secure Area to the ERCOT website so the public can directly access reports without registering as a Market Participant and requesting ERCOT to issue a Digital Certificate, or without submitting an ERCOT Information Request.</w:t>
            </w:r>
          </w:p>
          <w:p w14:paraId="3F41F8DC" w14:textId="77777777" w:rsidR="009C61B1" w:rsidRDefault="009C61B1" w:rsidP="009C61B1">
            <w:pPr>
              <w:rPr>
                <w:rFonts w:ascii="Arial" w:hAnsi="Arial" w:cs="Arial"/>
                <w:b/>
                <w:i/>
              </w:rPr>
            </w:pPr>
          </w:p>
          <w:p w14:paraId="1EC30B5C" w14:textId="77777777" w:rsidR="009C61B1" w:rsidRDefault="009C61B1" w:rsidP="009C61B1">
            <w:pPr>
              <w:numPr>
                <w:ilvl w:val="0"/>
                <w:numId w:val="27"/>
              </w:numPr>
              <w:rPr>
                <w:rFonts w:ascii="Arial" w:hAnsi="Arial" w:cs="Arial"/>
                <w:b/>
                <w:i/>
              </w:rPr>
            </w:pPr>
            <w:r w:rsidRPr="00553BB5">
              <w:rPr>
                <w:rFonts w:ascii="Arial" w:hAnsi="Arial" w:cs="Arial"/>
                <w:b/>
                <w:i/>
              </w:rPr>
              <w:t>NPRR1</w:t>
            </w:r>
            <w:r>
              <w:rPr>
                <w:rFonts w:ascii="Arial" w:hAnsi="Arial" w:cs="Arial"/>
                <w:b/>
                <w:i/>
              </w:rPr>
              <w:t>245,</w:t>
            </w:r>
            <w:r>
              <w:t xml:space="preserve"> </w:t>
            </w:r>
            <w:r w:rsidRPr="00C02C40">
              <w:rPr>
                <w:rFonts w:ascii="Arial" w:hAnsi="Arial" w:cs="Arial"/>
                <w:b/>
                <w:i/>
              </w:rPr>
              <w:t>Additional Clarifying Revisions to Real-Time Co-Optimization</w:t>
            </w:r>
          </w:p>
          <w:p w14:paraId="3B9791EE" w14:textId="77777777" w:rsidR="009C61B1" w:rsidRPr="005539E3" w:rsidRDefault="009C61B1" w:rsidP="009C61B1">
            <w:pPr>
              <w:ind w:left="360"/>
              <w:rPr>
                <w:rFonts w:ascii="Arial" w:hAnsi="Arial" w:cs="Arial"/>
                <w:bCs/>
                <w:iCs/>
              </w:rPr>
            </w:pPr>
            <w:r>
              <w:rPr>
                <w:rFonts w:ascii="Arial" w:hAnsi="Arial" w:cs="Arial"/>
                <w:b/>
                <w:iCs/>
              </w:rPr>
              <w:t xml:space="preserve">Sponsor:  </w:t>
            </w:r>
            <w:r>
              <w:rPr>
                <w:rFonts w:ascii="Arial" w:hAnsi="Arial" w:cs="Arial"/>
                <w:bCs/>
                <w:iCs/>
              </w:rPr>
              <w:t>ERCOT</w:t>
            </w:r>
          </w:p>
          <w:p w14:paraId="40C62935" w14:textId="77777777" w:rsidR="009C61B1" w:rsidRPr="005539E3" w:rsidRDefault="009C61B1" w:rsidP="009C61B1">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Pr="00C02C40">
              <w:rPr>
                <w:rFonts w:ascii="Arial" w:hAnsi="Arial" w:cs="Arial"/>
              </w:rPr>
              <w:t>Upon system implementation of PR447, Real-Time Co-Optimization (RTC)</w:t>
            </w:r>
          </w:p>
          <w:p w14:paraId="0D27B69D" w14:textId="77777777" w:rsidR="009C61B1" w:rsidRPr="005539E3" w:rsidRDefault="009C61B1" w:rsidP="009C61B1">
            <w:pPr>
              <w:pStyle w:val="BodyText"/>
              <w:spacing w:before="0" w:after="0"/>
              <w:ind w:left="360"/>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 xml:space="preserve">No </w:t>
            </w:r>
            <w:proofErr w:type="gramStart"/>
            <w:r>
              <w:rPr>
                <w:rFonts w:ascii="Arial" w:hAnsi="Arial" w:cs="Arial"/>
              </w:rPr>
              <w:t>impact</w:t>
            </w:r>
            <w:proofErr w:type="gramEnd"/>
          </w:p>
          <w:p w14:paraId="47956F24" w14:textId="77777777" w:rsidR="009C61B1" w:rsidRPr="005539E3" w:rsidRDefault="009C61B1" w:rsidP="009C61B1">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C02C40">
              <w:rPr>
                <w:rFonts w:ascii="Arial" w:hAnsi="Arial" w:cs="Arial"/>
              </w:rPr>
              <w:t xml:space="preserve">was authored by ERCOT during the development of business requirements and adds certain clarifying revisions to the Protocols to address several gaps and errors in the existing approved Protocols for the </w:t>
            </w:r>
            <w:r>
              <w:rPr>
                <w:rFonts w:ascii="Arial" w:hAnsi="Arial" w:cs="Arial"/>
              </w:rPr>
              <w:t>Real-Time Co-optimization plus Batteries (</w:t>
            </w:r>
            <w:r w:rsidRPr="00C02C40">
              <w:rPr>
                <w:rFonts w:ascii="Arial" w:hAnsi="Arial" w:cs="Arial"/>
              </w:rPr>
              <w:t>RTC+B</w:t>
            </w:r>
            <w:r>
              <w:rPr>
                <w:rFonts w:ascii="Arial" w:hAnsi="Arial" w:cs="Arial"/>
              </w:rPr>
              <w:t>)</w:t>
            </w:r>
            <w:r w:rsidRPr="00C02C40">
              <w:rPr>
                <w:rFonts w:ascii="Arial" w:hAnsi="Arial" w:cs="Arial"/>
              </w:rPr>
              <w:t xml:space="preserve"> project. These revisions broadly fall into three categories: 1. Catching up the Protocol language with other NPRRs that have been passed since the approval of the relevant RTC+B NPRRs, such as NPRR1093, Load Resource Participation in Non-Spinning Reserve; 2. Addressing errors in the language such as Settlement equation subscripts and references to the Supplemental Ancillary Service Market (SASM); and 3. Adding Protocol language to provide additional clarification based on the software requirements that have been developed for the RTC+B project.</w:t>
            </w:r>
          </w:p>
          <w:p w14:paraId="422C07D2" w14:textId="7A18AEF5" w:rsidR="009C61B1" w:rsidRDefault="009C61B1" w:rsidP="009C61B1">
            <w:pPr>
              <w:ind w:left="360"/>
              <w:rPr>
                <w:rFonts w:ascii="Arial" w:hAnsi="Arial" w:cs="Arial"/>
              </w:rPr>
            </w:pPr>
            <w:r>
              <w:rPr>
                <w:rFonts w:ascii="Arial" w:hAnsi="Arial" w:cs="Arial"/>
                <w:b/>
              </w:rPr>
              <w:t>TAC Decision:</w:t>
            </w:r>
            <w:r>
              <w:rPr>
                <w:rFonts w:ascii="Arial" w:hAnsi="Arial" w:cs="Arial"/>
              </w:rPr>
              <w:t xml:space="preserve">  </w:t>
            </w:r>
            <w:r w:rsidR="002D08CF" w:rsidRPr="002D08CF">
              <w:rPr>
                <w:rFonts w:ascii="Arial" w:hAnsi="Arial" w:cs="Arial"/>
              </w:rPr>
              <w:t>On 10/30/24, TAC voted unanimously to recommend approval of NPRR1245 as recommended by PRS in the 10/17/24 PRS Report.</w:t>
            </w:r>
          </w:p>
          <w:p w14:paraId="2E34DC9B" w14:textId="03244503" w:rsidR="009C61B1" w:rsidRDefault="009C61B1" w:rsidP="009C61B1">
            <w:pPr>
              <w:ind w:left="360"/>
              <w:rPr>
                <w:rFonts w:ascii="Arial" w:hAnsi="Arial" w:cs="Arial"/>
              </w:rPr>
            </w:pPr>
            <w:r>
              <w:rPr>
                <w:rFonts w:ascii="Arial" w:hAnsi="Arial" w:cs="Arial"/>
                <w:b/>
              </w:rPr>
              <w:t xml:space="preserve">ERCOT Market Impact Statement:  </w:t>
            </w:r>
            <w:r w:rsidR="002D08CF" w:rsidRPr="002D08CF">
              <w:rPr>
                <w:rFonts w:ascii="Arial" w:hAnsi="Arial" w:cs="Arial"/>
                <w:bCs/>
              </w:rPr>
              <w:t>ERCOT Staff has reviewed NPRR1245 and believes the market impact for NPRR1245 implements several corrections and clarifications to Protocols and RTC grey-boxes, along with relevant updates to RTC grey-boxes necessitated by subsequent NPRR approvals.</w:t>
            </w:r>
          </w:p>
          <w:p w14:paraId="37F29CD2" w14:textId="77777777" w:rsidR="009C61B1" w:rsidRDefault="009C61B1" w:rsidP="009C61B1">
            <w:pPr>
              <w:ind w:left="360"/>
              <w:rPr>
                <w:rFonts w:ascii="Arial" w:hAnsi="Arial" w:cs="Arial"/>
                <w:b/>
                <w:i/>
              </w:rPr>
            </w:pPr>
          </w:p>
          <w:p w14:paraId="60F4F047" w14:textId="5724C050" w:rsidR="009C61B1" w:rsidRDefault="009C61B1" w:rsidP="009C61B1">
            <w:pPr>
              <w:numPr>
                <w:ilvl w:val="0"/>
                <w:numId w:val="27"/>
              </w:numPr>
              <w:rPr>
                <w:rFonts w:ascii="Arial" w:hAnsi="Arial" w:cs="Arial"/>
                <w:b/>
                <w:i/>
              </w:rPr>
            </w:pPr>
            <w:r w:rsidRPr="00553BB5">
              <w:rPr>
                <w:rFonts w:ascii="Arial" w:hAnsi="Arial" w:cs="Arial"/>
                <w:b/>
                <w:i/>
              </w:rPr>
              <w:t>NPRR1</w:t>
            </w:r>
            <w:r>
              <w:rPr>
                <w:rFonts w:ascii="Arial" w:hAnsi="Arial" w:cs="Arial"/>
                <w:b/>
                <w:i/>
              </w:rPr>
              <w:t>246,</w:t>
            </w:r>
            <w:r>
              <w:t xml:space="preserve"> </w:t>
            </w:r>
            <w:r w:rsidRPr="000E39A9">
              <w:rPr>
                <w:rFonts w:ascii="Arial" w:hAnsi="Arial" w:cs="Arial"/>
                <w:b/>
                <w:i/>
              </w:rPr>
              <w:t>Energy Storage Resource Terminology Alignment for the Single-Model Era</w:t>
            </w:r>
          </w:p>
          <w:p w14:paraId="2FB2C443" w14:textId="77777777" w:rsidR="009C61B1" w:rsidRPr="005539E3" w:rsidRDefault="009C61B1" w:rsidP="009C61B1">
            <w:pPr>
              <w:ind w:left="360"/>
              <w:rPr>
                <w:rFonts w:ascii="Arial" w:hAnsi="Arial" w:cs="Arial"/>
                <w:bCs/>
                <w:iCs/>
              </w:rPr>
            </w:pPr>
            <w:r>
              <w:rPr>
                <w:rFonts w:ascii="Arial" w:hAnsi="Arial" w:cs="Arial"/>
                <w:b/>
                <w:iCs/>
              </w:rPr>
              <w:t xml:space="preserve">Sponsor:  </w:t>
            </w:r>
            <w:r>
              <w:rPr>
                <w:rFonts w:ascii="Arial" w:hAnsi="Arial" w:cs="Arial"/>
                <w:bCs/>
                <w:iCs/>
              </w:rPr>
              <w:t>ERCOT</w:t>
            </w:r>
          </w:p>
          <w:p w14:paraId="78200A77" w14:textId="77777777" w:rsidR="009C61B1" w:rsidRPr="005539E3" w:rsidRDefault="009C61B1" w:rsidP="009C61B1">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Pr="00C02C40">
              <w:rPr>
                <w:rFonts w:ascii="Arial" w:hAnsi="Arial" w:cs="Arial"/>
              </w:rPr>
              <w:t>Upon system implementation of PR447, Real-Time Co-Optimization (RTC)</w:t>
            </w:r>
          </w:p>
          <w:p w14:paraId="003E660E" w14:textId="77777777" w:rsidR="009C61B1" w:rsidRPr="005539E3" w:rsidRDefault="009C61B1" w:rsidP="009C61B1">
            <w:pPr>
              <w:pStyle w:val="BodyText"/>
              <w:spacing w:before="0" w:after="0"/>
              <w:ind w:left="360"/>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 xml:space="preserve">No </w:t>
            </w:r>
            <w:proofErr w:type="gramStart"/>
            <w:r>
              <w:rPr>
                <w:rFonts w:ascii="Arial" w:hAnsi="Arial" w:cs="Arial"/>
              </w:rPr>
              <w:t>impact</w:t>
            </w:r>
            <w:proofErr w:type="gramEnd"/>
          </w:p>
          <w:p w14:paraId="74DDCD12" w14:textId="77777777" w:rsidR="009C61B1" w:rsidRPr="005539E3" w:rsidRDefault="009C61B1" w:rsidP="009C61B1">
            <w:pPr>
              <w:ind w:left="360"/>
              <w:rPr>
                <w:rFonts w:ascii="Arial" w:hAnsi="Arial" w:cs="Arial"/>
              </w:rPr>
            </w:pPr>
            <w:r w:rsidRPr="005539E3">
              <w:rPr>
                <w:rFonts w:ascii="Arial" w:hAnsi="Arial" w:cs="Arial"/>
                <w:b/>
              </w:rPr>
              <w:t xml:space="preserve">Revision Description:  </w:t>
            </w:r>
            <w:r w:rsidRPr="00112CBE">
              <w:rPr>
                <w:rFonts w:ascii="Arial" w:hAnsi="Arial" w:cs="Arial"/>
              </w:rPr>
              <w:t>This NPR</w:t>
            </w:r>
            <w:r>
              <w:rPr>
                <w:rFonts w:ascii="Arial" w:hAnsi="Arial" w:cs="Arial"/>
              </w:rPr>
              <w:t>R</w:t>
            </w:r>
            <w:r w:rsidRPr="00112CBE">
              <w:rPr>
                <w:rFonts w:ascii="Arial" w:hAnsi="Arial" w:cs="Arial"/>
              </w:rPr>
              <w:t xml:space="preserve"> </w:t>
            </w:r>
            <w:r w:rsidRPr="000E39A9">
              <w:rPr>
                <w:rFonts w:ascii="Arial" w:hAnsi="Arial" w:cs="Arial"/>
              </w:rPr>
              <w:t>inserts terminology associated with Energy Storage Resources (ESRs) in the appropriate places throughout the Protocols, aligning provisions and requirements for ESRs with those already in place for Generation Resources and Controllable Load Resources.</w:t>
            </w:r>
          </w:p>
          <w:p w14:paraId="60CC71DC" w14:textId="078BABF8" w:rsidR="009C61B1" w:rsidRDefault="009C61B1" w:rsidP="009C61B1">
            <w:pPr>
              <w:ind w:left="360"/>
              <w:rPr>
                <w:rFonts w:ascii="Arial" w:hAnsi="Arial" w:cs="Arial"/>
              </w:rPr>
            </w:pPr>
            <w:r>
              <w:rPr>
                <w:rFonts w:ascii="Arial" w:hAnsi="Arial" w:cs="Arial"/>
                <w:b/>
              </w:rPr>
              <w:t>TAC Decision:</w:t>
            </w:r>
            <w:r>
              <w:rPr>
                <w:rFonts w:ascii="Arial" w:hAnsi="Arial" w:cs="Arial"/>
              </w:rPr>
              <w:t xml:space="preserve">  </w:t>
            </w:r>
            <w:r w:rsidR="0019238E">
              <w:rPr>
                <w:rFonts w:ascii="Arial" w:hAnsi="Arial" w:cs="Arial"/>
              </w:rPr>
              <w:t>On 11/20/24, TAC voted unanimously t</w:t>
            </w:r>
            <w:r w:rsidR="0019238E" w:rsidRPr="0019238E">
              <w:rPr>
                <w:rFonts w:ascii="Arial" w:hAnsi="Arial" w:cs="Arial"/>
              </w:rPr>
              <w:t>o recommend approval of NPRR12</w:t>
            </w:r>
            <w:r w:rsidR="0019238E">
              <w:rPr>
                <w:rFonts w:ascii="Arial" w:hAnsi="Arial" w:cs="Arial"/>
              </w:rPr>
              <w:t>46</w:t>
            </w:r>
            <w:r w:rsidR="0019238E" w:rsidRPr="0019238E">
              <w:rPr>
                <w:rFonts w:ascii="Arial" w:hAnsi="Arial" w:cs="Arial"/>
              </w:rPr>
              <w:t xml:space="preserve"> as recommended by PRS in the 11/14/24 PRS Report</w:t>
            </w:r>
            <w:r w:rsidR="0019238E">
              <w:rPr>
                <w:rFonts w:ascii="Arial" w:hAnsi="Arial" w:cs="Arial"/>
              </w:rPr>
              <w:t>.</w:t>
            </w:r>
          </w:p>
          <w:p w14:paraId="1E38FADD" w14:textId="1F1E5E1A" w:rsidR="009C61B1" w:rsidRDefault="009C61B1" w:rsidP="009C61B1">
            <w:pPr>
              <w:ind w:left="360"/>
              <w:rPr>
                <w:rFonts w:ascii="Arial" w:hAnsi="Arial" w:cs="Arial"/>
              </w:rPr>
            </w:pPr>
            <w:r>
              <w:rPr>
                <w:rFonts w:ascii="Arial" w:hAnsi="Arial" w:cs="Arial"/>
                <w:b/>
              </w:rPr>
              <w:t xml:space="preserve">ERCOT Market Impact Statement:  </w:t>
            </w:r>
            <w:r w:rsidR="002D08CF" w:rsidRPr="002D08CF">
              <w:rPr>
                <w:rFonts w:ascii="Arial" w:hAnsi="Arial" w:cs="Arial"/>
                <w:bCs/>
              </w:rPr>
              <w:t>ERCOT Staff has reviewed NPRR1246 and believes the market impact for NPRR1246 provides clarity and additional transparency for stakeholders on the applicable provisions and requirements associated with ESRs as the market transitions from the combo model to the single model as part of the RTC+B project.</w:t>
            </w:r>
          </w:p>
          <w:p w14:paraId="1EDAE845" w14:textId="77777777" w:rsidR="009C61B1" w:rsidRDefault="009C61B1" w:rsidP="00EC7EA3">
            <w:pPr>
              <w:rPr>
                <w:rFonts w:ascii="Arial" w:hAnsi="Arial" w:cs="Arial"/>
                <w:b/>
                <w:i/>
              </w:rPr>
            </w:pPr>
          </w:p>
          <w:p w14:paraId="38F5F5B6" w14:textId="77777777" w:rsidR="009C61B1" w:rsidRDefault="009C61B1" w:rsidP="009C61B1">
            <w:pPr>
              <w:numPr>
                <w:ilvl w:val="0"/>
                <w:numId w:val="27"/>
              </w:numPr>
              <w:rPr>
                <w:rFonts w:ascii="Arial" w:hAnsi="Arial" w:cs="Arial"/>
                <w:b/>
                <w:i/>
              </w:rPr>
            </w:pPr>
            <w:r w:rsidRPr="00553BB5">
              <w:rPr>
                <w:rFonts w:ascii="Arial" w:hAnsi="Arial" w:cs="Arial"/>
                <w:b/>
                <w:i/>
              </w:rPr>
              <w:t>NPRR1</w:t>
            </w:r>
            <w:r>
              <w:rPr>
                <w:rFonts w:ascii="Arial" w:hAnsi="Arial" w:cs="Arial"/>
                <w:b/>
                <w:i/>
              </w:rPr>
              <w:t xml:space="preserve">248, </w:t>
            </w:r>
            <w:r w:rsidRPr="00C02C40">
              <w:rPr>
                <w:rFonts w:ascii="Arial" w:hAnsi="Arial" w:cs="Arial"/>
                <w:b/>
                <w:i/>
              </w:rPr>
              <w:t>Correction to NPRR1197, Optional Exclusion of Load from Netting at EPS Metering Facilities which Include Resources</w:t>
            </w:r>
          </w:p>
          <w:p w14:paraId="4EE01784" w14:textId="77777777" w:rsidR="009C61B1" w:rsidRPr="005539E3" w:rsidRDefault="009C61B1" w:rsidP="009C61B1">
            <w:pPr>
              <w:ind w:left="360"/>
              <w:rPr>
                <w:rFonts w:ascii="Arial" w:hAnsi="Arial" w:cs="Arial"/>
                <w:bCs/>
                <w:iCs/>
              </w:rPr>
            </w:pPr>
            <w:r>
              <w:rPr>
                <w:rFonts w:ascii="Arial" w:hAnsi="Arial" w:cs="Arial"/>
                <w:b/>
                <w:iCs/>
              </w:rPr>
              <w:t xml:space="preserve">Sponsor:  </w:t>
            </w:r>
            <w:r>
              <w:rPr>
                <w:rFonts w:ascii="Arial" w:hAnsi="Arial" w:cs="Arial"/>
                <w:bCs/>
                <w:iCs/>
              </w:rPr>
              <w:t>ERCOT</w:t>
            </w:r>
          </w:p>
          <w:p w14:paraId="05F2F8FA" w14:textId="77777777" w:rsidR="009C61B1" w:rsidRPr="005539E3" w:rsidRDefault="009C61B1" w:rsidP="009C61B1">
            <w:pPr>
              <w:pStyle w:val="BodyText"/>
              <w:spacing w:before="0" w:after="0"/>
              <w:ind w:left="360"/>
              <w:rPr>
                <w:rFonts w:ascii="Arial" w:hAnsi="Arial" w:cs="Arial"/>
              </w:rPr>
            </w:pPr>
            <w:r w:rsidRPr="005539E3">
              <w:rPr>
                <w:rFonts w:ascii="Arial" w:hAnsi="Arial" w:cs="Arial"/>
                <w:b/>
              </w:rPr>
              <w:lastRenderedPageBreak/>
              <w:t xml:space="preserve">Proposed Effective Date: </w:t>
            </w:r>
            <w:r>
              <w:rPr>
                <w:rFonts w:ascii="Arial" w:hAnsi="Arial" w:cs="Arial"/>
                <w:b/>
              </w:rPr>
              <w:t xml:space="preserve"> </w:t>
            </w:r>
            <w:r>
              <w:rPr>
                <w:rFonts w:ascii="Arial" w:hAnsi="Arial" w:cs="Arial"/>
              </w:rPr>
              <w:t xml:space="preserve">The first of the month following PUCT </w:t>
            </w:r>
            <w:proofErr w:type="gramStart"/>
            <w:r>
              <w:rPr>
                <w:rFonts w:ascii="Arial" w:hAnsi="Arial" w:cs="Arial"/>
              </w:rPr>
              <w:t>approval</w:t>
            </w:r>
            <w:proofErr w:type="gramEnd"/>
          </w:p>
          <w:p w14:paraId="55463003" w14:textId="77777777" w:rsidR="009C61B1" w:rsidRPr="005539E3" w:rsidRDefault="009C61B1" w:rsidP="009C61B1">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w:t>
            </w:r>
            <w:r w:rsidRPr="00F30642">
              <w:rPr>
                <w:rFonts w:ascii="Arial" w:hAnsi="Arial" w:cs="Arial"/>
                <w:bCs/>
              </w:rPr>
              <w:t xml:space="preserve">  </w:t>
            </w:r>
            <w:r>
              <w:rPr>
                <w:rFonts w:ascii="Arial" w:hAnsi="Arial" w:cs="Arial"/>
                <w:bCs/>
              </w:rPr>
              <w:t xml:space="preserve">No </w:t>
            </w:r>
            <w:proofErr w:type="gramStart"/>
            <w:r>
              <w:rPr>
                <w:rFonts w:ascii="Arial" w:hAnsi="Arial" w:cs="Arial"/>
                <w:bCs/>
              </w:rPr>
              <w:t>impact</w:t>
            </w:r>
            <w:proofErr w:type="gramEnd"/>
          </w:p>
          <w:p w14:paraId="00ACCED7" w14:textId="07357B62" w:rsidR="009C61B1" w:rsidRPr="005539E3" w:rsidRDefault="009C61B1" w:rsidP="009C61B1">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105061">
              <w:rPr>
                <w:rFonts w:ascii="Arial" w:hAnsi="Arial" w:cs="Arial"/>
              </w:rPr>
              <w:t>corrects language in Section 11.1.6</w:t>
            </w:r>
            <w:r>
              <w:rPr>
                <w:rFonts w:ascii="Arial" w:hAnsi="Arial" w:cs="Arial"/>
              </w:rPr>
              <w:t>, ERCOT-Polled Settlement Meter Netting,</w:t>
            </w:r>
            <w:r w:rsidRPr="00105061">
              <w:rPr>
                <w:rFonts w:ascii="Arial" w:hAnsi="Arial" w:cs="Arial"/>
              </w:rPr>
              <w:t xml:space="preserve"> which was implemented with the July 1, </w:t>
            </w:r>
            <w:proofErr w:type="gramStart"/>
            <w:r w:rsidRPr="00105061">
              <w:rPr>
                <w:rFonts w:ascii="Arial" w:hAnsi="Arial" w:cs="Arial"/>
              </w:rPr>
              <w:t>2024</w:t>
            </w:r>
            <w:proofErr w:type="gramEnd"/>
            <w:r w:rsidRPr="00105061">
              <w:rPr>
                <w:rFonts w:ascii="Arial" w:hAnsi="Arial" w:cs="Arial"/>
              </w:rPr>
              <w:t xml:space="preserve"> Protocols following PUCT approval of NPRR1197, Optional Exclusion of Load from Netting at ERCOT-Polled Settlement (EPS) Metering Facilities which Include Resources. The NPRR1197 2/8/24 PRS Report did not correctly reflect the PRS vote “to recommend approval of NPRR1197 as amended by the 2/7/24 Oncor comments as revised by PRS” in paragraph (6) of Section 11.1.6. This error carried through the ensuing 3/27/24 TAC Report and 4/23/24 Board </w:t>
            </w:r>
            <w:proofErr w:type="gramStart"/>
            <w:r w:rsidRPr="00105061">
              <w:rPr>
                <w:rFonts w:ascii="Arial" w:hAnsi="Arial" w:cs="Arial"/>
              </w:rPr>
              <w:t>Report, and</w:t>
            </w:r>
            <w:proofErr w:type="gramEnd"/>
            <w:r w:rsidRPr="00105061">
              <w:rPr>
                <w:rFonts w:ascii="Arial" w:hAnsi="Arial" w:cs="Arial"/>
              </w:rPr>
              <w:t xml:space="preserve"> was approved by the PUCT on 6/13/24. This NPRR aligns the language within Section 11.1.6 with the intended PRS action from February 8, 2024.</w:t>
            </w:r>
          </w:p>
          <w:p w14:paraId="4149A38D" w14:textId="0593F2FD" w:rsidR="009C61B1" w:rsidRDefault="009C61B1" w:rsidP="009C61B1">
            <w:pPr>
              <w:ind w:left="360"/>
              <w:rPr>
                <w:rFonts w:ascii="Arial" w:hAnsi="Arial" w:cs="Arial"/>
              </w:rPr>
            </w:pPr>
            <w:r>
              <w:rPr>
                <w:rFonts w:ascii="Arial" w:hAnsi="Arial" w:cs="Arial"/>
                <w:b/>
              </w:rPr>
              <w:t>TAC Decision:</w:t>
            </w:r>
            <w:r>
              <w:rPr>
                <w:rFonts w:ascii="Arial" w:hAnsi="Arial" w:cs="Arial"/>
              </w:rPr>
              <w:t xml:space="preserve">  </w:t>
            </w:r>
            <w:r w:rsidR="002D08CF" w:rsidRPr="002D08CF">
              <w:rPr>
                <w:rFonts w:ascii="Arial" w:hAnsi="Arial" w:cs="Arial"/>
              </w:rPr>
              <w:t>On 10/30/24, TAC voted unanimously to recommend approval of NPRR1248 as recommended by PRS in the 10/17/24 PRS Report.</w:t>
            </w:r>
          </w:p>
          <w:p w14:paraId="411423D3" w14:textId="67E9C822" w:rsidR="009C61B1" w:rsidRDefault="009C61B1" w:rsidP="009C61B1">
            <w:pPr>
              <w:ind w:left="360"/>
              <w:rPr>
                <w:rFonts w:ascii="Arial" w:hAnsi="Arial" w:cs="Arial"/>
              </w:rPr>
            </w:pPr>
            <w:r>
              <w:rPr>
                <w:rFonts w:ascii="Arial" w:hAnsi="Arial" w:cs="Arial"/>
                <w:b/>
              </w:rPr>
              <w:t xml:space="preserve">ERCOT Market Impact Statement:  </w:t>
            </w:r>
            <w:r w:rsidR="002D08CF" w:rsidRPr="002D08CF">
              <w:rPr>
                <w:rFonts w:ascii="Arial" w:hAnsi="Arial" w:cs="Arial"/>
                <w:bCs/>
              </w:rPr>
              <w:t>ERCOT Staff has reviewed NPRR1248 and believes the market impact for NPRR1248 properly aligns Protocol language within Section 11.1.6 with PRS-recommended language inadvertently omitted from NPRR1197 reports.</w:t>
            </w:r>
          </w:p>
          <w:p w14:paraId="743F759C" w14:textId="77777777" w:rsidR="009C61B1" w:rsidRDefault="009C61B1" w:rsidP="009C61B1">
            <w:pPr>
              <w:ind w:left="360"/>
              <w:rPr>
                <w:rFonts w:ascii="Arial" w:hAnsi="Arial" w:cs="Arial"/>
              </w:rPr>
            </w:pPr>
          </w:p>
          <w:p w14:paraId="418FC836" w14:textId="77777777" w:rsidR="009C61B1" w:rsidRDefault="009C61B1" w:rsidP="009C61B1">
            <w:pPr>
              <w:numPr>
                <w:ilvl w:val="0"/>
                <w:numId w:val="27"/>
              </w:numPr>
              <w:rPr>
                <w:rFonts w:ascii="Arial" w:hAnsi="Arial" w:cs="Arial"/>
                <w:b/>
                <w:i/>
              </w:rPr>
            </w:pPr>
            <w:r w:rsidRPr="00553BB5">
              <w:rPr>
                <w:rFonts w:ascii="Arial" w:hAnsi="Arial" w:cs="Arial"/>
                <w:b/>
                <w:i/>
              </w:rPr>
              <w:t>NPRR1</w:t>
            </w:r>
            <w:r>
              <w:rPr>
                <w:rFonts w:ascii="Arial" w:hAnsi="Arial" w:cs="Arial"/>
                <w:b/>
                <w:i/>
              </w:rPr>
              <w:t xml:space="preserve">249, </w:t>
            </w:r>
            <w:r w:rsidRPr="00105061">
              <w:rPr>
                <w:rFonts w:ascii="Arial" w:hAnsi="Arial" w:cs="Arial"/>
                <w:b/>
                <w:i/>
              </w:rPr>
              <w:t>Publication of Shift Factors for All Active Transmission Constraints in the RTM</w:t>
            </w:r>
          </w:p>
          <w:p w14:paraId="44008560" w14:textId="77777777" w:rsidR="009C61B1" w:rsidRPr="005539E3" w:rsidRDefault="009C61B1" w:rsidP="009C61B1">
            <w:pPr>
              <w:ind w:left="360"/>
              <w:rPr>
                <w:rFonts w:ascii="Arial" w:hAnsi="Arial" w:cs="Arial"/>
                <w:bCs/>
                <w:iCs/>
              </w:rPr>
            </w:pPr>
            <w:r>
              <w:rPr>
                <w:rFonts w:ascii="Arial" w:hAnsi="Arial" w:cs="Arial"/>
                <w:b/>
                <w:iCs/>
              </w:rPr>
              <w:t xml:space="preserve">Sponsor:  </w:t>
            </w:r>
            <w:r w:rsidRPr="00105061">
              <w:rPr>
                <w:rFonts w:ascii="Arial" w:hAnsi="Arial" w:cs="Arial"/>
                <w:bCs/>
                <w:iCs/>
              </w:rPr>
              <w:t>CIM View Consulting</w:t>
            </w:r>
          </w:p>
          <w:p w14:paraId="630991D5" w14:textId="77777777" w:rsidR="009C61B1" w:rsidRPr="005539E3" w:rsidRDefault="009C61B1" w:rsidP="009C61B1">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Upon system implementation – Priority 2026; Rank 4740</w:t>
            </w:r>
          </w:p>
          <w:p w14:paraId="012C900B" w14:textId="77777777" w:rsidR="009C61B1" w:rsidRPr="005539E3" w:rsidRDefault="009C61B1" w:rsidP="009C61B1">
            <w:pPr>
              <w:pStyle w:val="BodyText"/>
              <w:spacing w:before="0" w:after="0"/>
              <w:ind w:left="360"/>
              <w:rPr>
                <w:rFonts w:ascii="Arial" w:hAnsi="Arial" w:cs="Arial"/>
                <w:i/>
              </w:rPr>
            </w:pPr>
            <w:r>
              <w:rPr>
                <w:rFonts w:ascii="Arial" w:hAnsi="Arial" w:cs="Arial"/>
                <w:b/>
              </w:rPr>
              <w:t>Estimated Impacts</w:t>
            </w:r>
            <w:r w:rsidRPr="005539E3">
              <w:rPr>
                <w:rFonts w:ascii="Arial" w:hAnsi="Arial" w:cs="Arial"/>
                <w:b/>
              </w:rPr>
              <w:t xml:space="preserve">:  </w:t>
            </w:r>
            <w:r w:rsidRPr="00EB7C96">
              <w:rPr>
                <w:rFonts w:ascii="Arial" w:hAnsi="Arial" w:cs="Arial"/>
              </w:rPr>
              <w:t>Between $</w:t>
            </w:r>
            <w:r>
              <w:rPr>
                <w:rFonts w:ascii="Arial" w:hAnsi="Arial" w:cs="Arial"/>
              </w:rPr>
              <w:t>25K</w:t>
            </w:r>
            <w:r w:rsidRPr="00EB7C96">
              <w:rPr>
                <w:rFonts w:ascii="Arial" w:hAnsi="Arial" w:cs="Arial"/>
              </w:rPr>
              <w:t xml:space="preserve"> and $</w:t>
            </w:r>
            <w:proofErr w:type="gramStart"/>
            <w:r>
              <w:rPr>
                <w:rFonts w:ascii="Arial" w:hAnsi="Arial" w:cs="Arial"/>
              </w:rPr>
              <w:t>45K</w:t>
            </w:r>
            <w:proofErr w:type="gramEnd"/>
          </w:p>
          <w:p w14:paraId="259EAC8C" w14:textId="77777777" w:rsidR="009C61B1" w:rsidRPr="005539E3" w:rsidRDefault="009C61B1" w:rsidP="009C61B1">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105061">
              <w:rPr>
                <w:rFonts w:ascii="Arial" w:hAnsi="Arial" w:cs="Arial"/>
              </w:rPr>
              <w:t>requires ERCOT to publish Shift Factors for all active transmission constraints in the Real-Time Market (RTM), not just the binding transmission constraints.</w:t>
            </w:r>
          </w:p>
          <w:p w14:paraId="4095C5A7" w14:textId="369D7147" w:rsidR="009C61B1" w:rsidRDefault="009C61B1" w:rsidP="009C61B1">
            <w:pPr>
              <w:ind w:left="360"/>
              <w:rPr>
                <w:rFonts w:ascii="Arial" w:hAnsi="Arial" w:cs="Arial"/>
              </w:rPr>
            </w:pPr>
            <w:r>
              <w:rPr>
                <w:rFonts w:ascii="Arial" w:hAnsi="Arial" w:cs="Arial"/>
                <w:b/>
              </w:rPr>
              <w:t>TAC Decision:</w:t>
            </w:r>
            <w:r>
              <w:rPr>
                <w:rFonts w:ascii="Arial" w:hAnsi="Arial" w:cs="Arial"/>
              </w:rPr>
              <w:t xml:space="preserve">  </w:t>
            </w:r>
            <w:r w:rsidR="002D08CF" w:rsidRPr="002D08CF">
              <w:rPr>
                <w:rFonts w:ascii="Arial" w:hAnsi="Arial" w:cs="Arial"/>
              </w:rPr>
              <w:t>On 10/30/24, TAC voted unanimously to recommend approval of NPRR1249 as recommended by PRS in the 10/17/24 PRS Report.</w:t>
            </w:r>
          </w:p>
          <w:p w14:paraId="4CCC65AB" w14:textId="5D615A3C" w:rsidR="009C61B1" w:rsidRDefault="009C61B1" w:rsidP="009C61B1">
            <w:pPr>
              <w:ind w:left="360"/>
              <w:rPr>
                <w:rFonts w:ascii="Arial" w:hAnsi="Arial" w:cs="Arial"/>
              </w:rPr>
            </w:pPr>
            <w:r>
              <w:rPr>
                <w:rFonts w:ascii="Arial" w:hAnsi="Arial" w:cs="Arial"/>
                <w:b/>
              </w:rPr>
              <w:t xml:space="preserve">ERCOT Market Impact Statement:  </w:t>
            </w:r>
            <w:r w:rsidR="002D08CF" w:rsidRPr="002D08CF">
              <w:rPr>
                <w:rFonts w:ascii="Arial" w:hAnsi="Arial" w:cs="Arial"/>
                <w:bCs/>
              </w:rPr>
              <w:t>ERCOT Staff has reviewed NPRR1249 and believes that with the publication of Shift Factors for all active transmission constraints, it provides a positive market impact by improving transparency and efficiency by enabling Market Participants to shadow all aspects of the market clearing results.</w:t>
            </w:r>
          </w:p>
          <w:p w14:paraId="733B2F62" w14:textId="77777777" w:rsidR="009C61B1" w:rsidRPr="009C61B1" w:rsidRDefault="009C61B1" w:rsidP="009C61B1">
            <w:pPr>
              <w:ind w:left="360"/>
              <w:rPr>
                <w:rFonts w:ascii="Arial" w:hAnsi="Arial" w:cs="Arial"/>
                <w:b/>
                <w:i/>
              </w:rPr>
            </w:pPr>
          </w:p>
          <w:p w14:paraId="4F0D711D" w14:textId="51EEDC42" w:rsidR="009C61B1" w:rsidRDefault="009C61B1" w:rsidP="009C61B1">
            <w:pPr>
              <w:numPr>
                <w:ilvl w:val="0"/>
                <w:numId w:val="27"/>
              </w:numPr>
              <w:rPr>
                <w:rFonts w:ascii="Arial" w:hAnsi="Arial" w:cs="Arial"/>
                <w:b/>
                <w:i/>
              </w:rPr>
            </w:pPr>
            <w:r w:rsidRPr="00553BB5">
              <w:rPr>
                <w:rFonts w:ascii="Arial" w:hAnsi="Arial" w:cs="Arial"/>
                <w:b/>
                <w:i/>
              </w:rPr>
              <w:t>NPRR1</w:t>
            </w:r>
            <w:r>
              <w:rPr>
                <w:rFonts w:ascii="Arial" w:hAnsi="Arial" w:cs="Arial"/>
                <w:b/>
                <w:i/>
              </w:rPr>
              <w:t xml:space="preserve">254, </w:t>
            </w:r>
            <w:r w:rsidRPr="006D312E">
              <w:rPr>
                <w:rFonts w:ascii="Arial" w:hAnsi="Arial" w:cs="Arial"/>
                <w:b/>
                <w:i/>
              </w:rPr>
              <w:t>Modeling Deadline for Initial Submission of Resource Registration Data</w:t>
            </w:r>
          </w:p>
          <w:p w14:paraId="51B93B67" w14:textId="77777777" w:rsidR="009C61B1" w:rsidRPr="005539E3" w:rsidRDefault="009C61B1" w:rsidP="009C61B1">
            <w:pPr>
              <w:ind w:left="360"/>
              <w:rPr>
                <w:rFonts w:ascii="Arial" w:hAnsi="Arial" w:cs="Arial"/>
                <w:bCs/>
                <w:iCs/>
              </w:rPr>
            </w:pPr>
            <w:r>
              <w:rPr>
                <w:rFonts w:ascii="Arial" w:hAnsi="Arial" w:cs="Arial"/>
                <w:b/>
                <w:iCs/>
              </w:rPr>
              <w:t xml:space="preserve">Sponsor:  </w:t>
            </w:r>
            <w:r>
              <w:rPr>
                <w:rFonts w:ascii="Arial" w:hAnsi="Arial" w:cs="Arial"/>
                <w:bCs/>
                <w:iCs/>
              </w:rPr>
              <w:t>ERCOT</w:t>
            </w:r>
          </w:p>
          <w:p w14:paraId="4A28BE67" w14:textId="1A12C565" w:rsidR="009C61B1" w:rsidRPr="005539E3" w:rsidRDefault="009C61B1" w:rsidP="009C61B1">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19238E">
              <w:rPr>
                <w:rFonts w:ascii="Arial" w:hAnsi="Arial" w:cs="Arial"/>
              </w:rPr>
              <w:t>March 1, 2025</w:t>
            </w:r>
          </w:p>
          <w:p w14:paraId="181D430C" w14:textId="77777777" w:rsidR="009C61B1" w:rsidRPr="005539E3" w:rsidRDefault="009C61B1" w:rsidP="009C61B1">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w:t>
            </w:r>
            <w:r w:rsidRPr="00F30642">
              <w:rPr>
                <w:rFonts w:ascii="Arial" w:hAnsi="Arial" w:cs="Arial"/>
                <w:bCs/>
              </w:rPr>
              <w:t xml:space="preserve">  </w:t>
            </w:r>
            <w:r>
              <w:rPr>
                <w:rFonts w:ascii="Arial" w:hAnsi="Arial" w:cs="Arial"/>
                <w:bCs/>
              </w:rPr>
              <w:t xml:space="preserve">No </w:t>
            </w:r>
            <w:proofErr w:type="gramStart"/>
            <w:r>
              <w:rPr>
                <w:rFonts w:ascii="Arial" w:hAnsi="Arial" w:cs="Arial"/>
                <w:bCs/>
              </w:rPr>
              <w:t>impact</w:t>
            </w:r>
            <w:proofErr w:type="gramEnd"/>
          </w:p>
          <w:p w14:paraId="35A1DDBB" w14:textId="77777777" w:rsidR="009C61B1" w:rsidRPr="005539E3" w:rsidRDefault="009C61B1" w:rsidP="009C61B1">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6D312E">
              <w:rPr>
                <w:rFonts w:ascii="Arial" w:hAnsi="Arial" w:cs="Arial"/>
              </w:rPr>
              <w:t xml:space="preserve">requires Resource Entities to submit the initial Resource Registration data for a Generator Interconnection or Modification (GIM) project, required by paragraph (6) of Planning Guide Section 6.8.1, Resource Registration, four months prior to target inclusion in the ERCOT Network </w:t>
            </w:r>
            <w:r w:rsidRPr="006D312E">
              <w:rPr>
                <w:rFonts w:ascii="Arial" w:hAnsi="Arial" w:cs="Arial"/>
              </w:rPr>
              <w:lastRenderedPageBreak/>
              <w:t>Operations Model.  This provides a one-month period for ERCOT and the Resource Entities to address errors or deficiencies consistent with the process outlined in Planning Guide Section 6.8.2, Resource Registration Process.</w:t>
            </w:r>
          </w:p>
          <w:p w14:paraId="14EF659A" w14:textId="24FDA3B1" w:rsidR="009C61B1" w:rsidRDefault="009C61B1" w:rsidP="009C61B1">
            <w:pPr>
              <w:ind w:left="360"/>
              <w:rPr>
                <w:rFonts w:ascii="Arial" w:hAnsi="Arial" w:cs="Arial"/>
              </w:rPr>
            </w:pPr>
            <w:r>
              <w:rPr>
                <w:rFonts w:ascii="Arial" w:hAnsi="Arial" w:cs="Arial"/>
                <w:b/>
              </w:rPr>
              <w:t>TAC Decision:</w:t>
            </w:r>
            <w:r>
              <w:rPr>
                <w:rFonts w:ascii="Arial" w:hAnsi="Arial" w:cs="Arial"/>
              </w:rPr>
              <w:t xml:space="preserve">  </w:t>
            </w:r>
            <w:r w:rsidR="0019238E">
              <w:rPr>
                <w:rFonts w:ascii="Arial" w:hAnsi="Arial" w:cs="Arial"/>
              </w:rPr>
              <w:t xml:space="preserve">On 11/20/24, TAC voted unanimously to </w:t>
            </w:r>
            <w:r w:rsidR="0019238E" w:rsidRPr="0019238E">
              <w:rPr>
                <w:rFonts w:ascii="Arial" w:hAnsi="Arial" w:cs="Arial"/>
              </w:rPr>
              <w:t>recommend approval of NPRR1254 as recommended by PRS in the 11/14/24 PRS Report with a recommended effective date of March 1, 2025</w:t>
            </w:r>
            <w:r w:rsidR="0019238E">
              <w:rPr>
                <w:rFonts w:ascii="Arial" w:hAnsi="Arial" w:cs="Arial"/>
              </w:rPr>
              <w:t>.</w:t>
            </w:r>
          </w:p>
          <w:p w14:paraId="3F1972F4" w14:textId="77777777" w:rsidR="009C61B1" w:rsidRDefault="009C61B1" w:rsidP="009C61B1">
            <w:pPr>
              <w:ind w:left="360"/>
              <w:rPr>
                <w:rFonts w:ascii="Arial" w:hAnsi="Arial" w:cs="Arial"/>
              </w:rPr>
            </w:pPr>
            <w:r>
              <w:rPr>
                <w:rFonts w:ascii="Arial" w:hAnsi="Arial" w:cs="Arial"/>
                <w:b/>
              </w:rPr>
              <w:t xml:space="preserve">ERCOT Market Impact Statement:  </w:t>
            </w:r>
          </w:p>
          <w:p w14:paraId="6E0203B7" w14:textId="77777777" w:rsidR="009C61B1" w:rsidRDefault="009C61B1" w:rsidP="009C61B1">
            <w:pPr>
              <w:ind w:left="360"/>
              <w:rPr>
                <w:rFonts w:ascii="Arial" w:hAnsi="Arial" w:cs="Arial"/>
              </w:rPr>
            </w:pPr>
          </w:p>
          <w:p w14:paraId="43B1B84B" w14:textId="77777777" w:rsidR="009C61B1" w:rsidRPr="009C61B1" w:rsidRDefault="009C61B1" w:rsidP="009C61B1">
            <w:pPr>
              <w:pStyle w:val="ListParagraph"/>
              <w:numPr>
                <w:ilvl w:val="0"/>
                <w:numId w:val="27"/>
              </w:numPr>
              <w:rPr>
                <w:rFonts w:ascii="Arial" w:hAnsi="Arial" w:cs="Arial"/>
                <w:b/>
                <w:i/>
              </w:rPr>
            </w:pPr>
            <w:r w:rsidRPr="009C61B1">
              <w:rPr>
                <w:rFonts w:ascii="Arial" w:hAnsi="Arial" w:cs="Arial"/>
                <w:b/>
                <w:i/>
              </w:rPr>
              <w:t>NOGRR266, Related to NPRR1239, Access to Market Information</w:t>
            </w:r>
          </w:p>
          <w:p w14:paraId="12712F9D" w14:textId="77777777" w:rsidR="009C61B1" w:rsidRPr="005539E3" w:rsidRDefault="009C61B1" w:rsidP="009C61B1">
            <w:pPr>
              <w:ind w:left="360"/>
              <w:rPr>
                <w:rFonts w:ascii="Arial" w:hAnsi="Arial" w:cs="Arial"/>
                <w:bCs/>
                <w:iCs/>
              </w:rPr>
            </w:pPr>
            <w:r>
              <w:rPr>
                <w:rFonts w:ascii="Arial" w:hAnsi="Arial" w:cs="Arial"/>
                <w:b/>
                <w:iCs/>
              </w:rPr>
              <w:t xml:space="preserve">Sponsor:  </w:t>
            </w:r>
            <w:r>
              <w:rPr>
                <w:rFonts w:ascii="Arial" w:hAnsi="Arial" w:cs="Arial"/>
                <w:bCs/>
                <w:iCs/>
              </w:rPr>
              <w:t>ERCOT</w:t>
            </w:r>
          </w:p>
          <w:p w14:paraId="1B3C44E6" w14:textId="516BB8A7" w:rsidR="009C61B1" w:rsidRPr="005539E3" w:rsidRDefault="009C61B1" w:rsidP="009C61B1">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744524" w:rsidRPr="00744524">
              <w:rPr>
                <w:rFonts w:ascii="Arial" w:hAnsi="Arial" w:cs="Arial"/>
                <w:bCs/>
              </w:rPr>
              <w:t xml:space="preserve">Upon implementation of </w:t>
            </w:r>
            <w:r w:rsidR="00EC7EA3">
              <w:rPr>
                <w:rFonts w:ascii="Arial" w:hAnsi="Arial" w:cs="Arial"/>
                <w:bCs/>
              </w:rPr>
              <w:t>NPRR</w:t>
            </w:r>
            <w:r w:rsidR="00744524" w:rsidRPr="00744524">
              <w:rPr>
                <w:rFonts w:ascii="Arial" w:hAnsi="Arial" w:cs="Arial"/>
                <w:bCs/>
              </w:rPr>
              <w:t>1239</w:t>
            </w:r>
          </w:p>
          <w:p w14:paraId="722BDB22" w14:textId="2EEE03D5" w:rsidR="009C61B1" w:rsidRPr="005539E3" w:rsidRDefault="009C61B1" w:rsidP="009C61B1">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w:t>
            </w:r>
            <w:r w:rsidRPr="00F30642">
              <w:rPr>
                <w:rFonts w:ascii="Arial" w:hAnsi="Arial" w:cs="Arial"/>
                <w:bCs/>
              </w:rPr>
              <w:t xml:space="preserve">  </w:t>
            </w:r>
            <w:r w:rsidR="00744524">
              <w:rPr>
                <w:rFonts w:ascii="Arial" w:hAnsi="Arial" w:cs="Arial"/>
                <w:bCs/>
              </w:rPr>
              <w:t xml:space="preserve">No </w:t>
            </w:r>
            <w:proofErr w:type="gramStart"/>
            <w:r w:rsidR="00744524">
              <w:rPr>
                <w:rFonts w:ascii="Arial" w:hAnsi="Arial" w:cs="Arial"/>
                <w:bCs/>
              </w:rPr>
              <w:t>impact</w:t>
            </w:r>
            <w:proofErr w:type="gramEnd"/>
          </w:p>
          <w:p w14:paraId="17828E4E" w14:textId="3CB1D507" w:rsidR="009C61B1" w:rsidRPr="005539E3" w:rsidRDefault="009C61B1" w:rsidP="009C61B1">
            <w:pPr>
              <w:ind w:left="360"/>
              <w:rPr>
                <w:rFonts w:ascii="Arial" w:hAnsi="Arial" w:cs="Arial"/>
              </w:rPr>
            </w:pPr>
            <w:r w:rsidRPr="005539E3">
              <w:rPr>
                <w:rFonts w:ascii="Arial" w:hAnsi="Arial" w:cs="Arial"/>
                <w:b/>
              </w:rPr>
              <w:t xml:space="preserve">Revision Description:  </w:t>
            </w:r>
            <w:r w:rsidR="00744524" w:rsidRPr="00744524">
              <w:rPr>
                <w:rFonts w:ascii="Arial" w:hAnsi="Arial" w:cs="Arial"/>
                <w:bCs/>
              </w:rPr>
              <w:t xml:space="preserve">This NOGRR moves from the </w:t>
            </w:r>
            <w:r w:rsidR="00EC7EA3">
              <w:rPr>
                <w:rFonts w:ascii="Arial" w:hAnsi="Arial" w:cs="Arial"/>
                <w:bCs/>
              </w:rPr>
              <w:t>MIS</w:t>
            </w:r>
            <w:r w:rsidR="00744524" w:rsidRPr="00744524">
              <w:rPr>
                <w:rFonts w:ascii="Arial" w:hAnsi="Arial" w:cs="Arial"/>
                <w:bCs/>
              </w:rPr>
              <w:t xml:space="preserve"> Secure Area to the public ERCOT website reports that do not contain ECEII. ERCOT Staff analyzed reports in the MIS Secure Area, along with existing Protocols for posting requirements, and identified no ongoing basis for holding in the MIS Secure Area reports determined to contain only information for a market audience and not ECEII.</w:t>
            </w:r>
          </w:p>
          <w:p w14:paraId="069A0FFF" w14:textId="7777F4A0" w:rsidR="009C61B1" w:rsidRDefault="009C61B1" w:rsidP="009C61B1">
            <w:pPr>
              <w:ind w:left="360"/>
              <w:rPr>
                <w:rFonts w:ascii="Arial" w:hAnsi="Arial" w:cs="Arial"/>
              </w:rPr>
            </w:pPr>
            <w:r>
              <w:rPr>
                <w:rFonts w:ascii="Arial" w:hAnsi="Arial" w:cs="Arial"/>
                <w:b/>
              </w:rPr>
              <w:t>TAC Decision:</w:t>
            </w:r>
            <w:r>
              <w:rPr>
                <w:rFonts w:ascii="Arial" w:hAnsi="Arial" w:cs="Arial"/>
              </w:rPr>
              <w:t xml:space="preserve">  </w:t>
            </w:r>
            <w:r w:rsidR="0019238E">
              <w:rPr>
                <w:rFonts w:ascii="Arial" w:hAnsi="Arial" w:cs="Arial"/>
              </w:rPr>
              <w:t xml:space="preserve">On 11/20/24, TAC voted unanimously to </w:t>
            </w:r>
            <w:r w:rsidR="0019238E" w:rsidRPr="0019238E">
              <w:rPr>
                <w:rFonts w:ascii="Arial" w:hAnsi="Arial" w:cs="Arial"/>
              </w:rPr>
              <w:t>recommend approval of NOGRR266 as recommended by ROS in the 10/3/24 ROS Report</w:t>
            </w:r>
            <w:r w:rsidR="0019238E">
              <w:rPr>
                <w:rFonts w:ascii="Arial" w:hAnsi="Arial" w:cs="Arial"/>
              </w:rPr>
              <w:t>.</w:t>
            </w:r>
          </w:p>
          <w:p w14:paraId="5F644BF4" w14:textId="199F0946" w:rsidR="009C61B1" w:rsidRDefault="009C61B1" w:rsidP="009C61B1">
            <w:pPr>
              <w:ind w:left="360"/>
              <w:rPr>
                <w:rFonts w:ascii="Arial" w:hAnsi="Arial" w:cs="Arial"/>
              </w:rPr>
            </w:pPr>
            <w:r>
              <w:rPr>
                <w:rFonts w:ascii="Arial" w:hAnsi="Arial" w:cs="Arial"/>
                <w:b/>
              </w:rPr>
              <w:t xml:space="preserve">ERCOT Market Impact Statement:  </w:t>
            </w:r>
            <w:r w:rsidR="00744524" w:rsidRPr="00744524">
              <w:rPr>
                <w:rFonts w:ascii="Arial" w:hAnsi="Arial" w:cs="Arial"/>
                <w:bCs/>
              </w:rPr>
              <w:t>ERCOT Staff has reviewed NOGRR266 and believes it provides a positive market impact by improving access and transparency by moving reports that are not ECEII from the MIS Secure Area to the ERCOT website so the public can directly access reports without registering as a Market Participant and requesting ERCOT to issue a Digital Certificate, or without submitting an ERCOT Information Request.</w:t>
            </w:r>
          </w:p>
          <w:p w14:paraId="7DE082F8" w14:textId="77777777" w:rsidR="009C61B1" w:rsidRDefault="009C61B1" w:rsidP="009C61B1">
            <w:pPr>
              <w:rPr>
                <w:rFonts w:ascii="Arial" w:hAnsi="Arial" w:cs="Arial"/>
              </w:rPr>
            </w:pPr>
          </w:p>
          <w:p w14:paraId="33C4A3C8" w14:textId="77777777" w:rsidR="009C61B1" w:rsidRPr="009C61B1" w:rsidRDefault="009C61B1" w:rsidP="009C61B1">
            <w:pPr>
              <w:pStyle w:val="ListParagraph"/>
              <w:numPr>
                <w:ilvl w:val="0"/>
                <w:numId w:val="27"/>
              </w:numPr>
              <w:rPr>
                <w:rFonts w:ascii="Arial" w:hAnsi="Arial" w:cs="Arial"/>
                <w:b/>
                <w:i/>
              </w:rPr>
            </w:pPr>
            <w:r w:rsidRPr="009C61B1">
              <w:rPr>
                <w:rFonts w:ascii="Arial" w:hAnsi="Arial" w:cs="Arial"/>
                <w:b/>
                <w:i/>
              </w:rPr>
              <w:t>NOGRR267, Related to NPRR1240, Access to Transmission Planning Information</w:t>
            </w:r>
          </w:p>
          <w:p w14:paraId="447A95E4" w14:textId="77777777" w:rsidR="009C61B1" w:rsidRPr="005539E3" w:rsidRDefault="009C61B1" w:rsidP="009C61B1">
            <w:pPr>
              <w:ind w:left="360"/>
              <w:rPr>
                <w:rFonts w:ascii="Arial" w:hAnsi="Arial" w:cs="Arial"/>
                <w:bCs/>
                <w:iCs/>
              </w:rPr>
            </w:pPr>
            <w:r>
              <w:rPr>
                <w:rFonts w:ascii="Arial" w:hAnsi="Arial" w:cs="Arial"/>
                <w:b/>
                <w:iCs/>
              </w:rPr>
              <w:t xml:space="preserve">Sponsor:  </w:t>
            </w:r>
            <w:r>
              <w:rPr>
                <w:rFonts w:ascii="Arial" w:hAnsi="Arial" w:cs="Arial"/>
                <w:bCs/>
                <w:iCs/>
              </w:rPr>
              <w:t>ERCOT</w:t>
            </w:r>
          </w:p>
          <w:p w14:paraId="2DD51B67" w14:textId="2F123BDB" w:rsidR="009C61B1" w:rsidRPr="005539E3" w:rsidRDefault="009C61B1" w:rsidP="009C61B1">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DA0ABE" w:rsidRPr="00DA0ABE">
              <w:rPr>
                <w:rFonts w:ascii="Arial" w:hAnsi="Arial" w:cs="Arial"/>
                <w:bCs/>
              </w:rPr>
              <w:t xml:space="preserve">Upon implementation of </w:t>
            </w:r>
            <w:r w:rsidR="00F274F2">
              <w:rPr>
                <w:rFonts w:ascii="Arial" w:hAnsi="Arial" w:cs="Arial"/>
                <w:bCs/>
              </w:rPr>
              <w:t>NPRR1240</w:t>
            </w:r>
          </w:p>
          <w:p w14:paraId="63891482" w14:textId="062F9168" w:rsidR="009C61B1" w:rsidRPr="005539E3" w:rsidRDefault="009C61B1" w:rsidP="009C61B1">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w:t>
            </w:r>
            <w:r w:rsidRPr="00F30642">
              <w:rPr>
                <w:rFonts w:ascii="Arial" w:hAnsi="Arial" w:cs="Arial"/>
                <w:bCs/>
              </w:rPr>
              <w:t xml:space="preserve">  </w:t>
            </w:r>
            <w:r w:rsidR="00DA0ABE">
              <w:rPr>
                <w:rFonts w:ascii="Arial" w:hAnsi="Arial" w:cs="Arial"/>
                <w:bCs/>
              </w:rPr>
              <w:t xml:space="preserve">No </w:t>
            </w:r>
            <w:proofErr w:type="gramStart"/>
            <w:r w:rsidR="00DA0ABE">
              <w:rPr>
                <w:rFonts w:ascii="Arial" w:hAnsi="Arial" w:cs="Arial"/>
                <w:bCs/>
              </w:rPr>
              <w:t>impact</w:t>
            </w:r>
            <w:proofErr w:type="gramEnd"/>
          </w:p>
          <w:p w14:paraId="1CE4B41E" w14:textId="33110F90" w:rsidR="009C61B1" w:rsidRPr="005539E3" w:rsidRDefault="009C61B1" w:rsidP="009C61B1">
            <w:pPr>
              <w:ind w:left="360"/>
              <w:rPr>
                <w:rFonts w:ascii="Arial" w:hAnsi="Arial" w:cs="Arial"/>
              </w:rPr>
            </w:pPr>
            <w:r w:rsidRPr="005539E3">
              <w:rPr>
                <w:rFonts w:ascii="Arial" w:hAnsi="Arial" w:cs="Arial"/>
                <w:b/>
              </w:rPr>
              <w:t xml:space="preserve">Revision Description: </w:t>
            </w:r>
            <w:r w:rsidR="00DA0ABE" w:rsidRPr="00DA0ABE">
              <w:rPr>
                <w:rFonts w:ascii="Arial" w:hAnsi="Arial" w:cs="Arial"/>
                <w:bCs/>
              </w:rPr>
              <w:t xml:space="preserve">This NOGRR moves from the </w:t>
            </w:r>
            <w:r w:rsidR="00F274F2">
              <w:rPr>
                <w:rFonts w:ascii="Arial" w:hAnsi="Arial" w:cs="Arial"/>
                <w:bCs/>
              </w:rPr>
              <w:t>MIS</w:t>
            </w:r>
            <w:r w:rsidR="00DA0ABE" w:rsidRPr="00DA0ABE">
              <w:rPr>
                <w:rFonts w:ascii="Arial" w:hAnsi="Arial" w:cs="Arial"/>
                <w:bCs/>
              </w:rPr>
              <w:t xml:space="preserve"> Secure Area to the public ERCOT website reports that do not contain </w:t>
            </w:r>
            <w:r w:rsidR="00F274F2">
              <w:rPr>
                <w:rFonts w:ascii="Arial" w:hAnsi="Arial" w:cs="Arial"/>
                <w:bCs/>
              </w:rPr>
              <w:t>ECEII</w:t>
            </w:r>
            <w:r w:rsidR="00DA0ABE" w:rsidRPr="00DA0ABE">
              <w:rPr>
                <w:rFonts w:ascii="Arial" w:hAnsi="Arial" w:cs="Arial"/>
                <w:bCs/>
              </w:rPr>
              <w:t>. ERCOT Staff analyzed reports in the MIS Secure Area, along with existing Protocols for posting requirements, and identified no ongoing basis for holding in the MIS Secure Area reports determined to contain only Transmission planning information for a market audience, consisting of percentages of Transmission Outage totals by scheduling and type, and monthly reports that show the rates at which solutions converged in the State Estimator application and not ECEII.</w:t>
            </w:r>
            <w:r w:rsidRPr="005539E3">
              <w:rPr>
                <w:rFonts w:ascii="Arial" w:hAnsi="Arial" w:cs="Arial"/>
                <w:b/>
              </w:rPr>
              <w:t xml:space="preserve"> </w:t>
            </w:r>
          </w:p>
          <w:p w14:paraId="0CDEA42A" w14:textId="4F2735B8" w:rsidR="009C61B1" w:rsidRDefault="009C61B1" w:rsidP="009C61B1">
            <w:pPr>
              <w:ind w:left="360"/>
              <w:rPr>
                <w:rFonts w:ascii="Arial" w:hAnsi="Arial" w:cs="Arial"/>
              </w:rPr>
            </w:pPr>
            <w:r>
              <w:rPr>
                <w:rFonts w:ascii="Arial" w:hAnsi="Arial" w:cs="Arial"/>
                <w:b/>
              </w:rPr>
              <w:t>TAC Decision:</w:t>
            </w:r>
            <w:r>
              <w:rPr>
                <w:rFonts w:ascii="Arial" w:hAnsi="Arial" w:cs="Arial"/>
              </w:rPr>
              <w:t xml:space="preserve">  </w:t>
            </w:r>
            <w:r w:rsidR="0019238E">
              <w:rPr>
                <w:rFonts w:ascii="Arial" w:hAnsi="Arial" w:cs="Arial"/>
              </w:rPr>
              <w:t xml:space="preserve">On 11/20/24, TAC voted unanimously to </w:t>
            </w:r>
            <w:r w:rsidR="00914452" w:rsidRPr="00914452">
              <w:rPr>
                <w:rFonts w:ascii="Arial" w:hAnsi="Arial" w:cs="Arial"/>
              </w:rPr>
              <w:t>recommend approval of NOGRR267 as recommended by ROS in the 10/3/24 ROS Report</w:t>
            </w:r>
            <w:r w:rsidR="00914452">
              <w:rPr>
                <w:rFonts w:ascii="Arial" w:hAnsi="Arial" w:cs="Arial"/>
              </w:rPr>
              <w:t>.</w:t>
            </w:r>
          </w:p>
          <w:p w14:paraId="544C9AC0" w14:textId="7B695E93" w:rsidR="009C61B1" w:rsidRDefault="009C61B1" w:rsidP="009C61B1">
            <w:pPr>
              <w:ind w:left="360"/>
              <w:rPr>
                <w:rFonts w:ascii="Arial" w:hAnsi="Arial" w:cs="Arial"/>
              </w:rPr>
            </w:pPr>
            <w:r>
              <w:rPr>
                <w:rFonts w:ascii="Arial" w:hAnsi="Arial" w:cs="Arial"/>
                <w:b/>
              </w:rPr>
              <w:t xml:space="preserve">ERCOT Market Impact Statement:  </w:t>
            </w:r>
            <w:r w:rsidR="00DA0ABE" w:rsidRPr="00DA0ABE">
              <w:rPr>
                <w:rFonts w:ascii="Arial" w:hAnsi="Arial" w:cs="Arial"/>
                <w:bCs/>
              </w:rPr>
              <w:t xml:space="preserve">ERCOT Staff has reviewed NOGRR267 and believes it provides a positive market impact by improving access and transparency by moving reports that are not ECEII from the MIS Secure Area to </w:t>
            </w:r>
            <w:r w:rsidR="00DA0ABE" w:rsidRPr="00DA0ABE">
              <w:rPr>
                <w:rFonts w:ascii="Arial" w:hAnsi="Arial" w:cs="Arial"/>
                <w:bCs/>
              </w:rPr>
              <w:lastRenderedPageBreak/>
              <w:t>the ERCOT website so the public can directly access reports without registering as a Market Participant and requesting ERCOT to issue a Digital Certificate, or without submitting an ERCOT Information Request.</w:t>
            </w:r>
          </w:p>
          <w:p w14:paraId="19D99A22" w14:textId="77777777" w:rsidR="009C61B1" w:rsidRDefault="009C61B1" w:rsidP="009C61B1">
            <w:pPr>
              <w:ind w:left="360"/>
              <w:rPr>
                <w:rFonts w:ascii="Arial" w:hAnsi="Arial" w:cs="Arial"/>
              </w:rPr>
            </w:pPr>
            <w:r w:rsidRPr="00D72735">
              <w:rPr>
                <w:rFonts w:ascii="Arial" w:hAnsi="Arial" w:cs="Arial"/>
                <w:b/>
                <w:bCs/>
              </w:rPr>
              <w:t>IMM Opinion:</w:t>
            </w:r>
            <w:r>
              <w:rPr>
                <w:rFonts w:ascii="Arial" w:hAnsi="Arial" w:cs="Arial"/>
              </w:rPr>
              <w:t xml:space="preserve">  </w:t>
            </w:r>
          </w:p>
          <w:p w14:paraId="2D88CDFA" w14:textId="77777777" w:rsidR="009C61B1" w:rsidRDefault="009C61B1" w:rsidP="009C61B1">
            <w:pPr>
              <w:rPr>
                <w:rFonts w:ascii="Arial" w:hAnsi="Arial" w:cs="Arial"/>
              </w:rPr>
            </w:pPr>
          </w:p>
          <w:p w14:paraId="6D662B89" w14:textId="77777777" w:rsidR="009C61B1" w:rsidRPr="009C61B1" w:rsidRDefault="009C61B1" w:rsidP="009C61B1">
            <w:pPr>
              <w:pStyle w:val="ListParagraph"/>
              <w:numPr>
                <w:ilvl w:val="0"/>
                <w:numId w:val="27"/>
              </w:numPr>
              <w:rPr>
                <w:rFonts w:ascii="Arial" w:hAnsi="Arial" w:cs="Arial"/>
                <w:b/>
                <w:i/>
              </w:rPr>
            </w:pPr>
            <w:r w:rsidRPr="009C61B1">
              <w:rPr>
                <w:rFonts w:ascii="Arial" w:hAnsi="Arial" w:cs="Arial"/>
                <w:b/>
                <w:i/>
              </w:rPr>
              <w:t>NOGRR268, Related to NPRR1246, Energy Storage Resource Terminology Alignment for the Single-Model Era</w:t>
            </w:r>
          </w:p>
          <w:p w14:paraId="1533D5C0" w14:textId="77777777" w:rsidR="009C61B1" w:rsidRPr="005539E3" w:rsidRDefault="009C61B1" w:rsidP="009C61B1">
            <w:pPr>
              <w:ind w:left="360"/>
              <w:rPr>
                <w:rFonts w:ascii="Arial" w:hAnsi="Arial" w:cs="Arial"/>
                <w:bCs/>
                <w:iCs/>
              </w:rPr>
            </w:pPr>
            <w:r>
              <w:rPr>
                <w:rFonts w:ascii="Arial" w:hAnsi="Arial" w:cs="Arial"/>
                <w:b/>
                <w:iCs/>
              </w:rPr>
              <w:t xml:space="preserve">Sponsor:  </w:t>
            </w:r>
            <w:r>
              <w:rPr>
                <w:rFonts w:ascii="Arial" w:hAnsi="Arial" w:cs="Arial"/>
                <w:bCs/>
                <w:iCs/>
              </w:rPr>
              <w:t>ERCOT</w:t>
            </w:r>
          </w:p>
          <w:p w14:paraId="009BF2E2" w14:textId="635D2D01" w:rsidR="009C61B1" w:rsidRPr="005539E3" w:rsidRDefault="009C61B1" w:rsidP="009C61B1">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DA0ABE" w:rsidRPr="00DA0ABE">
              <w:rPr>
                <w:rFonts w:ascii="Arial" w:hAnsi="Arial" w:cs="Arial"/>
                <w:bCs/>
              </w:rPr>
              <w:t xml:space="preserve">Upon implementation of </w:t>
            </w:r>
            <w:r w:rsidR="00F274F2">
              <w:rPr>
                <w:rFonts w:ascii="Arial" w:hAnsi="Arial" w:cs="Arial"/>
                <w:bCs/>
              </w:rPr>
              <w:t>NPRR1246</w:t>
            </w:r>
          </w:p>
          <w:p w14:paraId="79C16A31" w14:textId="3660C7F8" w:rsidR="009C61B1" w:rsidRPr="005539E3" w:rsidRDefault="009C61B1" w:rsidP="009C61B1">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w:t>
            </w:r>
            <w:r w:rsidRPr="00F30642">
              <w:rPr>
                <w:rFonts w:ascii="Arial" w:hAnsi="Arial" w:cs="Arial"/>
                <w:bCs/>
              </w:rPr>
              <w:t xml:space="preserve">  </w:t>
            </w:r>
            <w:r w:rsidR="00DA0ABE">
              <w:rPr>
                <w:rFonts w:ascii="Arial" w:hAnsi="Arial" w:cs="Arial"/>
                <w:bCs/>
              </w:rPr>
              <w:t xml:space="preserve">No </w:t>
            </w:r>
            <w:proofErr w:type="gramStart"/>
            <w:r w:rsidR="00DA0ABE">
              <w:rPr>
                <w:rFonts w:ascii="Arial" w:hAnsi="Arial" w:cs="Arial"/>
                <w:bCs/>
              </w:rPr>
              <w:t>impact</w:t>
            </w:r>
            <w:proofErr w:type="gramEnd"/>
          </w:p>
          <w:p w14:paraId="0C13CC72" w14:textId="6234D5F4" w:rsidR="009C61B1" w:rsidRPr="005539E3" w:rsidRDefault="009C61B1" w:rsidP="009C61B1">
            <w:pPr>
              <w:ind w:left="360"/>
              <w:rPr>
                <w:rFonts w:ascii="Arial" w:hAnsi="Arial" w:cs="Arial"/>
              </w:rPr>
            </w:pPr>
            <w:r w:rsidRPr="005539E3">
              <w:rPr>
                <w:rFonts w:ascii="Arial" w:hAnsi="Arial" w:cs="Arial"/>
                <w:b/>
              </w:rPr>
              <w:t xml:space="preserve">Revision Description:  </w:t>
            </w:r>
            <w:r w:rsidR="00DA0ABE" w:rsidRPr="00DA0ABE">
              <w:rPr>
                <w:rFonts w:ascii="Arial" w:hAnsi="Arial" w:cs="Arial"/>
                <w:bCs/>
              </w:rPr>
              <w:t xml:space="preserve">This NOGRR inserts terminology associated with </w:t>
            </w:r>
            <w:r w:rsidR="00F274F2">
              <w:rPr>
                <w:rFonts w:ascii="Arial" w:hAnsi="Arial" w:cs="Arial"/>
                <w:bCs/>
              </w:rPr>
              <w:t>ESRs</w:t>
            </w:r>
            <w:r w:rsidR="00DA0ABE" w:rsidRPr="00DA0ABE">
              <w:rPr>
                <w:rFonts w:ascii="Arial" w:hAnsi="Arial" w:cs="Arial"/>
                <w:bCs/>
              </w:rPr>
              <w:t xml:space="preserve"> in the appropriate places throughout the Guides, aligning provisions and requirements for ESRs with those already in place for Generation Resources and Controllable Load Resources.</w:t>
            </w:r>
          </w:p>
          <w:p w14:paraId="6E96ECFB" w14:textId="53B5D039" w:rsidR="009C61B1" w:rsidRDefault="009C61B1" w:rsidP="009C61B1">
            <w:pPr>
              <w:ind w:left="360"/>
              <w:rPr>
                <w:rFonts w:ascii="Arial" w:hAnsi="Arial" w:cs="Arial"/>
              </w:rPr>
            </w:pPr>
            <w:r>
              <w:rPr>
                <w:rFonts w:ascii="Arial" w:hAnsi="Arial" w:cs="Arial"/>
                <w:b/>
              </w:rPr>
              <w:t>TAC Decision:</w:t>
            </w:r>
            <w:r>
              <w:rPr>
                <w:rFonts w:ascii="Arial" w:hAnsi="Arial" w:cs="Arial"/>
              </w:rPr>
              <w:t xml:space="preserve">  </w:t>
            </w:r>
            <w:r w:rsidR="00914452">
              <w:rPr>
                <w:rFonts w:ascii="Arial" w:hAnsi="Arial" w:cs="Arial"/>
              </w:rPr>
              <w:t xml:space="preserve">On 11/20/24, TAC voted unanimously to </w:t>
            </w:r>
            <w:r w:rsidR="00914452" w:rsidRPr="00914452">
              <w:rPr>
                <w:rFonts w:ascii="Arial" w:hAnsi="Arial" w:cs="Arial"/>
              </w:rPr>
              <w:t>recommend approval of NOGRR268 as recommended by ROS in the 11/7/24 ROS Report</w:t>
            </w:r>
            <w:r w:rsidR="00914452">
              <w:rPr>
                <w:rFonts w:ascii="Arial" w:hAnsi="Arial" w:cs="Arial"/>
              </w:rPr>
              <w:t>.</w:t>
            </w:r>
          </w:p>
          <w:p w14:paraId="2F0E4289" w14:textId="10083C54" w:rsidR="009C61B1" w:rsidRDefault="009C61B1" w:rsidP="009C61B1">
            <w:pPr>
              <w:ind w:left="360"/>
              <w:rPr>
                <w:rFonts w:ascii="Arial" w:hAnsi="Arial" w:cs="Arial"/>
              </w:rPr>
            </w:pPr>
            <w:r>
              <w:rPr>
                <w:rFonts w:ascii="Arial" w:hAnsi="Arial" w:cs="Arial"/>
                <w:b/>
              </w:rPr>
              <w:t xml:space="preserve">ERCOT Market Impact Statement:  </w:t>
            </w:r>
            <w:r w:rsidR="00DA0ABE" w:rsidRPr="00DA0ABE">
              <w:rPr>
                <w:rFonts w:ascii="Arial" w:hAnsi="Arial" w:cs="Arial"/>
                <w:bCs/>
              </w:rPr>
              <w:t>ERCOT Staff has reviewed NOGRR268 and believes the market impact for NOGRR268 provides clarity and additional transparency for stakeholders on the applicable provisions and requirements associated with ESRs as the market transitions from the combo model to the single model as part of the RTC+B project.</w:t>
            </w:r>
          </w:p>
          <w:p w14:paraId="30CBEA79" w14:textId="77777777" w:rsidR="009C61B1" w:rsidRDefault="009C61B1" w:rsidP="009C61B1">
            <w:pPr>
              <w:rPr>
                <w:rFonts w:ascii="Arial" w:hAnsi="Arial" w:cs="Arial"/>
              </w:rPr>
            </w:pPr>
          </w:p>
          <w:p w14:paraId="2B4AFB83" w14:textId="77777777" w:rsidR="009C61B1" w:rsidRPr="009C61B1" w:rsidRDefault="009C61B1" w:rsidP="009C61B1">
            <w:pPr>
              <w:pStyle w:val="ListParagraph"/>
              <w:numPr>
                <w:ilvl w:val="0"/>
                <w:numId w:val="27"/>
              </w:numPr>
              <w:rPr>
                <w:rFonts w:ascii="Arial" w:hAnsi="Arial" w:cs="Arial"/>
                <w:b/>
                <w:i/>
              </w:rPr>
            </w:pPr>
            <w:r w:rsidRPr="009C61B1">
              <w:rPr>
                <w:rFonts w:ascii="Arial" w:hAnsi="Arial" w:cs="Arial"/>
                <w:b/>
                <w:i/>
              </w:rPr>
              <w:t>OBDRR052, Related to NPRR1246, Energy Storage Resource Terminology Alignment for the Single-Model Era</w:t>
            </w:r>
          </w:p>
          <w:p w14:paraId="5BE3A829" w14:textId="77777777" w:rsidR="009C61B1" w:rsidRPr="005539E3" w:rsidRDefault="009C61B1" w:rsidP="009C61B1">
            <w:pPr>
              <w:ind w:left="360"/>
              <w:rPr>
                <w:rFonts w:ascii="Arial" w:hAnsi="Arial" w:cs="Arial"/>
                <w:bCs/>
                <w:iCs/>
              </w:rPr>
            </w:pPr>
            <w:r>
              <w:rPr>
                <w:rFonts w:ascii="Arial" w:hAnsi="Arial" w:cs="Arial"/>
                <w:b/>
                <w:iCs/>
              </w:rPr>
              <w:t xml:space="preserve">Sponsor:  </w:t>
            </w:r>
            <w:r>
              <w:rPr>
                <w:rFonts w:ascii="Arial" w:hAnsi="Arial" w:cs="Arial"/>
                <w:bCs/>
                <w:iCs/>
              </w:rPr>
              <w:t>ERCOT</w:t>
            </w:r>
          </w:p>
          <w:p w14:paraId="47B724DB" w14:textId="634A26DF" w:rsidR="009C61B1" w:rsidRPr="005539E3" w:rsidRDefault="009C61B1" w:rsidP="009C61B1">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DA0ABE" w:rsidRPr="00DA0ABE">
              <w:rPr>
                <w:rFonts w:ascii="Arial" w:hAnsi="Arial" w:cs="Arial"/>
                <w:bCs/>
              </w:rPr>
              <w:t xml:space="preserve">Upon implementation of </w:t>
            </w:r>
            <w:r w:rsidR="00F274F2">
              <w:rPr>
                <w:rFonts w:ascii="Arial" w:hAnsi="Arial" w:cs="Arial"/>
                <w:bCs/>
              </w:rPr>
              <w:t>NPRR1246</w:t>
            </w:r>
          </w:p>
          <w:p w14:paraId="580DB7FB" w14:textId="0EB2848A" w:rsidR="009C61B1" w:rsidRPr="005539E3" w:rsidRDefault="009C61B1" w:rsidP="009C61B1">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w:t>
            </w:r>
            <w:r w:rsidRPr="00F30642">
              <w:rPr>
                <w:rFonts w:ascii="Arial" w:hAnsi="Arial" w:cs="Arial"/>
                <w:bCs/>
              </w:rPr>
              <w:t xml:space="preserve">  </w:t>
            </w:r>
            <w:r w:rsidR="00DA0ABE">
              <w:rPr>
                <w:rFonts w:ascii="Arial" w:hAnsi="Arial" w:cs="Arial"/>
                <w:bCs/>
              </w:rPr>
              <w:t xml:space="preserve">No </w:t>
            </w:r>
            <w:proofErr w:type="gramStart"/>
            <w:r w:rsidR="00DA0ABE">
              <w:rPr>
                <w:rFonts w:ascii="Arial" w:hAnsi="Arial" w:cs="Arial"/>
                <w:bCs/>
              </w:rPr>
              <w:t>impact</w:t>
            </w:r>
            <w:proofErr w:type="gramEnd"/>
          </w:p>
          <w:p w14:paraId="2157EA88" w14:textId="4BE7DFC9" w:rsidR="009C61B1" w:rsidRPr="005539E3" w:rsidRDefault="009C61B1" w:rsidP="009C61B1">
            <w:pPr>
              <w:ind w:left="360"/>
              <w:rPr>
                <w:rFonts w:ascii="Arial" w:hAnsi="Arial" w:cs="Arial"/>
              </w:rPr>
            </w:pPr>
            <w:r w:rsidRPr="005539E3">
              <w:rPr>
                <w:rFonts w:ascii="Arial" w:hAnsi="Arial" w:cs="Arial"/>
                <w:b/>
              </w:rPr>
              <w:t xml:space="preserve">Revision Description:  </w:t>
            </w:r>
            <w:r w:rsidR="00DA0ABE" w:rsidRPr="00DA0ABE">
              <w:rPr>
                <w:rFonts w:ascii="Arial" w:hAnsi="Arial" w:cs="Arial"/>
                <w:bCs/>
              </w:rPr>
              <w:t xml:space="preserve">This </w:t>
            </w:r>
            <w:r w:rsidR="00F274F2">
              <w:rPr>
                <w:rFonts w:ascii="Arial" w:hAnsi="Arial" w:cs="Arial"/>
                <w:bCs/>
              </w:rPr>
              <w:t>OBDRR</w:t>
            </w:r>
            <w:r w:rsidR="00DA0ABE" w:rsidRPr="00DA0ABE">
              <w:rPr>
                <w:rFonts w:ascii="Arial" w:hAnsi="Arial" w:cs="Arial"/>
                <w:bCs/>
              </w:rPr>
              <w:t xml:space="preserve"> inserts terminology associated with </w:t>
            </w:r>
            <w:r w:rsidR="00F274F2">
              <w:rPr>
                <w:rFonts w:ascii="Arial" w:hAnsi="Arial" w:cs="Arial"/>
                <w:bCs/>
              </w:rPr>
              <w:t>ESRs</w:t>
            </w:r>
            <w:r w:rsidR="00DA0ABE" w:rsidRPr="00DA0ABE">
              <w:rPr>
                <w:rFonts w:ascii="Arial" w:hAnsi="Arial" w:cs="Arial"/>
                <w:bCs/>
              </w:rPr>
              <w:t xml:space="preserve"> in the appropriate places throughout the Procedure for Identifying Resource Nodes, aligning provisions and requirements for ESRs with those already in place for Generation Resources and Controllable Load Resources.</w:t>
            </w:r>
          </w:p>
          <w:p w14:paraId="44CD2EC9" w14:textId="645096FB" w:rsidR="009C61B1" w:rsidRDefault="009C61B1" w:rsidP="009C61B1">
            <w:pPr>
              <w:ind w:left="360"/>
              <w:rPr>
                <w:rFonts w:ascii="Arial" w:hAnsi="Arial" w:cs="Arial"/>
              </w:rPr>
            </w:pPr>
            <w:r>
              <w:rPr>
                <w:rFonts w:ascii="Arial" w:hAnsi="Arial" w:cs="Arial"/>
                <w:b/>
              </w:rPr>
              <w:t>TAC Decision:</w:t>
            </w:r>
            <w:r>
              <w:rPr>
                <w:rFonts w:ascii="Arial" w:hAnsi="Arial" w:cs="Arial"/>
              </w:rPr>
              <w:t xml:space="preserve">  </w:t>
            </w:r>
            <w:r w:rsidR="00914452">
              <w:rPr>
                <w:rFonts w:ascii="Arial" w:hAnsi="Arial" w:cs="Arial"/>
              </w:rPr>
              <w:t xml:space="preserve">On 11/20/24, TAC voted unanimously to </w:t>
            </w:r>
            <w:r w:rsidR="00914452" w:rsidRPr="00914452">
              <w:rPr>
                <w:rFonts w:ascii="Arial" w:hAnsi="Arial" w:cs="Arial"/>
              </w:rPr>
              <w:t>recommend approval of OBDRR052 as amended by the 10/14/24 ERCOT comments; and the 7/31/24 Impact Analysis</w:t>
            </w:r>
            <w:r w:rsidR="00914452">
              <w:rPr>
                <w:rFonts w:ascii="Arial" w:hAnsi="Arial" w:cs="Arial"/>
              </w:rPr>
              <w:t>.</w:t>
            </w:r>
          </w:p>
          <w:p w14:paraId="0E88A486" w14:textId="1D868A55" w:rsidR="009C61B1" w:rsidRDefault="009C61B1" w:rsidP="009C61B1">
            <w:pPr>
              <w:ind w:left="360"/>
              <w:rPr>
                <w:rFonts w:ascii="Arial" w:hAnsi="Arial" w:cs="Arial"/>
              </w:rPr>
            </w:pPr>
            <w:r>
              <w:rPr>
                <w:rFonts w:ascii="Arial" w:hAnsi="Arial" w:cs="Arial"/>
                <w:b/>
              </w:rPr>
              <w:t xml:space="preserve">ERCOT Market Impact Statement:  </w:t>
            </w:r>
            <w:r w:rsidR="00DA0ABE" w:rsidRPr="00DA0ABE">
              <w:rPr>
                <w:rFonts w:ascii="Arial" w:hAnsi="Arial" w:cs="Arial"/>
                <w:bCs/>
              </w:rPr>
              <w:t>ERCOT Staff has reviewed OBDRR52 and believes the market impact for OBDRR052 provides clarity and additional transparency for stakeholders on the applicable provisions and requirements associated with ESRs as the market transitions from the combo model to the single model as part of the RTC+B project.</w:t>
            </w:r>
          </w:p>
          <w:p w14:paraId="07BD722F" w14:textId="77777777" w:rsidR="009C61B1" w:rsidRDefault="009C61B1" w:rsidP="009C61B1">
            <w:pPr>
              <w:ind w:left="360"/>
              <w:rPr>
                <w:rFonts w:ascii="Arial" w:hAnsi="Arial" w:cs="Arial"/>
              </w:rPr>
            </w:pPr>
          </w:p>
          <w:p w14:paraId="5B326B73" w14:textId="77777777" w:rsidR="009C61B1" w:rsidRPr="009C61B1" w:rsidRDefault="009C61B1" w:rsidP="009C61B1">
            <w:pPr>
              <w:pStyle w:val="ListParagraph"/>
              <w:numPr>
                <w:ilvl w:val="0"/>
                <w:numId w:val="27"/>
              </w:numPr>
              <w:rPr>
                <w:rFonts w:ascii="Arial" w:hAnsi="Arial" w:cs="Arial"/>
                <w:b/>
                <w:i/>
              </w:rPr>
            </w:pPr>
            <w:r w:rsidRPr="009C61B1">
              <w:rPr>
                <w:rFonts w:ascii="Arial" w:hAnsi="Arial" w:cs="Arial"/>
                <w:b/>
                <w:i/>
              </w:rPr>
              <w:t>OBDRR053, Alignment with NPRR1131, Controllable Load Resource Participation in Non-Spin, and Minor Clean-Ups</w:t>
            </w:r>
          </w:p>
          <w:p w14:paraId="623430C4" w14:textId="77777777" w:rsidR="009C61B1" w:rsidRPr="005539E3" w:rsidRDefault="009C61B1" w:rsidP="009C61B1">
            <w:pPr>
              <w:ind w:left="360"/>
              <w:rPr>
                <w:rFonts w:ascii="Arial" w:hAnsi="Arial" w:cs="Arial"/>
                <w:bCs/>
                <w:iCs/>
              </w:rPr>
            </w:pPr>
            <w:r>
              <w:rPr>
                <w:rFonts w:ascii="Arial" w:hAnsi="Arial" w:cs="Arial"/>
                <w:b/>
                <w:iCs/>
              </w:rPr>
              <w:t xml:space="preserve">Sponsor:  </w:t>
            </w:r>
            <w:r>
              <w:rPr>
                <w:rFonts w:ascii="Arial" w:hAnsi="Arial" w:cs="Arial"/>
                <w:bCs/>
                <w:iCs/>
              </w:rPr>
              <w:t>ERCOT</w:t>
            </w:r>
          </w:p>
          <w:p w14:paraId="073FC718" w14:textId="5AB895B3" w:rsidR="009C61B1" w:rsidRPr="005539E3" w:rsidRDefault="009C61B1" w:rsidP="009C61B1">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DA0ABE" w:rsidRPr="00DA0ABE">
              <w:rPr>
                <w:rFonts w:ascii="Arial" w:hAnsi="Arial" w:cs="Arial"/>
                <w:bCs/>
              </w:rPr>
              <w:t xml:space="preserve">The first of the month following </w:t>
            </w:r>
            <w:r w:rsidR="00F274F2">
              <w:rPr>
                <w:rFonts w:ascii="Arial" w:hAnsi="Arial" w:cs="Arial"/>
                <w:bCs/>
              </w:rPr>
              <w:t xml:space="preserve">PUCT </w:t>
            </w:r>
            <w:proofErr w:type="gramStart"/>
            <w:r w:rsidR="00F274F2">
              <w:rPr>
                <w:rFonts w:ascii="Arial" w:hAnsi="Arial" w:cs="Arial"/>
                <w:bCs/>
              </w:rPr>
              <w:t>approval</w:t>
            </w:r>
            <w:proofErr w:type="gramEnd"/>
          </w:p>
          <w:p w14:paraId="34C588CF" w14:textId="7F6BDC6F" w:rsidR="009C61B1" w:rsidRPr="005539E3" w:rsidRDefault="009C61B1" w:rsidP="009C61B1">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w:t>
            </w:r>
            <w:r w:rsidRPr="00F30642">
              <w:rPr>
                <w:rFonts w:ascii="Arial" w:hAnsi="Arial" w:cs="Arial"/>
                <w:bCs/>
              </w:rPr>
              <w:t xml:space="preserve">  </w:t>
            </w:r>
            <w:r w:rsidR="00DA0ABE">
              <w:rPr>
                <w:rFonts w:ascii="Arial" w:hAnsi="Arial" w:cs="Arial"/>
                <w:bCs/>
              </w:rPr>
              <w:t xml:space="preserve">No </w:t>
            </w:r>
            <w:proofErr w:type="gramStart"/>
            <w:r w:rsidR="00DA0ABE">
              <w:rPr>
                <w:rFonts w:ascii="Arial" w:hAnsi="Arial" w:cs="Arial"/>
                <w:bCs/>
              </w:rPr>
              <w:t>impact</w:t>
            </w:r>
            <w:proofErr w:type="gramEnd"/>
          </w:p>
          <w:p w14:paraId="191E43AB" w14:textId="10408C4C" w:rsidR="009C61B1" w:rsidRPr="005539E3" w:rsidRDefault="009C61B1" w:rsidP="009C61B1">
            <w:pPr>
              <w:ind w:left="360"/>
              <w:rPr>
                <w:rFonts w:ascii="Arial" w:hAnsi="Arial" w:cs="Arial"/>
              </w:rPr>
            </w:pPr>
            <w:r w:rsidRPr="005539E3">
              <w:rPr>
                <w:rFonts w:ascii="Arial" w:hAnsi="Arial" w:cs="Arial"/>
                <w:b/>
              </w:rPr>
              <w:lastRenderedPageBreak/>
              <w:t xml:space="preserve">Revision Description:  </w:t>
            </w:r>
            <w:r w:rsidR="00DA0ABE" w:rsidRPr="00DA0ABE">
              <w:rPr>
                <w:rFonts w:ascii="Arial" w:hAnsi="Arial" w:cs="Arial"/>
                <w:bCs/>
              </w:rPr>
              <w:t xml:space="preserve">This </w:t>
            </w:r>
            <w:r w:rsidR="00F274F2">
              <w:rPr>
                <w:rFonts w:ascii="Arial" w:hAnsi="Arial" w:cs="Arial"/>
                <w:bCs/>
              </w:rPr>
              <w:t>OBDRR</w:t>
            </w:r>
            <w:r w:rsidR="00DA0ABE" w:rsidRPr="00DA0ABE">
              <w:rPr>
                <w:rFonts w:ascii="Arial" w:hAnsi="Arial" w:cs="Arial"/>
                <w:bCs/>
              </w:rPr>
              <w:t xml:space="preserve"> aligns the Non-Spinning Reserve Deployment and Recall Procedure with revisions from </w:t>
            </w:r>
            <w:r w:rsidR="00F274F2">
              <w:rPr>
                <w:rFonts w:ascii="Arial" w:hAnsi="Arial" w:cs="Arial"/>
                <w:bCs/>
              </w:rPr>
              <w:t>NPRR</w:t>
            </w:r>
            <w:r w:rsidR="00DA0ABE" w:rsidRPr="00DA0ABE">
              <w:rPr>
                <w:rFonts w:ascii="Arial" w:hAnsi="Arial" w:cs="Arial"/>
                <w:bCs/>
              </w:rPr>
              <w:t>1131, Controllable Load Resource Participation in Non-Spin, along with other minor clean-ups.</w:t>
            </w:r>
          </w:p>
          <w:p w14:paraId="3916C220" w14:textId="3D11A6BA" w:rsidR="009C61B1" w:rsidRDefault="009C61B1" w:rsidP="009C61B1">
            <w:pPr>
              <w:ind w:left="360"/>
              <w:rPr>
                <w:rFonts w:ascii="Arial" w:hAnsi="Arial" w:cs="Arial"/>
              </w:rPr>
            </w:pPr>
            <w:r>
              <w:rPr>
                <w:rFonts w:ascii="Arial" w:hAnsi="Arial" w:cs="Arial"/>
                <w:b/>
              </w:rPr>
              <w:t>TAC Decision:</w:t>
            </w:r>
            <w:r>
              <w:rPr>
                <w:rFonts w:ascii="Arial" w:hAnsi="Arial" w:cs="Arial"/>
              </w:rPr>
              <w:t xml:space="preserve">  </w:t>
            </w:r>
            <w:r w:rsidR="00914452" w:rsidRPr="00914452">
              <w:rPr>
                <w:rFonts w:ascii="Arial" w:hAnsi="Arial" w:cs="Arial"/>
              </w:rPr>
              <w:t>On 10/30/24, TAC voted unanimously to recommend approval of OBDRR053 as submitted and the 10/17/24 Impact Analysis</w:t>
            </w:r>
            <w:r w:rsidR="00914452">
              <w:rPr>
                <w:rFonts w:ascii="Arial" w:hAnsi="Arial" w:cs="Arial"/>
              </w:rPr>
              <w:t>.</w:t>
            </w:r>
          </w:p>
          <w:p w14:paraId="392218A5" w14:textId="0147A5ED" w:rsidR="009C61B1" w:rsidRDefault="009C61B1" w:rsidP="009C61B1">
            <w:pPr>
              <w:ind w:left="360"/>
              <w:rPr>
                <w:rFonts w:ascii="Arial" w:hAnsi="Arial" w:cs="Arial"/>
              </w:rPr>
            </w:pPr>
            <w:r>
              <w:rPr>
                <w:rFonts w:ascii="Arial" w:hAnsi="Arial" w:cs="Arial"/>
                <w:b/>
              </w:rPr>
              <w:t xml:space="preserve">ERCOT Market Impact Statement:  </w:t>
            </w:r>
            <w:r w:rsidR="00DA0ABE" w:rsidRPr="00DA0ABE">
              <w:rPr>
                <w:rFonts w:ascii="Arial" w:hAnsi="Arial" w:cs="Arial"/>
                <w:bCs/>
              </w:rPr>
              <w:t>ERCOT Staff has reviewed OBDRR053 and believes the market impact for OBDRR053 maintains alignment between this Other Binding Document and the Protocols.</w:t>
            </w:r>
          </w:p>
          <w:p w14:paraId="5DA9E38F" w14:textId="77777777" w:rsidR="009C61B1" w:rsidRDefault="009C61B1" w:rsidP="009C61B1">
            <w:pPr>
              <w:ind w:left="360"/>
              <w:rPr>
                <w:rFonts w:ascii="Arial" w:hAnsi="Arial" w:cs="Arial"/>
              </w:rPr>
            </w:pPr>
          </w:p>
          <w:p w14:paraId="7EBF48CC" w14:textId="77777777" w:rsidR="009C61B1" w:rsidRPr="009C61B1" w:rsidRDefault="009C61B1" w:rsidP="009C61B1">
            <w:pPr>
              <w:pStyle w:val="ListParagraph"/>
              <w:numPr>
                <w:ilvl w:val="0"/>
                <w:numId w:val="27"/>
              </w:numPr>
              <w:rPr>
                <w:rFonts w:ascii="Arial" w:hAnsi="Arial" w:cs="Arial"/>
                <w:b/>
                <w:i/>
              </w:rPr>
            </w:pPr>
            <w:r w:rsidRPr="009C61B1">
              <w:rPr>
                <w:rFonts w:ascii="Arial" w:hAnsi="Arial" w:cs="Arial"/>
                <w:b/>
                <w:i/>
              </w:rPr>
              <w:t>PGRR107, Related to NPRR1180, Inclusion of Forecasted Load in Planning Analyses</w:t>
            </w:r>
          </w:p>
          <w:p w14:paraId="571432CA" w14:textId="663E2E4C" w:rsidR="009C61B1" w:rsidRPr="005539E3" w:rsidRDefault="009C61B1" w:rsidP="009C61B1">
            <w:pPr>
              <w:ind w:left="360"/>
              <w:rPr>
                <w:rFonts w:ascii="Arial" w:hAnsi="Arial" w:cs="Arial"/>
                <w:bCs/>
                <w:iCs/>
              </w:rPr>
            </w:pPr>
            <w:r>
              <w:rPr>
                <w:rFonts w:ascii="Arial" w:hAnsi="Arial" w:cs="Arial"/>
                <w:b/>
                <w:iCs/>
              </w:rPr>
              <w:t xml:space="preserve">Sponsor:  </w:t>
            </w:r>
            <w:r w:rsidR="00B02348">
              <w:rPr>
                <w:rFonts w:ascii="Arial" w:hAnsi="Arial" w:cs="Arial"/>
                <w:bCs/>
                <w:iCs/>
              </w:rPr>
              <w:t>Oncor</w:t>
            </w:r>
          </w:p>
          <w:p w14:paraId="3CED64F2" w14:textId="136B1435" w:rsidR="009C61B1" w:rsidRPr="005539E3" w:rsidRDefault="009C61B1" w:rsidP="009C61B1">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DA0ABE" w:rsidRPr="00DA0ABE">
              <w:rPr>
                <w:rFonts w:ascii="Arial" w:hAnsi="Arial" w:cs="Arial"/>
                <w:bCs/>
              </w:rPr>
              <w:t xml:space="preserve">Upon implementation of </w:t>
            </w:r>
            <w:r w:rsidR="00F274F2">
              <w:rPr>
                <w:rFonts w:ascii="Arial" w:hAnsi="Arial" w:cs="Arial"/>
                <w:bCs/>
              </w:rPr>
              <w:t>NPRR1180</w:t>
            </w:r>
          </w:p>
          <w:p w14:paraId="7A467186" w14:textId="00E8B954" w:rsidR="009C61B1" w:rsidRPr="005539E3" w:rsidRDefault="009C61B1" w:rsidP="009C61B1">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w:t>
            </w:r>
            <w:r w:rsidRPr="00F30642">
              <w:rPr>
                <w:rFonts w:ascii="Arial" w:hAnsi="Arial" w:cs="Arial"/>
                <w:bCs/>
              </w:rPr>
              <w:t xml:space="preserve">  </w:t>
            </w:r>
            <w:r w:rsidR="00DA0ABE">
              <w:rPr>
                <w:rFonts w:ascii="Arial" w:hAnsi="Arial" w:cs="Arial"/>
                <w:bCs/>
              </w:rPr>
              <w:t xml:space="preserve">No </w:t>
            </w:r>
            <w:proofErr w:type="gramStart"/>
            <w:r w:rsidR="00DA0ABE">
              <w:rPr>
                <w:rFonts w:ascii="Arial" w:hAnsi="Arial" w:cs="Arial"/>
                <w:bCs/>
              </w:rPr>
              <w:t>impact</w:t>
            </w:r>
            <w:proofErr w:type="gramEnd"/>
          </w:p>
          <w:p w14:paraId="7B7E2B2B" w14:textId="3E6EF639" w:rsidR="009C61B1" w:rsidRPr="005539E3" w:rsidRDefault="009C61B1" w:rsidP="009C61B1">
            <w:pPr>
              <w:ind w:left="360"/>
              <w:rPr>
                <w:rFonts w:ascii="Arial" w:hAnsi="Arial" w:cs="Arial"/>
              </w:rPr>
            </w:pPr>
            <w:r w:rsidRPr="005539E3">
              <w:rPr>
                <w:rFonts w:ascii="Arial" w:hAnsi="Arial" w:cs="Arial"/>
                <w:b/>
              </w:rPr>
              <w:t xml:space="preserve">Revision Description:  </w:t>
            </w:r>
            <w:r w:rsidR="00DA0ABE" w:rsidRPr="00DA0ABE">
              <w:rPr>
                <w:rFonts w:ascii="Arial" w:hAnsi="Arial" w:cs="Arial"/>
                <w:bCs/>
              </w:rPr>
              <w:t>This PGRR aligns the Planning Guide with NPRR1180. PGRR107 revises the Planning Guide to address recent amendments to P.U.C. S</w:t>
            </w:r>
            <w:r w:rsidR="00DA0ABE" w:rsidRPr="00F274F2">
              <w:rPr>
                <w:rFonts w:ascii="Arial" w:hAnsi="Arial" w:cs="Arial"/>
                <w:bCs/>
                <w:smallCaps/>
              </w:rPr>
              <w:t>ubst</w:t>
            </w:r>
            <w:r w:rsidR="00DA0ABE" w:rsidRPr="00DA0ABE">
              <w:rPr>
                <w:rFonts w:ascii="Arial" w:hAnsi="Arial" w:cs="Arial"/>
                <w:bCs/>
              </w:rPr>
              <w:t>. R. 25.101, Certification Criteria, which became effective on December 20, 2022. Specifically, PGRR107 incorporates the requirement in P.U.C. S</w:t>
            </w:r>
            <w:r w:rsidR="00DA0ABE" w:rsidRPr="00F274F2">
              <w:rPr>
                <w:rFonts w:ascii="Arial" w:hAnsi="Arial" w:cs="Arial"/>
                <w:bCs/>
                <w:smallCaps/>
              </w:rPr>
              <w:t>ubst</w:t>
            </w:r>
            <w:r w:rsidR="00DA0ABE" w:rsidRPr="00DA0ABE">
              <w:rPr>
                <w:rFonts w:ascii="Arial" w:hAnsi="Arial" w:cs="Arial"/>
                <w:bCs/>
              </w:rPr>
              <w:t>. R. 25.101(b)(3)(A)(ii)(II) for any review of project need conducted by ERCOT to incorporate the historical load, forecasted load growth, and additional load seeking interconnection, in ERCOT’s analysis, while recognizing that ERCOT’s Regional Transmission Plan will include only that load that ERCOT has determined to be credibly supported by quantifiable evidence of load growth. PGRR107 also requires a Regional Planning Group (RPG) project submitter to provide such information to ERCOT, when available, for inclusion in ERCOT’s planning analyses.</w:t>
            </w:r>
          </w:p>
          <w:p w14:paraId="324B1CD0" w14:textId="501C12AB" w:rsidR="009C61B1" w:rsidRDefault="009C61B1" w:rsidP="009C61B1">
            <w:pPr>
              <w:ind w:left="360"/>
              <w:rPr>
                <w:rFonts w:ascii="Arial" w:hAnsi="Arial" w:cs="Arial"/>
              </w:rPr>
            </w:pPr>
            <w:r>
              <w:rPr>
                <w:rFonts w:ascii="Arial" w:hAnsi="Arial" w:cs="Arial"/>
                <w:b/>
              </w:rPr>
              <w:t>TAC Decision:</w:t>
            </w:r>
            <w:r>
              <w:rPr>
                <w:rFonts w:ascii="Arial" w:hAnsi="Arial" w:cs="Arial"/>
              </w:rPr>
              <w:t xml:space="preserve">  </w:t>
            </w:r>
            <w:r w:rsidR="00914452">
              <w:rPr>
                <w:rFonts w:ascii="Arial" w:hAnsi="Arial" w:cs="Arial"/>
              </w:rPr>
              <w:t xml:space="preserve">On 11/20/24, TAC voted to </w:t>
            </w:r>
            <w:r w:rsidR="00914452" w:rsidRPr="00914452">
              <w:rPr>
                <w:rFonts w:ascii="Arial" w:hAnsi="Arial" w:cs="Arial"/>
              </w:rPr>
              <w:t>recommend approval of PGRR107 as recommended by ROS in the 11/7/24 ROS Report</w:t>
            </w:r>
            <w:r w:rsidR="00914452">
              <w:rPr>
                <w:rFonts w:ascii="Arial" w:hAnsi="Arial" w:cs="Arial"/>
              </w:rPr>
              <w:t xml:space="preserve">.  There were four abstentions from the Consumer (2) (Residential, OPUC), Cooperative (GSEC), and Independent Power Marketer (IPM) (SENA) Market Segments.  </w:t>
            </w:r>
          </w:p>
          <w:p w14:paraId="069D2BB6" w14:textId="2C12B1C1" w:rsidR="009C61B1" w:rsidRDefault="009C61B1" w:rsidP="009C61B1">
            <w:pPr>
              <w:ind w:left="360"/>
              <w:rPr>
                <w:rFonts w:ascii="Arial" w:hAnsi="Arial" w:cs="Arial"/>
              </w:rPr>
            </w:pPr>
            <w:r>
              <w:rPr>
                <w:rFonts w:ascii="Arial" w:hAnsi="Arial" w:cs="Arial"/>
                <w:b/>
              </w:rPr>
              <w:t xml:space="preserve">ERCOT Market Impact Statement:  </w:t>
            </w:r>
            <w:r w:rsidR="00DA0ABE" w:rsidRPr="00DA0ABE">
              <w:rPr>
                <w:rFonts w:ascii="Arial" w:hAnsi="Arial" w:cs="Arial"/>
                <w:bCs/>
              </w:rPr>
              <w:t>ERCOT Staff has reviewed PGRR107 and believes it appropriately aligns the Planning Guide with NPRR1180, which incorporates the requirement in P.U.C. S</w:t>
            </w:r>
            <w:r w:rsidR="00DA0ABE" w:rsidRPr="00F274F2">
              <w:rPr>
                <w:rFonts w:ascii="Arial" w:hAnsi="Arial" w:cs="Arial"/>
                <w:bCs/>
                <w:smallCaps/>
              </w:rPr>
              <w:t>ubst</w:t>
            </w:r>
            <w:r w:rsidR="00DA0ABE" w:rsidRPr="00DA0ABE">
              <w:rPr>
                <w:rFonts w:ascii="Arial" w:hAnsi="Arial" w:cs="Arial"/>
                <w:bCs/>
              </w:rPr>
              <w:t>. R.25.101(b)(3)(A)(ii)(II) for any reliability-driven transmission project review conducted by ERCOT to account for historical Load, forecasted Load growth, and additional Load seeking interconnection.</w:t>
            </w:r>
          </w:p>
          <w:p w14:paraId="56A297EB" w14:textId="66044E00" w:rsidR="009C61B1" w:rsidRDefault="009C61B1" w:rsidP="009C61B1">
            <w:pPr>
              <w:ind w:left="360"/>
              <w:rPr>
                <w:rFonts w:ascii="Arial" w:hAnsi="Arial" w:cs="Arial"/>
              </w:rPr>
            </w:pPr>
            <w:r w:rsidRPr="00D72735">
              <w:rPr>
                <w:rFonts w:ascii="Arial" w:hAnsi="Arial" w:cs="Arial"/>
                <w:b/>
                <w:bCs/>
              </w:rPr>
              <w:t>IMM Opinion:</w:t>
            </w:r>
            <w:r>
              <w:rPr>
                <w:rFonts w:ascii="Arial" w:hAnsi="Arial" w:cs="Arial"/>
              </w:rPr>
              <w:t xml:space="preserve">  </w:t>
            </w:r>
            <w:r w:rsidR="00F274F2" w:rsidRPr="00F274F2">
              <w:rPr>
                <w:rFonts w:ascii="Arial" w:hAnsi="Arial" w:cs="Arial"/>
              </w:rPr>
              <w:t xml:space="preserve">The IMM conditionally supports </w:t>
            </w:r>
            <w:r w:rsidR="00F274F2">
              <w:rPr>
                <w:rFonts w:ascii="Arial" w:hAnsi="Arial" w:cs="Arial"/>
              </w:rPr>
              <w:t>PGRR107</w:t>
            </w:r>
            <w:r w:rsidR="00F274F2" w:rsidRPr="00F274F2">
              <w:rPr>
                <w:rFonts w:ascii="Arial" w:hAnsi="Arial" w:cs="Arial"/>
              </w:rPr>
              <w:t xml:space="preserve"> in concept however the details of the robustness and use of data in developing inputs to the planning analysis are important.  IMM support is contingent upon ERCOT's ability to apply reasonable methods to the data they are provided </w:t>
            </w:r>
            <w:proofErr w:type="gramStart"/>
            <w:r w:rsidR="00F274F2" w:rsidRPr="00F274F2">
              <w:rPr>
                <w:rFonts w:ascii="Arial" w:hAnsi="Arial" w:cs="Arial"/>
              </w:rPr>
              <w:t>in order to</w:t>
            </w:r>
            <w:proofErr w:type="gramEnd"/>
            <w:r w:rsidR="00F274F2" w:rsidRPr="00F274F2">
              <w:rPr>
                <w:rFonts w:ascii="Arial" w:hAnsi="Arial" w:cs="Arial"/>
              </w:rPr>
              <w:t xml:space="preserve"> produce the most accurate forecast for use in planning analysis.</w:t>
            </w:r>
          </w:p>
          <w:p w14:paraId="07F63F15" w14:textId="77777777" w:rsidR="009C61B1" w:rsidRDefault="009C61B1" w:rsidP="009C61B1">
            <w:pPr>
              <w:ind w:left="360"/>
              <w:rPr>
                <w:rFonts w:ascii="Arial" w:hAnsi="Arial" w:cs="Arial"/>
              </w:rPr>
            </w:pPr>
          </w:p>
          <w:p w14:paraId="307A8645" w14:textId="77777777" w:rsidR="009C61B1" w:rsidRPr="009C61B1" w:rsidRDefault="009C61B1" w:rsidP="009C61B1">
            <w:pPr>
              <w:pStyle w:val="ListParagraph"/>
              <w:numPr>
                <w:ilvl w:val="0"/>
                <w:numId w:val="27"/>
              </w:numPr>
              <w:rPr>
                <w:rFonts w:ascii="Arial" w:hAnsi="Arial" w:cs="Arial"/>
                <w:b/>
                <w:i/>
              </w:rPr>
            </w:pPr>
            <w:r w:rsidRPr="009C61B1">
              <w:rPr>
                <w:rFonts w:ascii="Arial" w:hAnsi="Arial" w:cs="Arial"/>
                <w:b/>
                <w:i/>
              </w:rPr>
              <w:t>PGRR116, Related to NPRR1240, Access to Transmission Planning Information</w:t>
            </w:r>
          </w:p>
          <w:p w14:paraId="679C58C5" w14:textId="77777777" w:rsidR="009C61B1" w:rsidRPr="005539E3" w:rsidRDefault="009C61B1" w:rsidP="009C61B1">
            <w:pPr>
              <w:ind w:left="360"/>
              <w:rPr>
                <w:rFonts w:ascii="Arial" w:hAnsi="Arial" w:cs="Arial"/>
                <w:bCs/>
                <w:iCs/>
              </w:rPr>
            </w:pPr>
            <w:r>
              <w:rPr>
                <w:rFonts w:ascii="Arial" w:hAnsi="Arial" w:cs="Arial"/>
                <w:b/>
                <w:iCs/>
              </w:rPr>
              <w:t xml:space="preserve">Sponsor:  </w:t>
            </w:r>
            <w:r>
              <w:rPr>
                <w:rFonts w:ascii="Arial" w:hAnsi="Arial" w:cs="Arial"/>
                <w:bCs/>
                <w:iCs/>
              </w:rPr>
              <w:t>ERCOT</w:t>
            </w:r>
          </w:p>
          <w:p w14:paraId="7406639E" w14:textId="476D3363" w:rsidR="009C61B1" w:rsidRPr="005539E3" w:rsidRDefault="009C61B1" w:rsidP="009C61B1">
            <w:pPr>
              <w:pStyle w:val="BodyText"/>
              <w:spacing w:before="0" w:after="0"/>
              <w:ind w:left="360"/>
              <w:rPr>
                <w:rFonts w:ascii="Arial" w:hAnsi="Arial" w:cs="Arial"/>
              </w:rPr>
            </w:pPr>
            <w:r w:rsidRPr="005539E3">
              <w:rPr>
                <w:rFonts w:ascii="Arial" w:hAnsi="Arial" w:cs="Arial"/>
                <w:b/>
              </w:rPr>
              <w:lastRenderedPageBreak/>
              <w:t xml:space="preserve">Proposed Effective Date: </w:t>
            </w:r>
            <w:r>
              <w:rPr>
                <w:rFonts w:ascii="Arial" w:hAnsi="Arial" w:cs="Arial"/>
                <w:b/>
              </w:rPr>
              <w:t xml:space="preserve"> </w:t>
            </w:r>
            <w:r w:rsidR="00DA0ABE" w:rsidRPr="00DA0ABE">
              <w:rPr>
                <w:rFonts w:ascii="Arial" w:hAnsi="Arial" w:cs="Arial"/>
                <w:bCs/>
              </w:rPr>
              <w:t xml:space="preserve">Upon system implementation of </w:t>
            </w:r>
            <w:proofErr w:type="gramStart"/>
            <w:r w:rsidR="002D4E34">
              <w:rPr>
                <w:rFonts w:ascii="Arial" w:hAnsi="Arial" w:cs="Arial"/>
                <w:bCs/>
              </w:rPr>
              <w:t>NPRR1240</w:t>
            </w:r>
            <w:proofErr w:type="gramEnd"/>
          </w:p>
          <w:p w14:paraId="34288D60" w14:textId="48DBA0B8" w:rsidR="009C61B1" w:rsidRPr="005539E3" w:rsidRDefault="009C61B1" w:rsidP="009C61B1">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w:t>
            </w:r>
            <w:r w:rsidRPr="00F30642">
              <w:rPr>
                <w:rFonts w:ascii="Arial" w:hAnsi="Arial" w:cs="Arial"/>
                <w:bCs/>
              </w:rPr>
              <w:t xml:space="preserve">  </w:t>
            </w:r>
            <w:r w:rsidR="00DA0ABE">
              <w:rPr>
                <w:rFonts w:ascii="Arial" w:hAnsi="Arial" w:cs="Arial"/>
                <w:bCs/>
              </w:rPr>
              <w:t xml:space="preserve">No </w:t>
            </w:r>
            <w:proofErr w:type="gramStart"/>
            <w:r w:rsidR="00DA0ABE">
              <w:rPr>
                <w:rFonts w:ascii="Arial" w:hAnsi="Arial" w:cs="Arial"/>
                <w:bCs/>
              </w:rPr>
              <w:t>impact</w:t>
            </w:r>
            <w:proofErr w:type="gramEnd"/>
          </w:p>
          <w:p w14:paraId="12C461C9" w14:textId="5CA35D8B" w:rsidR="009C61B1" w:rsidRPr="005539E3" w:rsidRDefault="009C61B1" w:rsidP="009C61B1">
            <w:pPr>
              <w:ind w:left="360"/>
              <w:rPr>
                <w:rFonts w:ascii="Arial" w:hAnsi="Arial" w:cs="Arial"/>
              </w:rPr>
            </w:pPr>
            <w:r w:rsidRPr="005539E3">
              <w:rPr>
                <w:rFonts w:ascii="Arial" w:hAnsi="Arial" w:cs="Arial"/>
                <w:b/>
              </w:rPr>
              <w:t xml:space="preserve">Revision Description:  </w:t>
            </w:r>
            <w:r w:rsidR="00DA0ABE" w:rsidRPr="00DA0ABE">
              <w:rPr>
                <w:rFonts w:ascii="Arial" w:hAnsi="Arial" w:cs="Arial"/>
                <w:bCs/>
              </w:rPr>
              <w:t xml:space="preserve">This PGRR updates Planning Guide language to reflect the current practice of posting versions of the ERCOT Long-Term System Assessment (LTSA) and correspondingly updates the chart of data sets and designated classifications in paragraph (2) of Section 7.1, Planning </w:t>
            </w:r>
            <w:proofErr w:type="gramStart"/>
            <w:r w:rsidR="00DA0ABE" w:rsidRPr="00DA0ABE">
              <w:rPr>
                <w:rFonts w:ascii="Arial" w:hAnsi="Arial" w:cs="Arial"/>
                <w:bCs/>
              </w:rPr>
              <w:t>Data</w:t>
            </w:r>
            <w:proofErr w:type="gramEnd"/>
            <w:r w:rsidR="00DA0ABE" w:rsidRPr="00DA0ABE">
              <w:rPr>
                <w:rFonts w:ascii="Arial" w:hAnsi="Arial" w:cs="Arial"/>
                <w:bCs/>
              </w:rPr>
              <w:t xml:space="preserve"> and Information.</w:t>
            </w:r>
            <w:r w:rsidR="00DA0ABE">
              <w:rPr>
                <w:rFonts w:ascii="Arial" w:hAnsi="Arial" w:cs="Arial"/>
                <w:bCs/>
              </w:rPr>
              <w:t xml:space="preserve">  </w:t>
            </w:r>
            <w:r w:rsidR="00DA0ABE" w:rsidRPr="00DA0ABE">
              <w:rPr>
                <w:rFonts w:ascii="Arial" w:hAnsi="Arial" w:cs="Arial"/>
                <w:bCs/>
              </w:rPr>
              <w:t>The PGRR moves from the MIS Secure Area to the public ERCOT website</w:t>
            </w:r>
            <w:r w:rsidR="00DA0ABE">
              <w:rPr>
                <w:rFonts w:ascii="Arial" w:hAnsi="Arial" w:cs="Arial"/>
                <w:bCs/>
              </w:rPr>
              <w:t>,</w:t>
            </w:r>
            <w:r w:rsidR="00DA0ABE" w:rsidRPr="00DA0ABE">
              <w:rPr>
                <w:rFonts w:ascii="Arial" w:hAnsi="Arial" w:cs="Arial"/>
                <w:bCs/>
              </w:rPr>
              <w:t xml:space="preserve"> Transmission Service Provider (TSP) Annual Planning Criteria and correspondingly updates the chart of data sets and designated classifications in paragraph (2) of Section 7.1. </w:t>
            </w:r>
          </w:p>
          <w:p w14:paraId="12E8218E" w14:textId="1F63E1B4" w:rsidR="009C61B1" w:rsidRDefault="009C61B1" w:rsidP="009C61B1">
            <w:pPr>
              <w:ind w:left="360"/>
              <w:rPr>
                <w:rFonts w:ascii="Arial" w:hAnsi="Arial" w:cs="Arial"/>
              </w:rPr>
            </w:pPr>
            <w:r>
              <w:rPr>
                <w:rFonts w:ascii="Arial" w:hAnsi="Arial" w:cs="Arial"/>
                <w:b/>
              </w:rPr>
              <w:t>TAC Decision:</w:t>
            </w:r>
            <w:r>
              <w:rPr>
                <w:rFonts w:ascii="Arial" w:hAnsi="Arial" w:cs="Arial"/>
              </w:rPr>
              <w:t xml:space="preserve">  </w:t>
            </w:r>
            <w:r w:rsidR="00914452">
              <w:rPr>
                <w:rFonts w:ascii="Arial" w:hAnsi="Arial" w:cs="Arial"/>
              </w:rPr>
              <w:t xml:space="preserve">On 11/20/24, TAC voted unanimously to </w:t>
            </w:r>
            <w:r w:rsidR="006D438D" w:rsidRPr="006D438D">
              <w:rPr>
                <w:rFonts w:ascii="Arial" w:hAnsi="Arial" w:cs="Arial"/>
              </w:rPr>
              <w:t>recommend approval of PGRR116 as recommended by ROS in the 10/30/24 ROS Report</w:t>
            </w:r>
            <w:r w:rsidR="006D438D">
              <w:rPr>
                <w:rFonts w:ascii="Arial" w:hAnsi="Arial" w:cs="Arial"/>
              </w:rPr>
              <w:t>.</w:t>
            </w:r>
          </w:p>
          <w:p w14:paraId="6E5C0DA3" w14:textId="712B90C3" w:rsidR="009C61B1" w:rsidRDefault="009C61B1" w:rsidP="009C61B1">
            <w:pPr>
              <w:ind w:left="360"/>
              <w:rPr>
                <w:rFonts w:ascii="Arial" w:hAnsi="Arial" w:cs="Arial"/>
              </w:rPr>
            </w:pPr>
            <w:r>
              <w:rPr>
                <w:rFonts w:ascii="Arial" w:hAnsi="Arial" w:cs="Arial"/>
                <w:b/>
              </w:rPr>
              <w:t xml:space="preserve">ERCOT Market Impact Statement:  </w:t>
            </w:r>
            <w:r w:rsidR="00DA0ABE" w:rsidRPr="00DA0ABE">
              <w:rPr>
                <w:rFonts w:ascii="Arial" w:hAnsi="Arial" w:cs="Arial"/>
                <w:bCs/>
              </w:rPr>
              <w:t>ERCOT Staff has reviewed PGRR116 and believes it provides a positive market impact by improving access and transparency by moving reports that are not ECEII from the MIS Secure Area to the ERCOT website so the public can directly access reports without registering as a Market Participant and requesting ERCOT to issue a Digital Certificate, or without submitting an ERCOT Information Request.</w:t>
            </w:r>
          </w:p>
          <w:p w14:paraId="2D3E2B12" w14:textId="77777777" w:rsidR="009C61B1" w:rsidRDefault="009C61B1" w:rsidP="009C61B1">
            <w:pPr>
              <w:rPr>
                <w:rFonts w:ascii="Arial" w:hAnsi="Arial" w:cs="Arial"/>
              </w:rPr>
            </w:pPr>
          </w:p>
          <w:p w14:paraId="559A68B6" w14:textId="77777777" w:rsidR="009C61B1" w:rsidRPr="009C61B1" w:rsidRDefault="009C61B1" w:rsidP="009C61B1">
            <w:pPr>
              <w:pStyle w:val="ListParagraph"/>
              <w:numPr>
                <w:ilvl w:val="0"/>
                <w:numId w:val="27"/>
              </w:numPr>
              <w:rPr>
                <w:rFonts w:ascii="Arial" w:hAnsi="Arial" w:cs="Arial"/>
                <w:b/>
                <w:i/>
              </w:rPr>
            </w:pPr>
            <w:r w:rsidRPr="009C61B1">
              <w:rPr>
                <w:rFonts w:ascii="Arial" w:hAnsi="Arial" w:cs="Arial"/>
                <w:b/>
                <w:i/>
              </w:rPr>
              <w:t>PGRR118, Related to NPRR1246, Energy Storage Resource Terminology Alignment for the Single-Model Era</w:t>
            </w:r>
          </w:p>
          <w:p w14:paraId="01A40D64" w14:textId="77777777" w:rsidR="009C61B1" w:rsidRPr="005539E3" w:rsidRDefault="009C61B1" w:rsidP="009C61B1">
            <w:pPr>
              <w:ind w:left="360"/>
              <w:rPr>
                <w:rFonts w:ascii="Arial" w:hAnsi="Arial" w:cs="Arial"/>
                <w:bCs/>
                <w:iCs/>
              </w:rPr>
            </w:pPr>
            <w:r>
              <w:rPr>
                <w:rFonts w:ascii="Arial" w:hAnsi="Arial" w:cs="Arial"/>
                <w:b/>
                <w:iCs/>
              </w:rPr>
              <w:t xml:space="preserve">Sponsor:  </w:t>
            </w:r>
            <w:r>
              <w:rPr>
                <w:rFonts w:ascii="Arial" w:hAnsi="Arial" w:cs="Arial"/>
                <w:bCs/>
                <w:iCs/>
              </w:rPr>
              <w:t>ERCOT</w:t>
            </w:r>
          </w:p>
          <w:p w14:paraId="0DA2729F" w14:textId="225C04FF" w:rsidR="009C61B1" w:rsidRPr="005539E3" w:rsidRDefault="009C61B1" w:rsidP="009C61B1">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DA0ABE" w:rsidRPr="00DA0ABE">
              <w:rPr>
                <w:rFonts w:ascii="Arial" w:hAnsi="Arial" w:cs="Arial"/>
                <w:bCs/>
              </w:rPr>
              <w:t xml:space="preserve">Upon implementation of </w:t>
            </w:r>
            <w:r w:rsidR="002D4E34">
              <w:rPr>
                <w:rFonts w:ascii="Arial" w:hAnsi="Arial" w:cs="Arial"/>
                <w:bCs/>
              </w:rPr>
              <w:t>NPRR1246</w:t>
            </w:r>
          </w:p>
          <w:p w14:paraId="2C140792" w14:textId="112B109F" w:rsidR="009C61B1" w:rsidRPr="005539E3" w:rsidRDefault="009C61B1" w:rsidP="009C61B1">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w:t>
            </w:r>
            <w:r w:rsidRPr="00F30642">
              <w:rPr>
                <w:rFonts w:ascii="Arial" w:hAnsi="Arial" w:cs="Arial"/>
                <w:bCs/>
              </w:rPr>
              <w:t xml:space="preserve">  </w:t>
            </w:r>
            <w:r w:rsidR="00DA0ABE">
              <w:rPr>
                <w:rFonts w:ascii="Arial" w:hAnsi="Arial" w:cs="Arial"/>
                <w:bCs/>
              </w:rPr>
              <w:t xml:space="preserve">No </w:t>
            </w:r>
            <w:proofErr w:type="gramStart"/>
            <w:r w:rsidR="00DA0ABE">
              <w:rPr>
                <w:rFonts w:ascii="Arial" w:hAnsi="Arial" w:cs="Arial"/>
                <w:bCs/>
              </w:rPr>
              <w:t>impact</w:t>
            </w:r>
            <w:proofErr w:type="gramEnd"/>
          </w:p>
          <w:p w14:paraId="177327CC" w14:textId="6F35434B" w:rsidR="009C61B1" w:rsidRPr="005539E3" w:rsidRDefault="009C61B1" w:rsidP="009C61B1">
            <w:pPr>
              <w:ind w:left="360"/>
              <w:rPr>
                <w:rFonts w:ascii="Arial" w:hAnsi="Arial" w:cs="Arial"/>
              </w:rPr>
            </w:pPr>
            <w:r w:rsidRPr="005539E3">
              <w:rPr>
                <w:rFonts w:ascii="Arial" w:hAnsi="Arial" w:cs="Arial"/>
                <w:b/>
              </w:rPr>
              <w:t xml:space="preserve">Revision Description:  </w:t>
            </w:r>
            <w:r w:rsidR="00DA0ABE" w:rsidRPr="00DA0ABE">
              <w:rPr>
                <w:rFonts w:ascii="Arial" w:hAnsi="Arial" w:cs="Arial"/>
                <w:bCs/>
              </w:rPr>
              <w:t xml:space="preserve">This PGRR inserts terminology associated with </w:t>
            </w:r>
            <w:r w:rsidR="002D4E34">
              <w:rPr>
                <w:rFonts w:ascii="Arial" w:hAnsi="Arial" w:cs="Arial"/>
                <w:bCs/>
              </w:rPr>
              <w:t>ESRs</w:t>
            </w:r>
            <w:r w:rsidR="00DA0ABE" w:rsidRPr="00DA0ABE">
              <w:rPr>
                <w:rFonts w:ascii="Arial" w:hAnsi="Arial" w:cs="Arial"/>
                <w:bCs/>
              </w:rPr>
              <w:t xml:space="preserve"> in the appropriate places throughout the Guides, aligning provisions and requirements for ESRs with those already in place for Generation Resources and Controllable Load Resources.</w:t>
            </w:r>
          </w:p>
          <w:p w14:paraId="37CA7E56" w14:textId="4C9854D1" w:rsidR="009C61B1" w:rsidRDefault="009C61B1" w:rsidP="009C61B1">
            <w:pPr>
              <w:ind w:left="360"/>
              <w:rPr>
                <w:rFonts w:ascii="Arial" w:hAnsi="Arial" w:cs="Arial"/>
              </w:rPr>
            </w:pPr>
            <w:r>
              <w:rPr>
                <w:rFonts w:ascii="Arial" w:hAnsi="Arial" w:cs="Arial"/>
                <w:b/>
              </w:rPr>
              <w:t>TAC Decision:</w:t>
            </w:r>
            <w:r>
              <w:rPr>
                <w:rFonts w:ascii="Arial" w:hAnsi="Arial" w:cs="Arial"/>
              </w:rPr>
              <w:t xml:space="preserve">  </w:t>
            </w:r>
            <w:r w:rsidR="006D438D">
              <w:rPr>
                <w:rFonts w:ascii="Arial" w:hAnsi="Arial" w:cs="Arial"/>
              </w:rPr>
              <w:t xml:space="preserve">On 11/20/24, TAC voted unanimously to </w:t>
            </w:r>
            <w:r w:rsidR="006D438D" w:rsidRPr="006D438D">
              <w:rPr>
                <w:rFonts w:ascii="Arial" w:hAnsi="Arial" w:cs="Arial"/>
              </w:rPr>
              <w:t>recommend approval of PGRR118 as recommended by ROS in the 11/7/24 ROS Report</w:t>
            </w:r>
            <w:r w:rsidR="006D438D">
              <w:rPr>
                <w:rFonts w:ascii="Arial" w:hAnsi="Arial" w:cs="Arial"/>
              </w:rPr>
              <w:t>.</w:t>
            </w:r>
          </w:p>
          <w:p w14:paraId="6E5D746E" w14:textId="6D505AE9" w:rsidR="009C61B1" w:rsidRDefault="009C61B1" w:rsidP="009C61B1">
            <w:pPr>
              <w:ind w:left="360"/>
              <w:rPr>
                <w:rFonts w:ascii="Arial" w:hAnsi="Arial" w:cs="Arial"/>
              </w:rPr>
            </w:pPr>
            <w:r>
              <w:rPr>
                <w:rFonts w:ascii="Arial" w:hAnsi="Arial" w:cs="Arial"/>
                <w:b/>
              </w:rPr>
              <w:t xml:space="preserve">ERCOT Market Impact Statement:  </w:t>
            </w:r>
            <w:r w:rsidR="00DA0ABE" w:rsidRPr="00DA0ABE">
              <w:rPr>
                <w:rFonts w:ascii="Arial" w:hAnsi="Arial" w:cs="Arial"/>
                <w:bCs/>
              </w:rPr>
              <w:t>ERCOT Staff has reviewed PGRR118 and believes the market impact for PGRR118 provides clarity and additional transparency for stakeholders on the applicable provisions and requirements associated with ESRs as the market transitions from the combo model to the single model as part of the RTC+B project.</w:t>
            </w:r>
          </w:p>
          <w:p w14:paraId="1248978D" w14:textId="77777777" w:rsidR="009C61B1" w:rsidRDefault="009C61B1" w:rsidP="009C61B1">
            <w:pPr>
              <w:ind w:left="360"/>
              <w:rPr>
                <w:rFonts w:ascii="Arial" w:hAnsi="Arial" w:cs="Arial"/>
              </w:rPr>
            </w:pPr>
            <w:r w:rsidRPr="00D72735">
              <w:rPr>
                <w:rFonts w:ascii="Arial" w:hAnsi="Arial" w:cs="Arial"/>
                <w:b/>
                <w:bCs/>
              </w:rPr>
              <w:t>IMM Opinion:</w:t>
            </w:r>
            <w:r>
              <w:rPr>
                <w:rFonts w:ascii="Arial" w:hAnsi="Arial" w:cs="Arial"/>
              </w:rPr>
              <w:t xml:space="preserve">  </w:t>
            </w:r>
          </w:p>
          <w:p w14:paraId="7DE89B13" w14:textId="77777777" w:rsidR="009C61B1" w:rsidRPr="009C61B1" w:rsidRDefault="009C61B1" w:rsidP="009C61B1">
            <w:pPr>
              <w:rPr>
                <w:rFonts w:ascii="Arial" w:hAnsi="Arial" w:cs="Arial"/>
              </w:rPr>
            </w:pPr>
          </w:p>
          <w:p w14:paraId="0F7D1522" w14:textId="77777777" w:rsidR="00B60803" w:rsidRPr="005E3961" w:rsidRDefault="00B60803" w:rsidP="001F1D16">
            <w:pPr>
              <w:jc w:val="both"/>
              <w:rPr>
                <w:rFonts w:ascii="Arial" w:hAnsi="Arial" w:cs="Arial"/>
                <w:b/>
                <w:i/>
              </w:rPr>
            </w:pPr>
          </w:p>
          <w:p w14:paraId="4EF91F7C" w14:textId="58D35B95" w:rsidR="009C6BA6" w:rsidRPr="005E3961" w:rsidRDefault="009C6BA6" w:rsidP="00703060">
            <w:pPr>
              <w:jc w:val="both"/>
              <w:rPr>
                <w:rFonts w:ascii="Arial" w:hAnsi="Arial" w:cs="Arial"/>
                <w:bCs/>
              </w:rPr>
            </w:pPr>
            <w:r w:rsidRPr="005E3961">
              <w:rPr>
                <w:rFonts w:ascii="Arial" w:hAnsi="Arial" w:cs="Arial"/>
                <w:bCs/>
              </w:rPr>
              <w:t xml:space="preserve">The TAC Reports and Impact Analyses for these Revision Requests are included in the </w:t>
            </w:r>
            <w:hyperlink r:id="rId12" w:history="1">
              <w:r w:rsidRPr="005E3961">
                <w:rPr>
                  <w:rStyle w:val="Hyperlink"/>
                  <w:rFonts w:ascii="Arial" w:hAnsi="Arial" w:cs="Arial"/>
                  <w:bCs/>
                </w:rPr>
                <w:t>ERCOT Board meeting materials</w:t>
              </w:r>
            </w:hyperlink>
            <w:r w:rsidR="0042169B" w:rsidRPr="005E3961">
              <w:rPr>
                <w:rFonts w:ascii="Arial" w:hAnsi="Arial" w:cs="Arial"/>
                <w:bCs/>
              </w:rPr>
              <w:t>.</w:t>
            </w:r>
          </w:p>
          <w:p w14:paraId="4639C5BE" w14:textId="74675491" w:rsidR="00250349" w:rsidRPr="005E3961" w:rsidRDefault="00250349" w:rsidP="00703060">
            <w:pPr>
              <w:jc w:val="both"/>
              <w:rPr>
                <w:rFonts w:ascii="Arial" w:hAnsi="Arial" w:cs="Arial"/>
              </w:rPr>
            </w:pPr>
          </w:p>
          <w:p w14:paraId="3163E0DE" w14:textId="14A1A630" w:rsidR="0042169B" w:rsidRPr="005E3961" w:rsidRDefault="009C6BA6" w:rsidP="00703060">
            <w:pPr>
              <w:jc w:val="both"/>
              <w:rPr>
                <w:rFonts w:ascii="Arial" w:hAnsi="Arial" w:cs="Arial"/>
                <w:bCs/>
              </w:rPr>
            </w:pPr>
            <w:r w:rsidRPr="005E3961">
              <w:rPr>
                <w:rFonts w:ascii="Arial" w:hAnsi="Arial" w:cs="Arial"/>
                <w:bCs/>
              </w:rPr>
              <w:t>In addition, these Revision Requests</w:t>
            </w:r>
            <w:r w:rsidR="0042169B" w:rsidRPr="005E3961">
              <w:rPr>
                <w:rFonts w:ascii="Arial" w:hAnsi="Arial" w:cs="Arial"/>
                <w:bCs/>
              </w:rPr>
              <w:t xml:space="preserve"> </w:t>
            </w:r>
            <w:r w:rsidRPr="005E3961">
              <w:rPr>
                <w:rFonts w:ascii="Arial" w:hAnsi="Arial" w:cs="Arial"/>
                <w:bCs/>
              </w:rPr>
              <w:t>and supporting materials are posted on the ERCOT website</w:t>
            </w:r>
            <w:r w:rsidR="0042169B" w:rsidRPr="005E3961">
              <w:rPr>
                <w:rFonts w:ascii="Arial" w:hAnsi="Arial" w:cs="Arial"/>
                <w:bCs/>
              </w:rPr>
              <w:t>.</w:t>
            </w:r>
          </w:p>
          <w:p w14:paraId="3C8D9A5D" w14:textId="2EFF0FEA" w:rsidR="0042169B" w:rsidRPr="005E3961" w:rsidRDefault="0042169B" w:rsidP="005E3961">
            <w:pPr>
              <w:jc w:val="both"/>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7BD28DDB" w14:textId="5DC80A6A" w:rsidR="00CB6134" w:rsidRDefault="00DA79E3" w:rsidP="00874727">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F43783">
              <w:rPr>
                <w:rFonts w:ascii="Arial" w:hAnsi="Arial" w:cs="Arial"/>
                <w:bCs/>
              </w:rPr>
              <w:t xml:space="preserve">, </w:t>
            </w:r>
            <w:r w:rsidRPr="00F47DEE">
              <w:rPr>
                <w:rFonts w:ascii="Arial" w:hAnsi="Arial" w:cs="Arial"/>
                <w:bCs/>
              </w:rPr>
              <w:t xml:space="preserve">discussed the issues, and submitted reports to TAC regarding </w:t>
            </w:r>
            <w:r w:rsidR="00874727">
              <w:rPr>
                <w:rFonts w:ascii="Arial" w:hAnsi="Arial" w:cs="Arial"/>
                <w:bCs/>
              </w:rPr>
              <w:t>NPRR</w:t>
            </w:r>
            <w:r w:rsidR="000B0783">
              <w:rPr>
                <w:rFonts w:ascii="Arial" w:hAnsi="Arial" w:cs="Arial"/>
                <w:bCs/>
              </w:rPr>
              <w:t xml:space="preserve">s </w:t>
            </w:r>
            <w:r w:rsidR="00563CB2">
              <w:rPr>
                <w:rFonts w:ascii="Arial" w:hAnsi="Arial" w:cs="Arial"/>
                <w:bCs/>
              </w:rPr>
              <w:t>1180, 1239, 1240, 1245, 1246, 1248, 1249, and 1254</w:t>
            </w:r>
            <w:r w:rsidR="00A52699">
              <w:rPr>
                <w:rFonts w:ascii="Arial" w:hAnsi="Arial" w:cs="Arial"/>
                <w:bCs/>
              </w:rPr>
              <w:t>.</w:t>
            </w:r>
          </w:p>
          <w:p w14:paraId="6B8786C7" w14:textId="77777777" w:rsidR="00563CB2" w:rsidRDefault="00563CB2" w:rsidP="00874727">
            <w:pPr>
              <w:jc w:val="both"/>
              <w:rPr>
                <w:rFonts w:ascii="Arial" w:hAnsi="Arial" w:cs="Arial"/>
                <w:bCs/>
              </w:rPr>
            </w:pPr>
          </w:p>
          <w:p w14:paraId="48A3ABBB" w14:textId="3BF5E65E" w:rsidR="00563CB2" w:rsidRDefault="00563CB2" w:rsidP="00874727">
            <w:pPr>
              <w:jc w:val="both"/>
              <w:rPr>
                <w:rFonts w:ascii="Arial" w:hAnsi="Arial" w:cs="Arial"/>
                <w:bCs/>
              </w:rPr>
            </w:pPr>
            <w:r w:rsidRPr="00F47DEE">
              <w:rPr>
                <w:rFonts w:ascii="Arial" w:hAnsi="Arial" w:cs="Arial"/>
                <w:bCs/>
              </w:rPr>
              <w:t xml:space="preserve">The </w:t>
            </w:r>
            <w:r>
              <w:rPr>
                <w:rFonts w:ascii="Arial" w:hAnsi="Arial" w:cs="Arial"/>
                <w:bCs/>
              </w:rPr>
              <w:t xml:space="preserve">ROS met, </w:t>
            </w:r>
            <w:r w:rsidRPr="00F47DEE">
              <w:rPr>
                <w:rFonts w:ascii="Arial" w:hAnsi="Arial" w:cs="Arial"/>
                <w:bCs/>
              </w:rPr>
              <w:t>discussed the issues, and submitted report</w:t>
            </w:r>
            <w:r w:rsidR="005207B8">
              <w:rPr>
                <w:rFonts w:ascii="Arial" w:hAnsi="Arial" w:cs="Arial"/>
                <w:bCs/>
              </w:rPr>
              <w:t>s</w:t>
            </w:r>
            <w:r w:rsidRPr="00F47DEE">
              <w:rPr>
                <w:rFonts w:ascii="Arial" w:hAnsi="Arial" w:cs="Arial"/>
                <w:bCs/>
              </w:rPr>
              <w:t xml:space="preserve"> to TAC regarding </w:t>
            </w:r>
            <w:r>
              <w:rPr>
                <w:rFonts w:ascii="Arial" w:hAnsi="Arial" w:cs="Arial"/>
                <w:bCs/>
              </w:rPr>
              <w:t>NOGRRs 266, 267 and 268; and PGRRs 107, 116 and 118.</w:t>
            </w:r>
          </w:p>
          <w:p w14:paraId="0FEA634D" w14:textId="77777777" w:rsidR="000F4FDC" w:rsidRDefault="000F4FDC" w:rsidP="00874727">
            <w:pPr>
              <w:jc w:val="both"/>
              <w:rPr>
                <w:rFonts w:ascii="Arial" w:hAnsi="Arial" w:cs="Arial"/>
                <w:bCs/>
              </w:rPr>
            </w:pPr>
          </w:p>
          <w:p w14:paraId="62B81947" w14:textId="1AD00766" w:rsidR="00615C9D" w:rsidRDefault="000F4FDC" w:rsidP="00424C42">
            <w:pPr>
              <w:jc w:val="both"/>
              <w:rPr>
                <w:rFonts w:ascii="Arial" w:hAnsi="Arial" w:cs="Arial"/>
                <w:bCs/>
              </w:rPr>
            </w:pPr>
            <w:r>
              <w:rPr>
                <w:rFonts w:ascii="Arial" w:hAnsi="Arial" w:cs="Arial"/>
                <w:bCs/>
              </w:rPr>
              <w:t xml:space="preserve">The TAC met, discussed the issues, and </w:t>
            </w:r>
            <w:proofErr w:type="gramStart"/>
            <w:r>
              <w:rPr>
                <w:rFonts w:ascii="Arial" w:hAnsi="Arial" w:cs="Arial"/>
                <w:bCs/>
              </w:rPr>
              <w:t>took action</w:t>
            </w:r>
            <w:proofErr w:type="gramEnd"/>
            <w:r>
              <w:rPr>
                <w:rFonts w:ascii="Arial" w:hAnsi="Arial" w:cs="Arial"/>
                <w:bCs/>
              </w:rPr>
              <w:t xml:space="preserve"> on</w:t>
            </w:r>
            <w:r w:rsidR="00563CB2">
              <w:rPr>
                <w:rFonts w:ascii="Arial" w:hAnsi="Arial" w:cs="Arial"/>
                <w:bCs/>
              </w:rPr>
              <w:t xml:space="preserve"> OBDRRs 052 and 053</w:t>
            </w:r>
            <w:r>
              <w:rPr>
                <w:rFonts w:ascii="Arial" w:hAnsi="Arial" w:cs="Arial"/>
                <w:bCs/>
              </w:rPr>
              <w:t>.</w:t>
            </w:r>
          </w:p>
          <w:p w14:paraId="6CB7B3F0" w14:textId="5798FF25" w:rsidR="00874727" w:rsidRPr="00F47DEE" w:rsidRDefault="00874727" w:rsidP="002D4E34">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4CF950E0" w14:textId="70949D4D" w:rsidR="00424C42" w:rsidRDefault="009C6BA6" w:rsidP="00424C42">
            <w:pPr>
              <w:jc w:val="both"/>
              <w:rPr>
                <w:rFonts w:ascii="Arial" w:hAnsi="Arial" w:cs="Arial"/>
                <w:bCs/>
              </w:rPr>
            </w:pPr>
            <w:r w:rsidRPr="00F47DEE">
              <w:rPr>
                <w:rFonts w:ascii="Arial" w:hAnsi="Arial" w:cs="Arial"/>
                <w:bCs/>
              </w:rPr>
              <w:t xml:space="preserve">As more specifically described above, TAC recommends that the Board </w:t>
            </w:r>
            <w:r w:rsidR="00C43D1F">
              <w:rPr>
                <w:rFonts w:ascii="Arial" w:hAnsi="Arial" w:cs="Arial"/>
                <w:bCs/>
              </w:rPr>
              <w:t>recommend approval of</w:t>
            </w:r>
            <w:r w:rsidR="000B0783">
              <w:rPr>
                <w:rFonts w:ascii="Arial" w:hAnsi="Arial" w:cs="Arial"/>
                <w:bCs/>
              </w:rPr>
              <w:t xml:space="preserve"> </w:t>
            </w:r>
            <w:r w:rsidR="000F4FDC">
              <w:rPr>
                <w:rFonts w:ascii="Arial" w:hAnsi="Arial" w:cs="Arial"/>
                <w:bCs/>
              </w:rPr>
              <w:t xml:space="preserve">NPRRs </w:t>
            </w:r>
            <w:r w:rsidR="00563CB2">
              <w:rPr>
                <w:rFonts w:ascii="Arial" w:hAnsi="Arial" w:cs="Arial"/>
                <w:bCs/>
              </w:rPr>
              <w:t>1180, 1239, 1240, 1245, 1246, 1248, 1249, and 1254</w:t>
            </w:r>
            <w:r w:rsidR="000F4FDC">
              <w:rPr>
                <w:rFonts w:ascii="Arial" w:hAnsi="Arial" w:cs="Arial"/>
                <w:bCs/>
              </w:rPr>
              <w:t xml:space="preserve">; </w:t>
            </w:r>
            <w:r w:rsidR="00563CB2">
              <w:rPr>
                <w:rFonts w:ascii="Arial" w:hAnsi="Arial" w:cs="Arial"/>
                <w:bCs/>
              </w:rPr>
              <w:t>NOGRRs 266, 267 and 268</w:t>
            </w:r>
            <w:r w:rsidR="000F4FDC">
              <w:rPr>
                <w:rFonts w:ascii="Arial" w:hAnsi="Arial" w:cs="Arial"/>
                <w:bCs/>
              </w:rPr>
              <w:t xml:space="preserve">; </w:t>
            </w:r>
            <w:r w:rsidR="00563CB2">
              <w:rPr>
                <w:rFonts w:ascii="Arial" w:hAnsi="Arial" w:cs="Arial"/>
                <w:bCs/>
              </w:rPr>
              <w:t xml:space="preserve">OBDRRs 052 and 053; </w:t>
            </w:r>
            <w:r w:rsidR="000F4FDC">
              <w:rPr>
                <w:rFonts w:ascii="Arial" w:hAnsi="Arial" w:cs="Arial"/>
                <w:bCs/>
              </w:rPr>
              <w:t>and</w:t>
            </w:r>
            <w:r w:rsidR="00563CB2">
              <w:rPr>
                <w:rFonts w:ascii="Arial" w:hAnsi="Arial" w:cs="Arial"/>
                <w:bCs/>
              </w:rPr>
              <w:t xml:space="preserve"> PGRRs 107, 116 and 118</w:t>
            </w:r>
            <w:r w:rsidR="000F4FDC">
              <w:rPr>
                <w:rFonts w:ascii="Arial" w:hAnsi="Arial" w:cs="Arial"/>
                <w:bCs/>
              </w:rPr>
              <w:t>.</w:t>
            </w:r>
          </w:p>
          <w:p w14:paraId="5802F134" w14:textId="77777777" w:rsidR="001A2306" w:rsidRPr="00F47DEE" w:rsidRDefault="001A2306" w:rsidP="00FA19B6">
            <w:pPr>
              <w:jc w:val="both"/>
              <w:rPr>
                <w:rFonts w:ascii="Arial" w:hAnsi="Arial" w:cs="Arial"/>
              </w:rPr>
            </w:pPr>
          </w:p>
        </w:tc>
      </w:tr>
    </w:tbl>
    <w:p w14:paraId="5CC9227B" w14:textId="77777777" w:rsidR="00424C42" w:rsidRDefault="00424C42" w:rsidP="00D01ADD">
      <w:pPr>
        <w:jc w:val="center"/>
        <w:rPr>
          <w:rFonts w:ascii="Arial" w:hAnsi="Arial" w:cs="Arial"/>
          <w:b/>
          <w:u w:val="single"/>
        </w:rPr>
      </w:pPr>
    </w:p>
    <w:p w14:paraId="5250280A" w14:textId="77777777" w:rsidR="00424C42" w:rsidRDefault="00424C42" w:rsidP="00D01ADD">
      <w:pPr>
        <w:jc w:val="center"/>
        <w:rPr>
          <w:rFonts w:ascii="Arial" w:hAnsi="Arial" w:cs="Arial"/>
          <w:b/>
          <w:u w:val="single"/>
        </w:rPr>
      </w:pPr>
    </w:p>
    <w:p w14:paraId="35D1FE57" w14:textId="77777777" w:rsidR="00424C42" w:rsidRDefault="00424C42" w:rsidP="00D01ADD">
      <w:pPr>
        <w:jc w:val="center"/>
        <w:rPr>
          <w:rFonts w:ascii="Arial" w:hAnsi="Arial" w:cs="Arial"/>
          <w:b/>
          <w:u w:val="single"/>
        </w:rPr>
      </w:pPr>
    </w:p>
    <w:p w14:paraId="1405F579" w14:textId="77777777" w:rsidR="00424C42" w:rsidRDefault="00424C42" w:rsidP="00D01ADD">
      <w:pPr>
        <w:jc w:val="center"/>
        <w:rPr>
          <w:rFonts w:ascii="Arial" w:hAnsi="Arial" w:cs="Arial"/>
          <w:b/>
          <w:u w:val="single"/>
        </w:rPr>
      </w:pPr>
    </w:p>
    <w:p w14:paraId="7493D9F0" w14:textId="77777777" w:rsidR="00424C42" w:rsidRDefault="00424C42" w:rsidP="00D01ADD">
      <w:pPr>
        <w:jc w:val="center"/>
        <w:rPr>
          <w:rFonts w:ascii="Arial" w:hAnsi="Arial" w:cs="Arial"/>
          <w:b/>
          <w:u w:val="single"/>
        </w:rPr>
      </w:pPr>
    </w:p>
    <w:p w14:paraId="532C83E5" w14:textId="77777777" w:rsidR="00563CB2" w:rsidRDefault="00563CB2" w:rsidP="00D01ADD">
      <w:pPr>
        <w:jc w:val="center"/>
        <w:rPr>
          <w:rFonts w:ascii="Arial" w:hAnsi="Arial" w:cs="Arial"/>
          <w:b/>
          <w:u w:val="single"/>
        </w:rPr>
      </w:pPr>
    </w:p>
    <w:p w14:paraId="64C08D1E" w14:textId="77777777" w:rsidR="00563CB2" w:rsidRDefault="00563CB2" w:rsidP="00D01ADD">
      <w:pPr>
        <w:jc w:val="center"/>
        <w:rPr>
          <w:rFonts w:ascii="Arial" w:hAnsi="Arial" w:cs="Arial"/>
          <w:b/>
          <w:u w:val="single"/>
        </w:rPr>
      </w:pPr>
    </w:p>
    <w:p w14:paraId="7C9C70FF" w14:textId="77777777" w:rsidR="00563CB2" w:rsidRDefault="00563CB2" w:rsidP="00D01ADD">
      <w:pPr>
        <w:jc w:val="center"/>
        <w:rPr>
          <w:rFonts w:ascii="Arial" w:hAnsi="Arial" w:cs="Arial"/>
          <w:b/>
          <w:u w:val="single"/>
        </w:rPr>
      </w:pPr>
    </w:p>
    <w:p w14:paraId="7D130F0E" w14:textId="77777777" w:rsidR="00563CB2" w:rsidRDefault="00563CB2" w:rsidP="00D01ADD">
      <w:pPr>
        <w:jc w:val="center"/>
        <w:rPr>
          <w:rFonts w:ascii="Arial" w:hAnsi="Arial" w:cs="Arial"/>
          <w:b/>
          <w:u w:val="single"/>
        </w:rPr>
      </w:pPr>
    </w:p>
    <w:p w14:paraId="238D6DA1" w14:textId="77777777" w:rsidR="00563CB2" w:rsidRDefault="00563CB2" w:rsidP="00D01ADD">
      <w:pPr>
        <w:jc w:val="center"/>
        <w:rPr>
          <w:rFonts w:ascii="Arial" w:hAnsi="Arial" w:cs="Arial"/>
          <w:b/>
          <w:u w:val="single"/>
        </w:rPr>
      </w:pPr>
    </w:p>
    <w:p w14:paraId="19CBFED7" w14:textId="77777777" w:rsidR="00563CB2" w:rsidRDefault="00563CB2" w:rsidP="00D01ADD">
      <w:pPr>
        <w:jc w:val="center"/>
        <w:rPr>
          <w:rFonts w:ascii="Arial" w:hAnsi="Arial" w:cs="Arial"/>
          <w:b/>
          <w:u w:val="single"/>
        </w:rPr>
      </w:pPr>
    </w:p>
    <w:p w14:paraId="02F2D3B6" w14:textId="77777777" w:rsidR="00563CB2" w:rsidRDefault="00563CB2" w:rsidP="00D01ADD">
      <w:pPr>
        <w:jc w:val="center"/>
        <w:rPr>
          <w:rFonts w:ascii="Arial" w:hAnsi="Arial" w:cs="Arial"/>
          <w:b/>
          <w:u w:val="single"/>
        </w:rPr>
      </w:pPr>
    </w:p>
    <w:p w14:paraId="698F6A17" w14:textId="77777777" w:rsidR="00563CB2" w:rsidRDefault="00563CB2" w:rsidP="00D01ADD">
      <w:pPr>
        <w:jc w:val="center"/>
        <w:rPr>
          <w:rFonts w:ascii="Arial" w:hAnsi="Arial" w:cs="Arial"/>
          <w:b/>
          <w:u w:val="single"/>
        </w:rPr>
      </w:pPr>
    </w:p>
    <w:p w14:paraId="392BEBE6" w14:textId="77777777" w:rsidR="00563CB2" w:rsidRDefault="00563CB2" w:rsidP="00D01ADD">
      <w:pPr>
        <w:jc w:val="center"/>
        <w:rPr>
          <w:rFonts w:ascii="Arial" w:hAnsi="Arial" w:cs="Arial"/>
          <w:b/>
          <w:u w:val="single"/>
        </w:rPr>
      </w:pPr>
    </w:p>
    <w:p w14:paraId="2583AD6B" w14:textId="77777777" w:rsidR="00563CB2" w:rsidRDefault="00563CB2" w:rsidP="00D01ADD">
      <w:pPr>
        <w:jc w:val="center"/>
        <w:rPr>
          <w:rFonts w:ascii="Arial" w:hAnsi="Arial" w:cs="Arial"/>
          <w:b/>
          <w:u w:val="single"/>
        </w:rPr>
      </w:pPr>
    </w:p>
    <w:p w14:paraId="7979A760" w14:textId="77777777" w:rsidR="00563CB2" w:rsidRDefault="00563CB2" w:rsidP="00D01ADD">
      <w:pPr>
        <w:jc w:val="center"/>
        <w:rPr>
          <w:rFonts w:ascii="Arial" w:hAnsi="Arial" w:cs="Arial"/>
          <w:b/>
          <w:u w:val="single"/>
        </w:rPr>
      </w:pPr>
    </w:p>
    <w:p w14:paraId="4EDA2322" w14:textId="77777777" w:rsidR="00563CB2" w:rsidRDefault="00563CB2" w:rsidP="00D01ADD">
      <w:pPr>
        <w:jc w:val="center"/>
        <w:rPr>
          <w:rFonts w:ascii="Arial" w:hAnsi="Arial" w:cs="Arial"/>
          <w:b/>
          <w:u w:val="single"/>
        </w:rPr>
      </w:pPr>
    </w:p>
    <w:p w14:paraId="2C53F1F7" w14:textId="77777777" w:rsidR="00563CB2" w:rsidRDefault="00563CB2" w:rsidP="00D01ADD">
      <w:pPr>
        <w:jc w:val="center"/>
        <w:rPr>
          <w:rFonts w:ascii="Arial" w:hAnsi="Arial" w:cs="Arial"/>
          <w:b/>
          <w:u w:val="single"/>
        </w:rPr>
      </w:pPr>
    </w:p>
    <w:p w14:paraId="783F5C14" w14:textId="77777777" w:rsidR="00563CB2" w:rsidRDefault="00563CB2" w:rsidP="00D01ADD">
      <w:pPr>
        <w:jc w:val="center"/>
        <w:rPr>
          <w:rFonts w:ascii="Arial" w:hAnsi="Arial" w:cs="Arial"/>
          <w:b/>
          <w:u w:val="single"/>
        </w:rPr>
      </w:pPr>
    </w:p>
    <w:p w14:paraId="251784E5" w14:textId="77777777" w:rsidR="00563CB2" w:rsidRDefault="00563CB2" w:rsidP="00D01ADD">
      <w:pPr>
        <w:jc w:val="center"/>
        <w:rPr>
          <w:rFonts w:ascii="Arial" w:hAnsi="Arial" w:cs="Arial"/>
          <w:b/>
          <w:u w:val="single"/>
        </w:rPr>
      </w:pPr>
    </w:p>
    <w:p w14:paraId="72B6F080" w14:textId="77777777" w:rsidR="00563CB2" w:rsidRDefault="00563CB2" w:rsidP="00D01ADD">
      <w:pPr>
        <w:jc w:val="center"/>
        <w:rPr>
          <w:rFonts w:ascii="Arial" w:hAnsi="Arial" w:cs="Arial"/>
          <w:b/>
          <w:u w:val="single"/>
        </w:rPr>
      </w:pPr>
    </w:p>
    <w:p w14:paraId="6A0C78C3" w14:textId="77777777" w:rsidR="00563CB2" w:rsidRDefault="00563CB2" w:rsidP="00D01ADD">
      <w:pPr>
        <w:jc w:val="center"/>
        <w:rPr>
          <w:rFonts w:ascii="Arial" w:hAnsi="Arial" w:cs="Arial"/>
          <w:b/>
          <w:u w:val="single"/>
        </w:rPr>
      </w:pPr>
    </w:p>
    <w:p w14:paraId="3E0F66BD" w14:textId="77777777" w:rsidR="00563CB2" w:rsidRDefault="00563CB2" w:rsidP="00D01ADD">
      <w:pPr>
        <w:jc w:val="center"/>
        <w:rPr>
          <w:rFonts w:ascii="Arial" w:hAnsi="Arial" w:cs="Arial"/>
          <w:b/>
          <w:u w:val="single"/>
        </w:rPr>
      </w:pPr>
    </w:p>
    <w:p w14:paraId="4658A550" w14:textId="77777777" w:rsidR="00563CB2" w:rsidRDefault="00563CB2" w:rsidP="00D01ADD">
      <w:pPr>
        <w:jc w:val="center"/>
        <w:rPr>
          <w:rFonts w:ascii="Arial" w:hAnsi="Arial" w:cs="Arial"/>
          <w:b/>
          <w:u w:val="single"/>
        </w:rPr>
      </w:pPr>
    </w:p>
    <w:p w14:paraId="6AC2C1D4" w14:textId="77777777" w:rsidR="00563CB2" w:rsidRDefault="00563CB2" w:rsidP="00D01ADD">
      <w:pPr>
        <w:jc w:val="center"/>
        <w:rPr>
          <w:rFonts w:ascii="Arial" w:hAnsi="Arial" w:cs="Arial"/>
          <w:b/>
          <w:u w:val="single"/>
        </w:rPr>
      </w:pPr>
    </w:p>
    <w:p w14:paraId="3A030FC2" w14:textId="77777777" w:rsidR="00563CB2" w:rsidRDefault="00563CB2" w:rsidP="00D01ADD">
      <w:pPr>
        <w:jc w:val="center"/>
        <w:rPr>
          <w:rFonts w:ascii="Arial" w:hAnsi="Arial" w:cs="Arial"/>
          <w:b/>
          <w:u w:val="single"/>
        </w:rPr>
      </w:pPr>
    </w:p>
    <w:p w14:paraId="3088071A" w14:textId="77777777" w:rsidR="00563CB2" w:rsidRDefault="00563CB2" w:rsidP="00D01ADD">
      <w:pPr>
        <w:jc w:val="center"/>
        <w:rPr>
          <w:rFonts w:ascii="Arial" w:hAnsi="Arial" w:cs="Arial"/>
          <w:b/>
          <w:u w:val="single"/>
        </w:rPr>
      </w:pPr>
    </w:p>
    <w:p w14:paraId="2A5508AA" w14:textId="77777777" w:rsidR="00563CB2" w:rsidRDefault="00563CB2" w:rsidP="00D01ADD">
      <w:pPr>
        <w:jc w:val="center"/>
        <w:rPr>
          <w:rFonts w:ascii="Arial" w:hAnsi="Arial" w:cs="Arial"/>
          <w:b/>
          <w:u w:val="single"/>
        </w:rPr>
      </w:pPr>
    </w:p>
    <w:p w14:paraId="1FEB5DD9" w14:textId="77777777" w:rsidR="00563CB2" w:rsidRDefault="00563CB2" w:rsidP="00D01ADD">
      <w:pPr>
        <w:jc w:val="center"/>
        <w:rPr>
          <w:rFonts w:ascii="Arial" w:hAnsi="Arial" w:cs="Arial"/>
          <w:b/>
          <w:u w:val="single"/>
        </w:rPr>
      </w:pPr>
    </w:p>
    <w:p w14:paraId="6A47A2F8" w14:textId="77777777" w:rsidR="00563CB2" w:rsidRDefault="00563CB2" w:rsidP="00D01ADD">
      <w:pPr>
        <w:jc w:val="center"/>
        <w:rPr>
          <w:rFonts w:ascii="Arial" w:hAnsi="Arial" w:cs="Arial"/>
          <w:b/>
          <w:u w:val="single"/>
        </w:rPr>
      </w:pPr>
    </w:p>
    <w:p w14:paraId="1E075015" w14:textId="77777777" w:rsidR="00563CB2" w:rsidRDefault="00563CB2" w:rsidP="00D01ADD">
      <w:pPr>
        <w:jc w:val="center"/>
        <w:rPr>
          <w:rFonts w:ascii="Arial" w:hAnsi="Arial" w:cs="Arial"/>
          <w:b/>
          <w:u w:val="single"/>
        </w:rPr>
      </w:pPr>
    </w:p>
    <w:p w14:paraId="70CB28D7" w14:textId="5943EDD1" w:rsidR="00307699" w:rsidRPr="00F47DEE" w:rsidRDefault="00307699" w:rsidP="00D01ADD">
      <w:pPr>
        <w:jc w:val="center"/>
        <w:rPr>
          <w:rFonts w:ascii="Arial" w:hAnsi="Arial" w:cs="Arial"/>
          <w:b/>
          <w:u w:val="single"/>
        </w:rPr>
      </w:pPr>
      <w:r w:rsidRPr="00F47DEE">
        <w:rPr>
          <w:rFonts w:ascii="Arial" w:hAnsi="Arial" w:cs="Arial"/>
          <w:b/>
          <w:u w:val="single"/>
        </w:rPr>
        <w:lastRenderedPageBreak/>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13697042" w14:textId="77777777" w:rsidR="00F4416F" w:rsidRPr="00A8165F" w:rsidRDefault="00307699" w:rsidP="00F4416F">
      <w:pPr>
        <w:pStyle w:val="Heading5"/>
        <w:keepNext w:val="0"/>
        <w:jc w:val="both"/>
        <w:rPr>
          <w:rFonts w:ascii="Arial" w:hAnsi="Arial" w:cs="Arial"/>
          <w:bCs/>
          <w:u w:val="none"/>
        </w:rPr>
      </w:pPr>
      <w:bookmarkStart w:id="3" w:name="_Hlk83888922"/>
      <w:r w:rsidRPr="00F4416F">
        <w:rPr>
          <w:rFonts w:ascii="Arial" w:hAnsi="Arial" w:cs="Arial"/>
          <w:u w:val="none"/>
        </w:rPr>
        <w:t xml:space="preserve">WHEREAS, after due consideration of the alternatives, the Board of Directors (Board) of Electric Reliability Council of Texas, Inc. (ERCOT) deems it desirable and in the best interest of ERCOT to </w:t>
      </w:r>
      <w:r w:rsidR="00CD2CB1" w:rsidRPr="00F4416F">
        <w:rPr>
          <w:rFonts w:ascii="Arial" w:hAnsi="Arial" w:cs="Arial"/>
          <w:u w:val="none"/>
        </w:rPr>
        <w:t xml:space="preserve">recommend approval of </w:t>
      </w:r>
      <w:r w:rsidR="00167741" w:rsidRPr="00F4416F">
        <w:rPr>
          <w:rFonts w:ascii="Arial" w:hAnsi="Arial" w:cs="Arial"/>
          <w:u w:val="none"/>
        </w:rPr>
        <w:t xml:space="preserve">the </w:t>
      </w:r>
      <w:r w:rsidR="002E7BC5" w:rsidRPr="00F4416F">
        <w:rPr>
          <w:rFonts w:ascii="Arial" w:hAnsi="Arial" w:cs="Arial"/>
          <w:u w:val="none"/>
        </w:rPr>
        <w:t>following</w:t>
      </w:r>
      <w:r w:rsidR="002E7BC5" w:rsidRPr="00F47DEE">
        <w:rPr>
          <w:rFonts w:ascii="Arial" w:hAnsi="Arial" w:cs="Arial"/>
        </w:rPr>
        <w:t xml:space="preserve"> </w:t>
      </w:r>
      <w:bookmarkEnd w:id="3"/>
      <w:r w:rsidR="00F4416F">
        <w:rPr>
          <w:rFonts w:ascii="Arial" w:hAnsi="Arial" w:cs="Arial"/>
          <w:bCs/>
          <w:u w:val="none"/>
        </w:rPr>
        <w:t xml:space="preserve">Nodal Protocol Revision Request (NPRRs), Nodal Operating Guide Revision Requests (NOGRRs), Other Binding Document Revision Requests (OBDRRs), and Planning Guide Revision Requests (PGRRs), </w:t>
      </w:r>
      <w:r w:rsidR="00F4416F" w:rsidRPr="00F47DEE">
        <w:rPr>
          <w:rFonts w:ascii="Arial" w:hAnsi="Arial" w:cs="Arial"/>
          <w:bCs/>
          <w:u w:val="none"/>
        </w:rPr>
        <w:t>recommended for approval by TAC (with no opposing votes recorded):</w:t>
      </w:r>
    </w:p>
    <w:p w14:paraId="4F044069" w14:textId="77777777" w:rsidR="00F4416F" w:rsidRDefault="00F4416F" w:rsidP="00F4416F">
      <w:pPr>
        <w:pStyle w:val="ListParagraph"/>
        <w:numPr>
          <w:ilvl w:val="0"/>
          <w:numId w:val="6"/>
        </w:numPr>
        <w:rPr>
          <w:rFonts w:ascii="Arial" w:hAnsi="Arial" w:cs="Arial"/>
          <w:bCs/>
        </w:rPr>
      </w:pPr>
      <w:r w:rsidRPr="008A5AC9">
        <w:rPr>
          <w:rFonts w:ascii="Arial" w:hAnsi="Arial" w:cs="Arial"/>
          <w:bCs/>
        </w:rPr>
        <w:t xml:space="preserve">NPRR1180, Inclusion of Forecasted Load in Planning </w:t>
      </w:r>
      <w:proofErr w:type="gramStart"/>
      <w:r w:rsidRPr="008A5AC9">
        <w:rPr>
          <w:rFonts w:ascii="Arial" w:hAnsi="Arial" w:cs="Arial"/>
          <w:bCs/>
        </w:rPr>
        <w:t>Analyses</w:t>
      </w:r>
      <w:r>
        <w:rPr>
          <w:rFonts w:ascii="Arial" w:hAnsi="Arial" w:cs="Arial"/>
          <w:bCs/>
        </w:rPr>
        <w:t>;</w:t>
      </w:r>
      <w:proofErr w:type="gramEnd"/>
    </w:p>
    <w:p w14:paraId="7127CAF7" w14:textId="77777777" w:rsidR="00F4416F" w:rsidRDefault="00F4416F" w:rsidP="00F4416F">
      <w:pPr>
        <w:pStyle w:val="ListParagraph"/>
        <w:numPr>
          <w:ilvl w:val="0"/>
          <w:numId w:val="6"/>
        </w:numPr>
        <w:rPr>
          <w:rFonts w:ascii="Arial" w:hAnsi="Arial" w:cs="Arial"/>
          <w:bCs/>
        </w:rPr>
      </w:pPr>
      <w:r w:rsidRPr="008A5AC9">
        <w:rPr>
          <w:rFonts w:ascii="Arial" w:hAnsi="Arial" w:cs="Arial"/>
          <w:bCs/>
        </w:rPr>
        <w:t xml:space="preserve">NPRR1239, Access to Market </w:t>
      </w:r>
      <w:proofErr w:type="gramStart"/>
      <w:r w:rsidRPr="008A5AC9">
        <w:rPr>
          <w:rFonts w:ascii="Arial" w:hAnsi="Arial" w:cs="Arial"/>
          <w:bCs/>
        </w:rPr>
        <w:t>Information</w:t>
      </w:r>
      <w:r>
        <w:rPr>
          <w:rFonts w:ascii="Arial" w:hAnsi="Arial" w:cs="Arial"/>
          <w:bCs/>
        </w:rPr>
        <w:t>;</w:t>
      </w:r>
      <w:proofErr w:type="gramEnd"/>
    </w:p>
    <w:p w14:paraId="1EA2693B" w14:textId="77777777" w:rsidR="00F4416F" w:rsidRDefault="00F4416F" w:rsidP="00F4416F">
      <w:pPr>
        <w:pStyle w:val="ListParagraph"/>
        <w:numPr>
          <w:ilvl w:val="0"/>
          <w:numId w:val="6"/>
        </w:numPr>
        <w:rPr>
          <w:rFonts w:ascii="Arial" w:hAnsi="Arial" w:cs="Arial"/>
          <w:bCs/>
        </w:rPr>
      </w:pPr>
      <w:r w:rsidRPr="008A5AC9">
        <w:rPr>
          <w:rFonts w:ascii="Arial" w:hAnsi="Arial" w:cs="Arial"/>
          <w:bCs/>
        </w:rPr>
        <w:t xml:space="preserve">NPRR1240, Access to Transmission Planning </w:t>
      </w:r>
      <w:proofErr w:type="gramStart"/>
      <w:r w:rsidRPr="008A5AC9">
        <w:rPr>
          <w:rFonts w:ascii="Arial" w:hAnsi="Arial" w:cs="Arial"/>
          <w:bCs/>
        </w:rPr>
        <w:t>Information</w:t>
      </w:r>
      <w:r>
        <w:rPr>
          <w:rFonts w:ascii="Arial" w:hAnsi="Arial" w:cs="Arial"/>
          <w:bCs/>
        </w:rPr>
        <w:t>;</w:t>
      </w:r>
      <w:proofErr w:type="gramEnd"/>
    </w:p>
    <w:p w14:paraId="57ABCDE1" w14:textId="77777777" w:rsidR="00F4416F" w:rsidRDefault="00F4416F" w:rsidP="00F4416F">
      <w:pPr>
        <w:pStyle w:val="ListParagraph"/>
        <w:numPr>
          <w:ilvl w:val="0"/>
          <w:numId w:val="6"/>
        </w:numPr>
        <w:rPr>
          <w:rFonts w:ascii="Arial" w:hAnsi="Arial" w:cs="Arial"/>
          <w:bCs/>
        </w:rPr>
      </w:pPr>
      <w:r>
        <w:rPr>
          <w:rFonts w:ascii="Arial" w:hAnsi="Arial" w:cs="Arial"/>
          <w:bCs/>
        </w:rPr>
        <w:t xml:space="preserve">NPRR1245, </w:t>
      </w:r>
      <w:r w:rsidRPr="008A5AC9">
        <w:rPr>
          <w:rFonts w:ascii="Arial" w:hAnsi="Arial" w:cs="Arial"/>
          <w:bCs/>
        </w:rPr>
        <w:t>Additional Clarifying Revisions to Real-Time Co-</w:t>
      </w:r>
      <w:proofErr w:type="gramStart"/>
      <w:r w:rsidRPr="008A5AC9">
        <w:rPr>
          <w:rFonts w:ascii="Arial" w:hAnsi="Arial" w:cs="Arial"/>
          <w:bCs/>
        </w:rPr>
        <w:t>Optimization</w:t>
      </w:r>
      <w:r>
        <w:rPr>
          <w:rFonts w:ascii="Arial" w:hAnsi="Arial" w:cs="Arial"/>
          <w:bCs/>
        </w:rPr>
        <w:t>;</w:t>
      </w:r>
      <w:proofErr w:type="gramEnd"/>
    </w:p>
    <w:p w14:paraId="75061B95" w14:textId="77777777" w:rsidR="00F4416F" w:rsidRDefault="00F4416F" w:rsidP="00F4416F">
      <w:pPr>
        <w:pStyle w:val="ListParagraph"/>
        <w:numPr>
          <w:ilvl w:val="0"/>
          <w:numId w:val="6"/>
        </w:numPr>
        <w:rPr>
          <w:rFonts w:ascii="Arial" w:hAnsi="Arial" w:cs="Arial"/>
          <w:bCs/>
        </w:rPr>
      </w:pPr>
      <w:r w:rsidRPr="008A5AC9">
        <w:rPr>
          <w:rFonts w:ascii="Arial" w:hAnsi="Arial" w:cs="Arial"/>
          <w:bCs/>
        </w:rPr>
        <w:t xml:space="preserve">NPRR1246, Energy Storage Resource Terminology Alignment for the Single-Model </w:t>
      </w:r>
      <w:proofErr w:type="gramStart"/>
      <w:r w:rsidRPr="008A5AC9">
        <w:rPr>
          <w:rFonts w:ascii="Arial" w:hAnsi="Arial" w:cs="Arial"/>
          <w:bCs/>
        </w:rPr>
        <w:t>Era</w:t>
      </w:r>
      <w:r>
        <w:rPr>
          <w:rFonts w:ascii="Arial" w:hAnsi="Arial" w:cs="Arial"/>
          <w:bCs/>
        </w:rPr>
        <w:t>;</w:t>
      </w:r>
      <w:proofErr w:type="gramEnd"/>
    </w:p>
    <w:p w14:paraId="065D2416" w14:textId="77777777" w:rsidR="00F4416F" w:rsidRDefault="00F4416F" w:rsidP="00F4416F">
      <w:pPr>
        <w:pStyle w:val="ListParagraph"/>
        <w:numPr>
          <w:ilvl w:val="0"/>
          <w:numId w:val="6"/>
        </w:numPr>
        <w:rPr>
          <w:rFonts w:ascii="Arial" w:hAnsi="Arial" w:cs="Arial"/>
          <w:bCs/>
        </w:rPr>
      </w:pPr>
      <w:r>
        <w:rPr>
          <w:rFonts w:ascii="Arial" w:hAnsi="Arial" w:cs="Arial"/>
          <w:bCs/>
        </w:rPr>
        <w:t xml:space="preserve">NPRR1248, </w:t>
      </w:r>
      <w:r w:rsidRPr="008A5AC9">
        <w:rPr>
          <w:rFonts w:ascii="Arial" w:hAnsi="Arial" w:cs="Arial"/>
          <w:bCs/>
        </w:rPr>
        <w:t xml:space="preserve">Correction to NPRR1197, Optional Exclusion of Load from Netting at EPS Metering Facilities which Include </w:t>
      </w:r>
      <w:proofErr w:type="gramStart"/>
      <w:r w:rsidRPr="008A5AC9">
        <w:rPr>
          <w:rFonts w:ascii="Arial" w:hAnsi="Arial" w:cs="Arial"/>
          <w:bCs/>
        </w:rPr>
        <w:t>Resources</w:t>
      </w:r>
      <w:r>
        <w:rPr>
          <w:rFonts w:ascii="Arial" w:hAnsi="Arial" w:cs="Arial"/>
          <w:bCs/>
        </w:rPr>
        <w:t>;</w:t>
      </w:r>
      <w:proofErr w:type="gramEnd"/>
    </w:p>
    <w:p w14:paraId="3E3E0455" w14:textId="77777777" w:rsidR="00F4416F" w:rsidRDefault="00F4416F" w:rsidP="00F4416F">
      <w:pPr>
        <w:pStyle w:val="ListParagraph"/>
        <w:numPr>
          <w:ilvl w:val="0"/>
          <w:numId w:val="6"/>
        </w:numPr>
        <w:rPr>
          <w:rFonts w:ascii="Arial" w:hAnsi="Arial" w:cs="Arial"/>
          <w:bCs/>
        </w:rPr>
      </w:pPr>
      <w:r>
        <w:rPr>
          <w:rFonts w:ascii="Arial" w:hAnsi="Arial" w:cs="Arial"/>
          <w:bCs/>
        </w:rPr>
        <w:t xml:space="preserve">NPRR1249, </w:t>
      </w:r>
      <w:r w:rsidRPr="008A5AC9">
        <w:rPr>
          <w:rFonts w:ascii="Arial" w:hAnsi="Arial" w:cs="Arial"/>
          <w:bCs/>
        </w:rPr>
        <w:t xml:space="preserve">Publication of Shift Factors for All Active Transmission Constraints in the </w:t>
      </w:r>
      <w:proofErr w:type="gramStart"/>
      <w:r w:rsidRPr="008A5AC9">
        <w:rPr>
          <w:rFonts w:ascii="Arial" w:hAnsi="Arial" w:cs="Arial"/>
          <w:bCs/>
        </w:rPr>
        <w:t>RTM</w:t>
      </w:r>
      <w:r>
        <w:rPr>
          <w:rFonts w:ascii="Arial" w:hAnsi="Arial" w:cs="Arial"/>
          <w:bCs/>
        </w:rPr>
        <w:t>;</w:t>
      </w:r>
      <w:proofErr w:type="gramEnd"/>
    </w:p>
    <w:p w14:paraId="6C390E63" w14:textId="77777777" w:rsidR="00F4416F" w:rsidRDefault="00F4416F" w:rsidP="00F4416F">
      <w:pPr>
        <w:pStyle w:val="ListParagraph"/>
        <w:numPr>
          <w:ilvl w:val="0"/>
          <w:numId w:val="6"/>
        </w:numPr>
        <w:rPr>
          <w:rFonts w:ascii="Arial" w:hAnsi="Arial" w:cs="Arial"/>
          <w:bCs/>
        </w:rPr>
      </w:pPr>
      <w:r w:rsidRPr="008A5AC9">
        <w:rPr>
          <w:rFonts w:ascii="Arial" w:hAnsi="Arial" w:cs="Arial"/>
          <w:bCs/>
        </w:rPr>
        <w:t xml:space="preserve">NPRR1254, Modeling Deadline for Initial Submission of Resource Registration </w:t>
      </w:r>
      <w:proofErr w:type="gramStart"/>
      <w:r w:rsidRPr="008A5AC9">
        <w:rPr>
          <w:rFonts w:ascii="Arial" w:hAnsi="Arial" w:cs="Arial"/>
          <w:bCs/>
        </w:rPr>
        <w:t>Data</w:t>
      </w:r>
      <w:r>
        <w:rPr>
          <w:rFonts w:ascii="Arial" w:hAnsi="Arial" w:cs="Arial"/>
          <w:bCs/>
        </w:rPr>
        <w:t>;</w:t>
      </w:r>
      <w:proofErr w:type="gramEnd"/>
    </w:p>
    <w:p w14:paraId="63E9E02D" w14:textId="77777777" w:rsidR="00F4416F" w:rsidRDefault="00F4416F" w:rsidP="00F4416F">
      <w:pPr>
        <w:pStyle w:val="ListParagraph"/>
        <w:numPr>
          <w:ilvl w:val="0"/>
          <w:numId w:val="6"/>
        </w:numPr>
        <w:rPr>
          <w:rFonts w:ascii="Arial" w:hAnsi="Arial" w:cs="Arial"/>
          <w:bCs/>
        </w:rPr>
      </w:pPr>
      <w:r w:rsidRPr="008A5AC9">
        <w:rPr>
          <w:rFonts w:ascii="Arial" w:hAnsi="Arial" w:cs="Arial"/>
          <w:bCs/>
        </w:rPr>
        <w:t xml:space="preserve">NOGRR266, Related to NPRR1239, Access to Market </w:t>
      </w:r>
      <w:proofErr w:type="gramStart"/>
      <w:r w:rsidRPr="008A5AC9">
        <w:rPr>
          <w:rFonts w:ascii="Arial" w:hAnsi="Arial" w:cs="Arial"/>
          <w:bCs/>
        </w:rPr>
        <w:t>Information</w:t>
      </w:r>
      <w:r>
        <w:rPr>
          <w:rFonts w:ascii="Arial" w:hAnsi="Arial" w:cs="Arial"/>
          <w:bCs/>
        </w:rPr>
        <w:t>;</w:t>
      </w:r>
      <w:proofErr w:type="gramEnd"/>
    </w:p>
    <w:p w14:paraId="1E4A1410" w14:textId="77777777" w:rsidR="00F4416F" w:rsidRDefault="00F4416F" w:rsidP="00F4416F">
      <w:pPr>
        <w:pStyle w:val="ListParagraph"/>
        <w:numPr>
          <w:ilvl w:val="0"/>
          <w:numId w:val="6"/>
        </w:numPr>
        <w:rPr>
          <w:rFonts w:ascii="Arial" w:hAnsi="Arial" w:cs="Arial"/>
          <w:bCs/>
        </w:rPr>
      </w:pPr>
      <w:r w:rsidRPr="008A5AC9">
        <w:rPr>
          <w:rFonts w:ascii="Arial" w:hAnsi="Arial" w:cs="Arial"/>
          <w:bCs/>
        </w:rPr>
        <w:t xml:space="preserve">NOGRR267, Related to NPRR1240, Access to Transmission Planning </w:t>
      </w:r>
      <w:proofErr w:type="gramStart"/>
      <w:r w:rsidRPr="008A5AC9">
        <w:rPr>
          <w:rFonts w:ascii="Arial" w:hAnsi="Arial" w:cs="Arial"/>
          <w:bCs/>
        </w:rPr>
        <w:t>Information</w:t>
      </w:r>
      <w:r>
        <w:rPr>
          <w:rFonts w:ascii="Arial" w:hAnsi="Arial" w:cs="Arial"/>
          <w:bCs/>
        </w:rPr>
        <w:t>;</w:t>
      </w:r>
      <w:proofErr w:type="gramEnd"/>
    </w:p>
    <w:p w14:paraId="1AF06B01" w14:textId="77777777" w:rsidR="00F4416F" w:rsidRDefault="00F4416F" w:rsidP="00F4416F">
      <w:pPr>
        <w:pStyle w:val="ListParagraph"/>
        <w:numPr>
          <w:ilvl w:val="0"/>
          <w:numId w:val="6"/>
        </w:numPr>
        <w:rPr>
          <w:rFonts w:ascii="Arial" w:hAnsi="Arial" w:cs="Arial"/>
          <w:bCs/>
        </w:rPr>
      </w:pPr>
      <w:r w:rsidRPr="008A5AC9">
        <w:rPr>
          <w:rFonts w:ascii="Arial" w:hAnsi="Arial" w:cs="Arial"/>
          <w:bCs/>
        </w:rPr>
        <w:t xml:space="preserve">NOGRR268, Related to NPRR1246, Energy Storage Resource Terminology Alignment for the Single-Model </w:t>
      </w:r>
      <w:proofErr w:type="gramStart"/>
      <w:r w:rsidRPr="008A5AC9">
        <w:rPr>
          <w:rFonts w:ascii="Arial" w:hAnsi="Arial" w:cs="Arial"/>
          <w:bCs/>
        </w:rPr>
        <w:t>Era</w:t>
      </w:r>
      <w:r>
        <w:rPr>
          <w:rFonts w:ascii="Arial" w:hAnsi="Arial" w:cs="Arial"/>
          <w:bCs/>
        </w:rPr>
        <w:t>;</w:t>
      </w:r>
      <w:proofErr w:type="gramEnd"/>
    </w:p>
    <w:p w14:paraId="1445B9E4" w14:textId="77777777" w:rsidR="00F4416F" w:rsidRDefault="00F4416F" w:rsidP="00F4416F">
      <w:pPr>
        <w:pStyle w:val="ListParagraph"/>
        <w:numPr>
          <w:ilvl w:val="0"/>
          <w:numId w:val="6"/>
        </w:numPr>
        <w:rPr>
          <w:rFonts w:ascii="Arial" w:hAnsi="Arial" w:cs="Arial"/>
          <w:bCs/>
        </w:rPr>
      </w:pPr>
      <w:r w:rsidRPr="008A5AC9">
        <w:rPr>
          <w:rFonts w:ascii="Arial" w:hAnsi="Arial" w:cs="Arial"/>
          <w:bCs/>
        </w:rPr>
        <w:t xml:space="preserve">OBDRR052, Related to NPRR1246, Energy Storage Resource Terminology Alignment for the Single-Model </w:t>
      </w:r>
      <w:proofErr w:type="gramStart"/>
      <w:r w:rsidRPr="008A5AC9">
        <w:rPr>
          <w:rFonts w:ascii="Arial" w:hAnsi="Arial" w:cs="Arial"/>
          <w:bCs/>
        </w:rPr>
        <w:t>Era</w:t>
      </w:r>
      <w:r>
        <w:rPr>
          <w:rFonts w:ascii="Arial" w:hAnsi="Arial" w:cs="Arial"/>
          <w:bCs/>
        </w:rPr>
        <w:t>;</w:t>
      </w:r>
      <w:proofErr w:type="gramEnd"/>
    </w:p>
    <w:p w14:paraId="51F91FF7" w14:textId="77777777" w:rsidR="00F4416F" w:rsidRDefault="00F4416F" w:rsidP="00F4416F">
      <w:pPr>
        <w:pStyle w:val="ListParagraph"/>
        <w:numPr>
          <w:ilvl w:val="0"/>
          <w:numId w:val="6"/>
        </w:numPr>
        <w:rPr>
          <w:rFonts w:ascii="Arial" w:hAnsi="Arial" w:cs="Arial"/>
          <w:bCs/>
        </w:rPr>
      </w:pPr>
      <w:r>
        <w:rPr>
          <w:rFonts w:ascii="Arial" w:hAnsi="Arial" w:cs="Arial"/>
          <w:bCs/>
        </w:rPr>
        <w:t xml:space="preserve">OBDRR053, </w:t>
      </w:r>
      <w:r w:rsidRPr="008A5AC9">
        <w:rPr>
          <w:rFonts w:ascii="Arial" w:hAnsi="Arial" w:cs="Arial"/>
          <w:bCs/>
        </w:rPr>
        <w:t xml:space="preserve">Alignment with NPRR1131, Controllable Load Resource Participation in Non-Spin, and Minor </w:t>
      </w:r>
      <w:proofErr w:type="gramStart"/>
      <w:r w:rsidRPr="008A5AC9">
        <w:rPr>
          <w:rFonts w:ascii="Arial" w:hAnsi="Arial" w:cs="Arial"/>
          <w:bCs/>
        </w:rPr>
        <w:t>Clean-Ups</w:t>
      </w:r>
      <w:r>
        <w:rPr>
          <w:rFonts w:ascii="Arial" w:hAnsi="Arial" w:cs="Arial"/>
          <w:bCs/>
        </w:rPr>
        <w:t>;</w:t>
      </w:r>
      <w:proofErr w:type="gramEnd"/>
    </w:p>
    <w:p w14:paraId="5D4C3326" w14:textId="77777777" w:rsidR="00F4416F" w:rsidRDefault="00F4416F" w:rsidP="00F4416F">
      <w:pPr>
        <w:pStyle w:val="ListParagraph"/>
        <w:numPr>
          <w:ilvl w:val="0"/>
          <w:numId w:val="6"/>
        </w:numPr>
        <w:rPr>
          <w:rFonts w:ascii="Arial" w:hAnsi="Arial" w:cs="Arial"/>
          <w:bCs/>
        </w:rPr>
      </w:pPr>
      <w:r w:rsidRPr="008A5AC9">
        <w:rPr>
          <w:rFonts w:ascii="Arial" w:hAnsi="Arial" w:cs="Arial"/>
          <w:bCs/>
        </w:rPr>
        <w:t xml:space="preserve">PGRR107, Related to NPRR1180, Inclusion of Forecasted Load in Planning </w:t>
      </w:r>
      <w:proofErr w:type="gramStart"/>
      <w:r w:rsidRPr="008A5AC9">
        <w:rPr>
          <w:rFonts w:ascii="Arial" w:hAnsi="Arial" w:cs="Arial"/>
          <w:bCs/>
        </w:rPr>
        <w:t>Analyses</w:t>
      </w:r>
      <w:r>
        <w:rPr>
          <w:rFonts w:ascii="Arial" w:hAnsi="Arial" w:cs="Arial"/>
          <w:bCs/>
        </w:rPr>
        <w:t>;</w:t>
      </w:r>
      <w:proofErr w:type="gramEnd"/>
    </w:p>
    <w:p w14:paraId="4F5332A3" w14:textId="77777777" w:rsidR="00F4416F" w:rsidRDefault="00F4416F" w:rsidP="00F4416F">
      <w:pPr>
        <w:pStyle w:val="ListParagraph"/>
        <w:numPr>
          <w:ilvl w:val="0"/>
          <w:numId w:val="6"/>
        </w:numPr>
        <w:rPr>
          <w:rFonts w:ascii="Arial" w:hAnsi="Arial" w:cs="Arial"/>
          <w:bCs/>
        </w:rPr>
      </w:pPr>
      <w:r w:rsidRPr="008A5AC9">
        <w:rPr>
          <w:rFonts w:ascii="Arial" w:hAnsi="Arial" w:cs="Arial"/>
          <w:bCs/>
        </w:rPr>
        <w:t>PGRR116, Related to NPRR1240, Access to Transmission Planning Information</w:t>
      </w:r>
      <w:r>
        <w:rPr>
          <w:rFonts w:ascii="Arial" w:hAnsi="Arial" w:cs="Arial"/>
          <w:bCs/>
        </w:rPr>
        <w:t>; and</w:t>
      </w:r>
    </w:p>
    <w:p w14:paraId="45CA7E64" w14:textId="77777777" w:rsidR="00F4416F" w:rsidRPr="008A5AC9" w:rsidRDefault="00F4416F" w:rsidP="00F4416F">
      <w:pPr>
        <w:pStyle w:val="ListParagraph"/>
        <w:numPr>
          <w:ilvl w:val="0"/>
          <w:numId w:val="6"/>
        </w:numPr>
        <w:rPr>
          <w:rFonts w:ascii="Arial" w:hAnsi="Arial" w:cs="Arial"/>
          <w:bCs/>
        </w:rPr>
      </w:pPr>
      <w:r w:rsidRPr="008A5AC9">
        <w:rPr>
          <w:rFonts w:ascii="Arial" w:hAnsi="Arial" w:cs="Arial"/>
          <w:bCs/>
        </w:rPr>
        <w:t>PGRR118, Related to NPRR1246, Energy Storage Resource Terminology Alignment for the Single-Model Era</w:t>
      </w:r>
      <w:r>
        <w:rPr>
          <w:rFonts w:ascii="Arial" w:hAnsi="Arial" w:cs="Arial"/>
          <w:bCs/>
        </w:rPr>
        <w:t>.</w:t>
      </w:r>
    </w:p>
    <w:p w14:paraId="45FA033A" w14:textId="045FA0BE" w:rsidR="000F4FDC" w:rsidRPr="00A36B23" w:rsidRDefault="000F4FDC" w:rsidP="00F4416F">
      <w:pPr>
        <w:jc w:val="both"/>
        <w:rPr>
          <w:rFonts w:ascii="Arial" w:hAnsi="Arial" w:cs="Arial"/>
          <w:bCs/>
        </w:rPr>
      </w:pPr>
    </w:p>
    <w:p w14:paraId="61D78146" w14:textId="23CAC26B" w:rsidR="00ED5B34" w:rsidRPr="00840B53" w:rsidRDefault="00307699" w:rsidP="00840B53">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563CB2">
        <w:rPr>
          <w:rFonts w:ascii="Arial" w:hAnsi="Arial" w:cs="Arial"/>
          <w:bCs/>
        </w:rPr>
        <w:t>NPRRs 1180, 1239, 1240, 1245, 1246, 1248, 1249, and 1254; NOGRRs 266, 267 and 268; OBDRRs 052 and 053; and PGRRs 107, 116 and 118</w:t>
      </w:r>
      <w:r w:rsidR="000F4FDC" w:rsidRPr="000F4FDC">
        <w:rPr>
          <w:rFonts w:ascii="Arial" w:hAnsi="Arial" w:cs="Arial"/>
          <w:bCs/>
        </w:rPr>
        <w:t>.</w:t>
      </w:r>
    </w:p>
    <w:p w14:paraId="75DA359F" w14:textId="77777777" w:rsidR="008A7900" w:rsidRDefault="008A7900" w:rsidP="00A62562">
      <w:pPr>
        <w:jc w:val="center"/>
        <w:rPr>
          <w:rFonts w:ascii="Arial" w:hAnsi="Arial" w:cs="Arial"/>
          <w:b/>
          <w:u w:val="single"/>
        </w:rPr>
      </w:pPr>
    </w:p>
    <w:p w14:paraId="686DB49C" w14:textId="77777777" w:rsidR="00307699" w:rsidRDefault="00307699" w:rsidP="00E74E4C">
      <w:pPr>
        <w:rPr>
          <w:rFonts w:ascii="Arial" w:hAnsi="Arial" w:cs="Arial"/>
          <w:b/>
          <w:u w:val="single"/>
        </w:rPr>
      </w:pPr>
    </w:p>
    <w:p w14:paraId="607E9B00" w14:textId="77777777" w:rsidR="005207B8" w:rsidRDefault="005207B8" w:rsidP="00E74E4C">
      <w:pPr>
        <w:rPr>
          <w:rFonts w:ascii="Arial" w:hAnsi="Arial" w:cs="Arial"/>
          <w:b/>
          <w:u w:val="single"/>
        </w:rPr>
      </w:pPr>
    </w:p>
    <w:p w14:paraId="37A8347E" w14:textId="77777777" w:rsidR="005207B8" w:rsidRPr="00F47DEE" w:rsidRDefault="005207B8" w:rsidP="00E74E4C">
      <w:pPr>
        <w:rPr>
          <w:rFonts w:ascii="Arial" w:hAnsi="Arial" w:cs="Arial"/>
        </w:rPr>
      </w:pPr>
    </w:p>
    <w:p w14:paraId="419C6F21" w14:textId="77777777" w:rsidR="005207B8" w:rsidRPr="00F47DEE" w:rsidRDefault="005207B8" w:rsidP="005207B8">
      <w:pPr>
        <w:jc w:val="center"/>
        <w:rPr>
          <w:rFonts w:ascii="Arial" w:hAnsi="Arial" w:cs="Arial"/>
        </w:rPr>
      </w:pPr>
      <w:r w:rsidRPr="00F47DEE">
        <w:rPr>
          <w:rFonts w:ascii="Arial" w:hAnsi="Arial" w:cs="Arial"/>
          <w:b/>
          <w:u w:val="single"/>
        </w:rPr>
        <w:lastRenderedPageBreak/>
        <w:t>CORPORATE SECRETARY’S CERTIFICATE</w:t>
      </w:r>
    </w:p>
    <w:p w14:paraId="296025CC" w14:textId="77777777" w:rsidR="005207B8" w:rsidRPr="00F47DEE" w:rsidRDefault="005207B8" w:rsidP="005207B8">
      <w:pPr>
        <w:rPr>
          <w:rFonts w:ascii="Arial" w:hAnsi="Arial" w:cs="Arial"/>
        </w:rPr>
      </w:pPr>
    </w:p>
    <w:p w14:paraId="6896D0A8" w14:textId="7F603806" w:rsidR="005207B8" w:rsidRPr="00F47DEE" w:rsidRDefault="005207B8" w:rsidP="005207B8">
      <w:pPr>
        <w:jc w:val="both"/>
        <w:rPr>
          <w:rFonts w:ascii="Arial" w:hAnsi="Arial" w:cs="Arial"/>
        </w:rPr>
      </w:pPr>
      <w:bookmarkStart w:id="4" w:name="_Hlk83889011"/>
      <w:r w:rsidRPr="00F47DEE">
        <w:rPr>
          <w:rFonts w:ascii="Arial" w:hAnsi="Arial" w:cs="Arial"/>
        </w:rPr>
        <w:t xml:space="preserve">I, </w:t>
      </w:r>
      <w:r>
        <w:rPr>
          <w:rFonts w:ascii="Arial" w:hAnsi="Arial" w:cs="Arial"/>
        </w:rPr>
        <w:t>Chad V. Seely</w:t>
      </w:r>
      <w:r w:rsidRPr="00F47DEE">
        <w:rPr>
          <w:rFonts w:ascii="Arial" w:hAnsi="Arial" w:cs="Arial"/>
        </w:rPr>
        <w:t xml:space="preserve">, Corporate Secretary of ERCOT, do hereby certify that, at its </w:t>
      </w:r>
      <w:r>
        <w:rPr>
          <w:rFonts w:ascii="Arial" w:hAnsi="Arial" w:cs="Arial"/>
        </w:rPr>
        <w:t xml:space="preserve">December 3, </w:t>
      </w:r>
      <w:proofErr w:type="gramStart"/>
      <w:r>
        <w:rPr>
          <w:rFonts w:ascii="Arial" w:hAnsi="Arial" w:cs="Arial"/>
        </w:rPr>
        <w:t>2024</w:t>
      </w:r>
      <w:proofErr w:type="gramEnd"/>
      <w:r w:rsidRPr="00F47DEE">
        <w:rPr>
          <w:rFonts w:ascii="Arial" w:hAnsi="Arial" w:cs="Arial"/>
        </w:rPr>
        <w:t xml:space="preserve"> meeting, the Board passed a motion approving the above Resolution by ______.</w:t>
      </w:r>
    </w:p>
    <w:p w14:paraId="7CCFBD28" w14:textId="77777777" w:rsidR="005207B8" w:rsidRPr="00F47DEE" w:rsidRDefault="005207B8" w:rsidP="005207B8">
      <w:pPr>
        <w:jc w:val="both"/>
        <w:rPr>
          <w:rFonts w:ascii="Arial" w:hAnsi="Arial" w:cs="Arial"/>
        </w:rPr>
      </w:pPr>
    </w:p>
    <w:p w14:paraId="48989899" w14:textId="62C23903" w:rsidR="005207B8" w:rsidRPr="00F47DEE" w:rsidRDefault="005207B8" w:rsidP="005207B8">
      <w:pPr>
        <w:jc w:val="both"/>
        <w:rPr>
          <w:rFonts w:ascii="Arial" w:hAnsi="Arial" w:cs="Arial"/>
        </w:rPr>
      </w:pPr>
      <w:r w:rsidRPr="00F47DEE">
        <w:rPr>
          <w:rFonts w:ascii="Arial" w:hAnsi="Arial" w:cs="Arial"/>
        </w:rPr>
        <w:t>IN WITNESS WHEREOF, I have hereunto set my hand this ___ day of</w:t>
      </w:r>
      <w:r>
        <w:rPr>
          <w:rFonts w:ascii="Arial" w:hAnsi="Arial" w:cs="Arial"/>
        </w:rPr>
        <w:t xml:space="preserve"> December 2024</w:t>
      </w:r>
      <w:r w:rsidRPr="00F47DEE">
        <w:rPr>
          <w:rFonts w:ascii="Arial" w:hAnsi="Arial" w:cs="Arial"/>
        </w:rPr>
        <w:t>.</w:t>
      </w:r>
    </w:p>
    <w:p w14:paraId="2123032B" w14:textId="77777777" w:rsidR="005207B8" w:rsidRPr="00F47DEE" w:rsidRDefault="005207B8" w:rsidP="005207B8">
      <w:pPr>
        <w:jc w:val="both"/>
        <w:rPr>
          <w:rFonts w:ascii="Arial" w:hAnsi="Arial" w:cs="Arial"/>
        </w:rPr>
      </w:pPr>
    </w:p>
    <w:p w14:paraId="573D5D70" w14:textId="77777777" w:rsidR="005207B8" w:rsidRPr="00F47DEE" w:rsidRDefault="005207B8" w:rsidP="005207B8">
      <w:pPr>
        <w:jc w:val="both"/>
        <w:rPr>
          <w:rFonts w:ascii="Arial" w:hAnsi="Arial" w:cs="Arial"/>
        </w:rPr>
      </w:pPr>
    </w:p>
    <w:p w14:paraId="68368334" w14:textId="77777777" w:rsidR="005207B8" w:rsidRPr="00F47DEE" w:rsidRDefault="005207B8" w:rsidP="005207B8">
      <w:pPr>
        <w:jc w:val="both"/>
        <w:rPr>
          <w:rFonts w:ascii="Arial" w:hAnsi="Arial" w:cs="Arial"/>
        </w:rPr>
      </w:pPr>
      <w:r w:rsidRPr="00F47DEE">
        <w:rPr>
          <w:rFonts w:ascii="Arial" w:hAnsi="Arial" w:cs="Arial"/>
        </w:rPr>
        <w:t>______________________________</w:t>
      </w:r>
    </w:p>
    <w:p w14:paraId="0E5442DA" w14:textId="77777777" w:rsidR="005207B8" w:rsidRPr="00F47DEE" w:rsidRDefault="005207B8" w:rsidP="005207B8">
      <w:pPr>
        <w:jc w:val="both"/>
        <w:rPr>
          <w:rFonts w:ascii="Arial" w:hAnsi="Arial" w:cs="Arial"/>
        </w:rPr>
      </w:pPr>
      <w:r>
        <w:rPr>
          <w:rFonts w:ascii="Arial" w:hAnsi="Arial" w:cs="Arial"/>
        </w:rPr>
        <w:t>Chad V. Seely</w:t>
      </w:r>
    </w:p>
    <w:p w14:paraId="51955A52" w14:textId="77777777" w:rsidR="005207B8" w:rsidRPr="00F47DEE" w:rsidRDefault="005207B8" w:rsidP="005207B8">
      <w:pPr>
        <w:rPr>
          <w:rFonts w:ascii="Arial" w:hAnsi="Arial" w:cs="Arial"/>
          <w:u w:val="single"/>
        </w:rPr>
      </w:pPr>
      <w:r w:rsidRPr="00F47DEE">
        <w:rPr>
          <w:rFonts w:ascii="Arial" w:hAnsi="Arial" w:cs="Arial"/>
        </w:rPr>
        <w:t>Corporate Secretary</w:t>
      </w:r>
      <w:bookmarkEnd w:id="4"/>
    </w:p>
    <w:p w14:paraId="118A83C7" w14:textId="4E6CDE64" w:rsidR="00A00C66" w:rsidRPr="00F47DEE" w:rsidRDefault="00A00C66" w:rsidP="005207B8">
      <w:pPr>
        <w:jc w:val="both"/>
        <w:rPr>
          <w:rFonts w:ascii="Arial" w:hAnsi="Arial" w:cs="Arial"/>
          <w:u w:val="single"/>
        </w:rPr>
      </w:pPr>
    </w:p>
    <w:sectPr w:rsidR="00A00C66" w:rsidRPr="00F47DEE" w:rsidSect="00A02B92">
      <w:headerReference w:type="default" r:id="rId13"/>
      <w:footerReference w:type="default" r:id="rId14"/>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E7528" w14:textId="77777777" w:rsidR="00DE31FF" w:rsidRDefault="00DE31FF">
      <w:r>
        <w:separator/>
      </w:r>
    </w:p>
  </w:endnote>
  <w:endnote w:type="continuationSeparator" w:id="0">
    <w:p w14:paraId="36351148" w14:textId="77777777" w:rsidR="00DE31FF" w:rsidRDefault="00DE3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2125" w14:textId="35968F5E"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3A5D94">
      <w:rPr>
        <w:rFonts w:ascii="Arial" w:hAnsi="Arial" w:cs="Arial"/>
        <w:sz w:val="20"/>
        <w:szCs w:val="20"/>
      </w:rPr>
      <w:t>3</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1DF72" w14:textId="77777777" w:rsidR="00DE31FF" w:rsidRDefault="00DE31FF">
      <w:r>
        <w:separator/>
      </w:r>
    </w:p>
  </w:footnote>
  <w:footnote w:type="continuationSeparator" w:id="0">
    <w:p w14:paraId="61649546" w14:textId="77777777" w:rsidR="00DE31FF" w:rsidRDefault="00DE3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40272"/>
    <w:multiLevelType w:val="hybridMultilevel"/>
    <w:tmpl w:val="DAC42E2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431878"/>
    <w:multiLevelType w:val="hybridMultilevel"/>
    <w:tmpl w:val="BA5CD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77A9F"/>
    <w:multiLevelType w:val="hybridMultilevel"/>
    <w:tmpl w:val="D7DCA3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5D27444"/>
    <w:multiLevelType w:val="hybridMultilevel"/>
    <w:tmpl w:val="40346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45030896">
    <w:abstractNumId w:val="9"/>
  </w:num>
  <w:num w:numId="2" w16cid:durableId="2104840980">
    <w:abstractNumId w:val="5"/>
  </w:num>
  <w:num w:numId="3" w16cid:durableId="2011786840">
    <w:abstractNumId w:val="3"/>
  </w:num>
  <w:num w:numId="4" w16cid:durableId="396318308">
    <w:abstractNumId w:val="3"/>
  </w:num>
  <w:num w:numId="5" w16cid:durableId="1508405590">
    <w:abstractNumId w:val="3"/>
  </w:num>
  <w:num w:numId="6" w16cid:durableId="157112245">
    <w:abstractNumId w:val="2"/>
  </w:num>
  <w:num w:numId="7" w16cid:durableId="946497244">
    <w:abstractNumId w:val="3"/>
  </w:num>
  <w:num w:numId="8" w16cid:durableId="1730575501">
    <w:abstractNumId w:val="3"/>
  </w:num>
  <w:num w:numId="9" w16cid:durableId="674915289">
    <w:abstractNumId w:val="3"/>
  </w:num>
  <w:num w:numId="10" w16cid:durableId="553662800">
    <w:abstractNumId w:val="4"/>
  </w:num>
  <w:num w:numId="11" w16cid:durableId="418840901">
    <w:abstractNumId w:val="1"/>
  </w:num>
  <w:num w:numId="12" w16cid:durableId="1462768437">
    <w:abstractNumId w:val="6"/>
  </w:num>
  <w:num w:numId="13" w16cid:durableId="2052336043">
    <w:abstractNumId w:val="3"/>
  </w:num>
  <w:num w:numId="14" w16cid:durableId="1242907861">
    <w:abstractNumId w:val="3"/>
  </w:num>
  <w:num w:numId="15" w16cid:durableId="1213271627">
    <w:abstractNumId w:val="3"/>
  </w:num>
  <w:num w:numId="16" w16cid:durableId="279411379">
    <w:abstractNumId w:val="3"/>
  </w:num>
  <w:num w:numId="17" w16cid:durableId="886647929">
    <w:abstractNumId w:val="3"/>
  </w:num>
  <w:num w:numId="18" w16cid:durableId="642542165">
    <w:abstractNumId w:val="3"/>
  </w:num>
  <w:num w:numId="19" w16cid:durableId="2095127649">
    <w:abstractNumId w:val="3"/>
  </w:num>
  <w:num w:numId="20" w16cid:durableId="1612318296">
    <w:abstractNumId w:val="3"/>
  </w:num>
  <w:num w:numId="21" w16cid:durableId="1722745350">
    <w:abstractNumId w:val="3"/>
  </w:num>
  <w:num w:numId="22" w16cid:durableId="270356199">
    <w:abstractNumId w:val="3"/>
  </w:num>
  <w:num w:numId="23" w16cid:durableId="597323951">
    <w:abstractNumId w:val="3"/>
  </w:num>
  <w:num w:numId="24" w16cid:durableId="1772043870">
    <w:abstractNumId w:val="3"/>
  </w:num>
  <w:num w:numId="25" w16cid:durableId="1242564783">
    <w:abstractNumId w:val="3"/>
  </w:num>
  <w:num w:numId="26" w16cid:durableId="860554618">
    <w:abstractNumId w:val="3"/>
  </w:num>
  <w:num w:numId="27" w16cid:durableId="624893622">
    <w:abstractNumId w:val="3"/>
  </w:num>
  <w:num w:numId="28" w16cid:durableId="1135753094">
    <w:abstractNumId w:val="0"/>
  </w:num>
  <w:num w:numId="29" w16cid:durableId="1993631149">
    <w:abstractNumId w:val="8"/>
  </w:num>
  <w:num w:numId="30" w16cid:durableId="2082560645">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0685D"/>
    <w:rsid w:val="00011386"/>
    <w:rsid w:val="000120EB"/>
    <w:rsid w:val="000154BD"/>
    <w:rsid w:val="00015E19"/>
    <w:rsid w:val="00016A1B"/>
    <w:rsid w:val="00017A28"/>
    <w:rsid w:val="00024977"/>
    <w:rsid w:val="000256EA"/>
    <w:rsid w:val="00026241"/>
    <w:rsid w:val="00026FB9"/>
    <w:rsid w:val="00032321"/>
    <w:rsid w:val="000337B1"/>
    <w:rsid w:val="00034CF1"/>
    <w:rsid w:val="000377DE"/>
    <w:rsid w:val="00040564"/>
    <w:rsid w:val="00043293"/>
    <w:rsid w:val="00044D50"/>
    <w:rsid w:val="0004503D"/>
    <w:rsid w:val="00045831"/>
    <w:rsid w:val="00045D4C"/>
    <w:rsid w:val="00046A1D"/>
    <w:rsid w:val="00051010"/>
    <w:rsid w:val="00051197"/>
    <w:rsid w:val="00052530"/>
    <w:rsid w:val="00053A80"/>
    <w:rsid w:val="000548AB"/>
    <w:rsid w:val="00054C49"/>
    <w:rsid w:val="00056974"/>
    <w:rsid w:val="0005733B"/>
    <w:rsid w:val="00060E2C"/>
    <w:rsid w:val="00063292"/>
    <w:rsid w:val="000645B9"/>
    <w:rsid w:val="00065391"/>
    <w:rsid w:val="000675EE"/>
    <w:rsid w:val="0007563D"/>
    <w:rsid w:val="00075B7E"/>
    <w:rsid w:val="00077EA4"/>
    <w:rsid w:val="00082104"/>
    <w:rsid w:val="00082927"/>
    <w:rsid w:val="000855B6"/>
    <w:rsid w:val="00086F1B"/>
    <w:rsid w:val="00087484"/>
    <w:rsid w:val="0009016F"/>
    <w:rsid w:val="000911B2"/>
    <w:rsid w:val="00097D65"/>
    <w:rsid w:val="000A08B3"/>
    <w:rsid w:val="000A13A3"/>
    <w:rsid w:val="000A18AB"/>
    <w:rsid w:val="000A19DA"/>
    <w:rsid w:val="000A48DE"/>
    <w:rsid w:val="000A5BBD"/>
    <w:rsid w:val="000B0783"/>
    <w:rsid w:val="000B2034"/>
    <w:rsid w:val="000B4B47"/>
    <w:rsid w:val="000B4BAF"/>
    <w:rsid w:val="000C032F"/>
    <w:rsid w:val="000C33F5"/>
    <w:rsid w:val="000C4233"/>
    <w:rsid w:val="000C58FD"/>
    <w:rsid w:val="000C6342"/>
    <w:rsid w:val="000C75E1"/>
    <w:rsid w:val="000D0DC4"/>
    <w:rsid w:val="000D1079"/>
    <w:rsid w:val="000D342A"/>
    <w:rsid w:val="000D7300"/>
    <w:rsid w:val="000E04CB"/>
    <w:rsid w:val="000E0A9E"/>
    <w:rsid w:val="000E1721"/>
    <w:rsid w:val="000E187D"/>
    <w:rsid w:val="000E59F3"/>
    <w:rsid w:val="000E5E74"/>
    <w:rsid w:val="000E7888"/>
    <w:rsid w:val="000F0627"/>
    <w:rsid w:val="000F10BC"/>
    <w:rsid w:val="000F2CE5"/>
    <w:rsid w:val="000F4FDC"/>
    <w:rsid w:val="00101726"/>
    <w:rsid w:val="00102820"/>
    <w:rsid w:val="00105190"/>
    <w:rsid w:val="00106D03"/>
    <w:rsid w:val="001116AC"/>
    <w:rsid w:val="001126E9"/>
    <w:rsid w:val="00115A4B"/>
    <w:rsid w:val="00115CD3"/>
    <w:rsid w:val="00120276"/>
    <w:rsid w:val="00121443"/>
    <w:rsid w:val="00121DEB"/>
    <w:rsid w:val="001222DA"/>
    <w:rsid w:val="001237B5"/>
    <w:rsid w:val="00124066"/>
    <w:rsid w:val="00125C47"/>
    <w:rsid w:val="00126BEE"/>
    <w:rsid w:val="00131B05"/>
    <w:rsid w:val="00134E7B"/>
    <w:rsid w:val="00135295"/>
    <w:rsid w:val="00137034"/>
    <w:rsid w:val="001376A6"/>
    <w:rsid w:val="00137DE8"/>
    <w:rsid w:val="0014296B"/>
    <w:rsid w:val="0014324E"/>
    <w:rsid w:val="00144931"/>
    <w:rsid w:val="00144D0D"/>
    <w:rsid w:val="0014588A"/>
    <w:rsid w:val="00145967"/>
    <w:rsid w:val="00153255"/>
    <w:rsid w:val="00160B04"/>
    <w:rsid w:val="0016137C"/>
    <w:rsid w:val="0016208F"/>
    <w:rsid w:val="00162B9A"/>
    <w:rsid w:val="00162D68"/>
    <w:rsid w:val="00164F07"/>
    <w:rsid w:val="00167741"/>
    <w:rsid w:val="0016787F"/>
    <w:rsid w:val="0017040E"/>
    <w:rsid w:val="00170611"/>
    <w:rsid w:val="00175F27"/>
    <w:rsid w:val="00176B43"/>
    <w:rsid w:val="0017761E"/>
    <w:rsid w:val="00177EE8"/>
    <w:rsid w:val="001817EA"/>
    <w:rsid w:val="00181AD3"/>
    <w:rsid w:val="0019238E"/>
    <w:rsid w:val="00192D23"/>
    <w:rsid w:val="00194488"/>
    <w:rsid w:val="0019529A"/>
    <w:rsid w:val="00197003"/>
    <w:rsid w:val="001A003B"/>
    <w:rsid w:val="001A0DEC"/>
    <w:rsid w:val="001A2306"/>
    <w:rsid w:val="001A42C2"/>
    <w:rsid w:val="001A47C7"/>
    <w:rsid w:val="001A4C11"/>
    <w:rsid w:val="001A5A75"/>
    <w:rsid w:val="001B20AA"/>
    <w:rsid w:val="001B5C7C"/>
    <w:rsid w:val="001C4610"/>
    <w:rsid w:val="001C6CE7"/>
    <w:rsid w:val="001C70A7"/>
    <w:rsid w:val="001C7524"/>
    <w:rsid w:val="001D0147"/>
    <w:rsid w:val="001D02D5"/>
    <w:rsid w:val="001D07BD"/>
    <w:rsid w:val="001D2591"/>
    <w:rsid w:val="001D4A77"/>
    <w:rsid w:val="001D6482"/>
    <w:rsid w:val="001D66D1"/>
    <w:rsid w:val="001D6B9D"/>
    <w:rsid w:val="001D7379"/>
    <w:rsid w:val="001D7428"/>
    <w:rsid w:val="001D7C47"/>
    <w:rsid w:val="001E3085"/>
    <w:rsid w:val="001E458C"/>
    <w:rsid w:val="001E5BA4"/>
    <w:rsid w:val="001E5E53"/>
    <w:rsid w:val="001E62D5"/>
    <w:rsid w:val="001E75DD"/>
    <w:rsid w:val="001F1D16"/>
    <w:rsid w:val="001F28A1"/>
    <w:rsid w:val="001F5C4F"/>
    <w:rsid w:val="001F5F1E"/>
    <w:rsid w:val="001F6408"/>
    <w:rsid w:val="00201CE4"/>
    <w:rsid w:val="00201CFC"/>
    <w:rsid w:val="00202764"/>
    <w:rsid w:val="002038F8"/>
    <w:rsid w:val="00203F64"/>
    <w:rsid w:val="002061A9"/>
    <w:rsid w:val="00206775"/>
    <w:rsid w:val="002109D5"/>
    <w:rsid w:val="00211467"/>
    <w:rsid w:val="0021181A"/>
    <w:rsid w:val="00212ABB"/>
    <w:rsid w:val="002146AC"/>
    <w:rsid w:val="00214EDA"/>
    <w:rsid w:val="00216179"/>
    <w:rsid w:val="00221028"/>
    <w:rsid w:val="0022125A"/>
    <w:rsid w:val="00223C39"/>
    <w:rsid w:val="00226D1A"/>
    <w:rsid w:val="0022719A"/>
    <w:rsid w:val="00230813"/>
    <w:rsid w:val="00232BDA"/>
    <w:rsid w:val="00232F92"/>
    <w:rsid w:val="00233B14"/>
    <w:rsid w:val="00234403"/>
    <w:rsid w:val="0023477A"/>
    <w:rsid w:val="00234807"/>
    <w:rsid w:val="00234EE2"/>
    <w:rsid w:val="00236ACC"/>
    <w:rsid w:val="00236C57"/>
    <w:rsid w:val="00241738"/>
    <w:rsid w:val="002417B0"/>
    <w:rsid w:val="00242C88"/>
    <w:rsid w:val="002462CB"/>
    <w:rsid w:val="00246938"/>
    <w:rsid w:val="00250349"/>
    <w:rsid w:val="00254440"/>
    <w:rsid w:val="00254EDB"/>
    <w:rsid w:val="00255C29"/>
    <w:rsid w:val="00261280"/>
    <w:rsid w:val="00262FD5"/>
    <w:rsid w:val="00263D94"/>
    <w:rsid w:val="00264652"/>
    <w:rsid w:val="00264B42"/>
    <w:rsid w:val="00264FD8"/>
    <w:rsid w:val="00265CDA"/>
    <w:rsid w:val="00265ECC"/>
    <w:rsid w:val="0027494A"/>
    <w:rsid w:val="00275505"/>
    <w:rsid w:val="00277002"/>
    <w:rsid w:val="002836BA"/>
    <w:rsid w:val="00287414"/>
    <w:rsid w:val="00287971"/>
    <w:rsid w:val="00287EF5"/>
    <w:rsid w:val="00291E00"/>
    <w:rsid w:val="0029470C"/>
    <w:rsid w:val="002958F7"/>
    <w:rsid w:val="00297177"/>
    <w:rsid w:val="002A11B9"/>
    <w:rsid w:val="002A14E8"/>
    <w:rsid w:val="002A2206"/>
    <w:rsid w:val="002A2A08"/>
    <w:rsid w:val="002A395A"/>
    <w:rsid w:val="002A3F2C"/>
    <w:rsid w:val="002A547C"/>
    <w:rsid w:val="002A76E1"/>
    <w:rsid w:val="002B02D1"/>
    <w:rsid w:val="002B041F"/>
    <w:rsid w:val="002B0A51"/>
    <w:rsid w:val="002B20CB"/>
    <w:rsid w:val="002B32D7"/>
    <w:rsid w:val="002B5CEE"/>
    <w:rsid w:val="002C0DB0"/>
    <w:rsid w:val="002C11DB"/>
    <w:rsid w:val="002C223E"/>
    <w:rsid w:val="002C36E8"/>
    <w:rsid w:val="002C3D33"/>
    <w:rsid w:val="002C5C3E"/>
    <w:rsid w:val="002C6DD4"/>
    <w:rsid w:val="002C7B24"/>
    <w:rsid w:val="002C7C9A"/>
    <w:rsid w:val="002D003B"/>
    <w:rsid w:val="002D08CF"/>
    <w:rsid w:val="002D0DFE"/>
    <w:rsid w:val="002D4E34"/>
    <w:rsid w:val="002D5E70"/>
    <w:rsid w:val="002D6167"/>
    <w:rsid w:val="002D7E37"/>
    <w:rsid w:val="002E1682"/>
    <w:rsid w:val="002E235F"/>
    <w:rsid w:val="002E2BEF"/>
    <w:rsid w:val="002E3ED2"/>
    <w:rsid w:val="002E4236"/>
    <w:rsid w:val="002E63BA"/>
    <w:rsid w:val="002E7BC5"/>
    <w:rsid w:val="002F3545"/>
    <w:rsid w:val="002F3E01"/>
    <w:rsid w:val="002F4A9E"/>
    <w:rsid w:val="002F4F57"/>
    <w:rsid w:val="002F588E"/>
    <w:rsid w:val="002F5F0E"/>
    <w:rsid w:val="002F736D"/>
    <w:rsid w:val="003013E3"/>
    <w:rsid w:val="00303052"/>
    <w:rsid w:val="00303430"/>
    <w:rsid w:val="003037A7"/>
    <w:rsid w:val="00303AAC"/>
    <w:rsid w:val="00303FF7"/>
    <w:rsid w:val="003048DB"/>
    <w:rsid w:val="00307699"/>
    <w:rsid w:val="00312202"/>
    <w:rsid w:val="00312315"/>
    <w:rsid w:val="00314547"/>
    <w:rsid w:val="003206AA"/>
    <w:rsid w:val="00324327"/>
    <w:rsid w:val="0032485A"/>
    <w:rsid w:val="00326572"/>
    <w:rsid w:val="00326D54"/>
    <w:rsid w:val="003355F2"/>
    <w:rsid w:val="00341711"/>
    <w:rsid w:val="003421BD"/>
    <w:rsid w:val="00343B46"/>
    <w:rsid w:val="003451E4"/>
    <w:rsid w:val="003460E9"/>
    <w:rsid w:val="00346245"/>
    <w:rsid w:val="003632D1"/>
    <w:rsid w:val="00364431"/>
    <w:rsid w:val="00364918"/>
    <w:rsid w:val="00365D45"/>
    <w:rsid w:val="00370469"/>
    <w:rsid w:val="003712F8"/>
    <w:rsid w:val="003808AF"/>
    <w:rsid w:val="00381767"/>
    <w:rsid w:val="00382736"/>
    <w:rsid w:val="003840DB"/>
    <w:rsid w:val="00391275"/>
    <w:rsid w:val="00391D8B"/>
    <w:rsid w:val="00393759"/>
    <w:rsid w:val="0039433B"/>
    <w:rsid w:val="00394B60"/>
    <w:rsid w:val="003A2348"/>
    <w:rsid w:val="003A3CF8"/>
    <w:rsid w:val="003A5D94"/>
    <w:rsid w:val="003A67BC"/>
    <w:rsid w:val="003B03D6"/>
    <w:rsid w:val="003B143C"/>
    <w:rsid w:val="003B15B4"/>
    <w:rsid w:val="003B3BFB"/>
    <w:rsid w:val="003B4603"/>
    <w:rsid w:val="003B4C72"/>
    <w:rsid w:val="003B7896"/>
    <w:rsid w:val="003C03F0"/>
    <w:rsid w:val="003C12F4"/>
    <w:rsid w:val="003C1AA9"/>
    <w:rsid w:val="003C3608"/>
    <w:rsid w:val="003C40FC"/>
    <w:rsid w:val="003C44F3"/>
    <w:rsid w:val="003C5C26"/>
    <w:rsid w:val="003C7C4F"/>
    <w:rsid w:val="003C7FE2"/>
    <w:rsid w:val="003D1338"/>
    <w:rsid w:val="003D1AE4"/>
    <w:rsid w:val="003D2445"/>
    <w:rsid w:val="003D35EA"/>
    <w:rsid w:val="003D4154"/>
    <w:rsid w:val="003D4FC1"/>
    <w:rsid w:val="003E12A1"/>
    <w:rsid w:val="003E1528"/>
    <w:rsid w:val="003E20F5"/>
    <w:rsid w:val="003E2C24"/>
    <w:rsid w:val="003E2E29"/>
    <w:rsid w:val="003E3095"/>
    <w:rsid w:val="003E3D6E"/>
    <w:rsid w:val="003E4DBF"/>
    <w:rsid w:val="003E6DE3"/>
    <w:rsid w:val="003E702F"/>
    <w:rsid w:val="003E70EA"/>
    <w:rsid w:val="003E7FD1"/>
    <w:rsid w:val="003F1402"/>
    <w:rsid w:val="003F78A5"/>
    <w:rsid w:val="00400D65"/>
    <w:rsid w:val="00403A59"/>
    <w:rsid w:val="00404547"/>
    <w:rsid w:val="004048E8"/>
    <w:rsid w:val="00405C5B"/>
    <w:rsid w:val="00407C3B"/>
    <w:rsid w:val="00410414"/>
    <w:rsid w:val="00412A91"/>
    <w:rsid w:val="00414AD8"/>
    <w:rsid w:val="0042169B"/>
    <w:rsid w:val="0042263F"/>
    <w:rsid w:val="00423242"/>
    <w:rsid w:val="00424C42"/>
    <w:rsid w:val="00424F11"/>
    <w:rsid w:val="004255CC"/>
    <w:rsid w:val="00427FD4"/>
    <w:rsid w:val="004314BB"/>
    <w:rsid w:val="00431FF1"/>
    <w:rsid w:val="00433CA3"/>
    <w:rsid w:val="00435163"/>
    <w:rsid w:val="00436554"/>
    <w:rsid w:val="0043756F"/>
    <w:rsid w:val="00437744"/>
    <w:rsid w:val="00441C2E"/>
    <w:rsid w:val="00441DF5"/>
    <w:rsid w:val="00442B35"/>
    <w:rsid w:val="00442FCF"/>
    <w:rsid w:val="00444D83"/>
    <w:rsid w:val="00446997"/>
    <w:rsid w:val="00451E19"/>
    <w:rsid w:val="00453452"/>
    <w:rsid w:val="004553F9"/>
    <w:rsid w:val="004634C5"/>
    <w:rsid w:val="00470150"/>
    <w:rsid w:val="004718C1"/>
    <w:rsid w:val="00471C8B"/>
    <w:rsid w:val="00473610"/>
    <w:rsid w:val="0047489E"/>
    <w:rsid w:val="00474DDA"/>
    <w:rsid w:val="00477C7C"/>
    <w:rsid w:val="00484EEE"/>
    <w:rsid w:val="00485E37"/>
    <w:rsid w:val="004869EE"/>
    <w:rsid w:val="004900B1"/>
    <w:rsid w:val="0049181A"/>
    <w:rsid w:val="00492AA9"/>
    <w:rsid w:val="00495B27"/>
    <w:rsid w:val="00495F5C"/>
    <w:rsid w:val="004962E9"/>
    <w:rsid w:val="00496E5D"/>
    <w:rsid w:val="004A3C59"/>
    <w:rsid w:val="004A6820"/>
    <w:rsid w:val="004B0B15"/>
    <w:rsid w:val="004B0D26"/>
    <w:rsid w:val="004B2CBF"/>
    <w:rsid w:val="004B3702"/>
    <w:rsid w:val="004B5682"/>
    <w:rsid w:val="004B644D"/>
    <w:rsid w:val="004B6FF7"/>
    <w:rsid w:val="004B71A8"/>
    <w:rsid w:val="004C021D"/>
    <w:rsid w:val="004C2693"/>
    <w:rsid w:val="004C363E"/>
    <w:rsid w:val="004C4AC4"/>
    <w:rsid w:val="004C57BC"/>
    <w:rsid w:val="004C61E4"/>
    <w:rsid w:val="004C63A8"/>
    <w:rsid w:val="004C647E"/>
    <w:rsid w:val="004C7464"/>
    <w:rsid w:val="004D27AC"/>
    <w:rsid w:val="004D3437"/>
    <w:rsid w:val="004D346B"/>
    <w:rsid w:val="004D42F0"/>
    <w:rsid w:val="004E141D"/>
    <w:rsid w:val="004E1C39"/>
    <w:rsid w:val="004E41B1"/>
    <w:rsid w:val="004E531D"/>
    <w:rsid w:val="004E5DE5"/>
    <w:rsid w:val="004E625A"/>
    <w:rsid w:val="004E6D69"/>
    <w:rsid w:val="004F021F"/>
    <w:rsid w:val="004F3BDD"/>
    <w:rsid w:val="004F3EB1"/>
    <w:rsid w:val="004F41FA"/>
    <w:rsid w:val="004F5858"/>
    <w:rsid w:val="004F65E0"/>
    <w:rsid w:val="004F73E7"/>
    <w:rsid w:val="004F7E08"/>
    <w:rsid w:val="0050578C"/>
    <w:rsid w:val="0050631D"/>
    <w:rsid w:val="00506673"/>
    <w:rsid w:val="00511781"/>
    <w:rsid w:val="005121E2"/>
    <w:rsid w:val="0051232E"/>
    <w:rsid w:val="005129CB"/>
    <w:rsid w:val="00513026"/>
    <w:rsid w:val="005147DC"/>
    <w:rsid w:val="00515AD0"/>
    <w:rsid w:val="005207B8"/>
    <w:rsid w:val="00522224"/>
    <w:rsid w:val="005261F4"/>
    <w:rsid w:val="0053018B"/>
    <w:rsid w:val="005311A2"/>
    <w:rsid w:val="005312C0"/>
    <w:rsid w:val="0053421B"/>
    <w:rsid w:val="0053428E"/>
    <w:rsid w:val="00534BDE"/>
    <w:rsid w:val="00534F43"/>
    <w:rsid w:val="00535DB0"/>
    <w:rsid w:val="0053631F"/>
    <w:rsid w:val="00536CC1"/>
    <w:rsid w:val="005373F5"/>
    <w:rsid w:val="00537FA7"/>
    <w:rsid w:val="005411AC"/>
    <w:rsid w:val="00542FF4"/>
    <w:rsid w:val="00543DD2"/>
    <w:rsid w:val="00544A02"/>
    <w:rsid w:val="00545E89"/>
    <w:rsid w:val="00547899"/>
    <w:rsid w:val="005528DB"/>
    <w:rsid w:val="005537E3"/>
    <w:rsid w:val="00554175"/>
    <w:rsid w:val="00554C63"/>
    <w:rsid w:val="005564FD"/>
    <w:rsid w:val="005565AC"/>
    <w:rsid w:val="00556DA2"/>
    <w:rsid w:val="0056058D"/>
    <w:rsid w:val="0056073D"/>
    <w:rsid w:val="005619DD"/>
    <w:rsid w:val="00562777"/>
    <w:rsid w:val="00563CB2"/>
    <w:rsid w:val="0056426D"/>
    <w:rsid w:val="00570B9E"/>
    <w:rsid w:val="005723C2"/>
    <w:rsid w:val="00572C31"/>
    <w:rsid w:val="00573F65"/>
    <w:rsid w:val="005768A8"/>
    <w:rsid w:val="005805BF"/>
    <w:rsid w:val="00580A30"/>
    <w:rsid w:val="00581E69"/>
    <w:rsid w:val="00582184"/>
    <w:rsid w:val="00582666"/>
    <w:rsid w:val="00582F79"/>
    <w:rsid w:val="00591509"/>
    <w:rsid w:val="00592093"/>
    <w:rsid w:val="00592A62"/>
    <w:rsid w:val="00592F22"/>
    <w:rsid w:val="005956E0"/>
    <w:rsid w:val="00595F7A"/>
    <w:rsid w:val="00596006"/>
    <w:rsid w:val="0059628E"/>
    <w:rsid w:val="00597B80"/>
    <w:rsid w:val="005A3250"/>
    <w:rsid w:val="005A3D04"/>
    <w:rsid w:val="005A47B1"/>
    <w:rsid w:val="005B1634"/>
    <w:rsid w:val="005B2158"/>
    <w:rsid w:val="005B21AF"/>
    <w:rsid w:val="005B4C9C"/>
    <w:rsid w:val="005B5DD6"/>
    <w:rsid w:val="005B5EB8"/>
    <w:rsid w:val="005C1FF2"/>
    <w:rsid w:val="005C248B"/>
    <w:rsid w:val="005C33DD"/>
    <w:rsid w:val="005C3A30"/>
    <w:rsid w:val="005C3ABE"/>
    <w:rsid w:val="005C3CFD"/>
    <w:rsid w:val="005C7463"/>
    <w:rsid w:val="005C79EF"/>
    <w:rsid w:val="005D0FA1"/>
    <w:rsid w:val="005D4DB9"/>
    <w:rsid w:val="005E06AF"/>
    <w:rsid w:val="005E20D3"/>
    <w:rsid w:val="005E38E7"/>
    <w:rsid w:val="005E3961"/>
    <w:rsid w:val="005E7A5E"/>
    <w:rsid w:val="005F118F"/>
    <w:rsid w:val="005F300A"/>
    <w:rsid w:val="005F3826"/>
    <w:rsid w:val="006026B1"/>
    <w:rsid w:val="00607072"/>
    <w:rsid w:val="00610884"/>
    <w:rsid w:val="00610910"/>
    <w:rsid w:val="00611C34"/>
    <w:rsid w:val="006127B2"/>
    <w:rsid w:val="00612A93"/>
    <w:rsid w:val="00613F16"/>
    <w:rsid w:val="00615C9D"/>
    <w:rsid w:val="00616C55"/>
    <w:rsid w:val="00616D18"/>
    <w:rsid w:val="00617527"/>
    <w:rsid w:val="006175B8"/>
    <w:rsid w:val="00621951"/>
    <w:rsid w:val="0062500B"/>
    <w:rsid w:val="00625D7C"/>
    <w:rsid w:val="00626BC2"/>
    <w:rsid w:val="006312BD"/>
    <w:rsid w:val="006374CC"/>
    <w:rsid w:val="00640FB9"/>
    <w:rsid w:val="00641D7B"/>
    <w:rsid w:val="00641D8E"/>
    <w:rsid w:val="00642A38"/>
    <w:rsid w:val="006445C9"/>
    <w:rsid w:val="00645088"/>
    <w:rsid w:val="00645F53"/>
    <w:rsid w:val="006502B8"/>
    <w:rsid w:val="00655224"/>
    <w:rsid w:val="0065648B"/>
    <w:rsid w:val="00656E86"/>
    <w:rsid w:val="00657622"/>
    <w:rsid w:val="00657B06"/>
    <w:rsid w:val="00660B9A"/>
    <w:rsid w:val="00661699"/>
    <w:rsid w:val="00661876"/>
    <w:rsid w:val="006668D9"/>
    <w:rsid w:val="00671BA7"/>
    <w:rsid w:val="006720B6"/>
    <w:rsid w:val="0067293D"/>
    <w:rsid w:val="00682B10"/>
    <w:rsid w:val="00682E89"/>
    <w:rsid w:val="006833E2"/>
    <w:rsid w:val="00685AA9"/>
    <w:rsid w:val="006873C0"/>
    <w:rsid w:val="006873EB"/>
    <w:rsid w:val="00690580"/>
    <w:rsid w:val="00693C09"/>
    <w:rsid w:val="00694D85"/>
    <w:rsid w:val="00695C40"/>
    <w:rsid w:val="00696B1F"/>
    <w:rsid w:val="006A173D"/>
    <w:rsid w:val="006A18D7"/>
    <w:rsid w:val="006A371C"/>
    <w:rsid w:val="006A553E"/>
    <w:rsid w:val="006A5DDC"/>
    <w:rsid w:val="006A7A74"/>
    <w:rsid w:val="006A7A8A"/>
    <w:rsid w:val="006A7E26"/>
    <w:rsid w:val="006B1C04"/>
    <w:rsid w:val="006B2E86"/>
    <w:rsid w:val="006C111D"/>
    <w:rsid w:val="006C30A0"/>
    <w:rsid w:val="006C39F4"/>
    <w:rsid w:val="006C7AD0"/>
    <w:rsid w:val="006D19FE"/>
    <w:rsid w:val="006D1E15"/>
    <w:rsid w:val="006D28BB"/>
    <w:rsid w:val="006D3C47"/>
    <w:rsid w:val="006D438D"/>
    <w:rsid w:val="006D5B83"/>
    <w:rsid w:val="006D6D7A"/>
    <w:rsid w:val="006E4766"/>
    <w:rsid w:val="006E50CD"/>
    <w:rsid w:val="006E5382"/>
    <w:rsid w:val="006E6909"/>
    <w:rsid w:val="006E756E"/>
    <w:rsid w:val="006E7EC2"/>
    <w:rsid w:val="006F41BF"/>
    <w:rsid w:val="00701E08"/>
    <w:rsid w:val="00703034"/>
    <w:rsid w:val="00703060"/>
    <w:rsid w:val="00703614"/>
    <w:rsid w:val="00704730"/>
    <w:rsid w:val="007067B5"/>
    <w:rsid w:val="00712841"/>
    <w:rsid w:val="00712D8F"/>
    <w:rsid w:val="007168AA"/>
    <w:rsid w:val="007173B3"/>
    <w:rsid w:val="00717F50"/>
    <w:rsid w:val="00726143"/>
    <w:rsid w:val="0072773B"/>
    <w:rsid w:val="00731C50"/>
    <w:rsid w:val="00734106"/>
    <w:rsid w:val="00734115"/>
    <w:rsid w:val="0074272D"/>
    <w:rsid w:val="007429FB"/>
    <w:rsid w:val="00744524"/>
    <w:rsid w:val="00744BCD"/>
    <w:rsid w:val="007454A0"/>
    <w:rsid w:val="00745D5D"/>
    <w:rsid w:val="00747019"/>
    <w:rsid w:val="00747FCE"/>
    <w:rsid w:val="00750646"/>
    <w:rsid w:val="00751608"/>
    <w:rsid w:val="00752A94"/>
    <w:rsid w:val="00753685"/>
    <w:rsid w:val="007550D0"/>
    <w:rsid w:val="00755C09"/>
    <w:rsid w:val="00756F36"/>
    <w:rsid w:val="00763082"/>
    <w:rsid w:val="00764B1D"/>
    <w:rsid w:val="007659A3"/>
    <w:rsid w:val="00771606"/>
    <w:rsid w:val="007718BC"/>
    <w:rsid w:val="00771D3F"/>
    <w:rsid w:val="007727C7"/>
    <w:rsid w:val="00772830"/>
    <w:rsid w:val="00772FB8"/>
    <w:rsid w:val="00774A29"/>
    <w:rsid w:val="0077538D"/>
    <w:rsid w:val="00782DDD"/>
    <w:rsid w:val="00783C94"/>
    <w:rsid w:val="0078417B"/>
    <w:rsid w:val="007844FD"/>
    <w:rsid w:val="007853AD"/>
    <w:rsid w:val="00785B48"/>
    <w:rsid w:val="00786FBC"/>
    <w:rsid w:val="0079021A"/>
    <w:rsid w:val="00794E25"/>
    <w:rsid w:val="007A5502"/>
    <w:rsid w:val="007A7A32"/>
    <w:rsid w:val="007B0EEC"/>
    <w:rsid w:val="007B1EED"/>
    <w:rsid w:val="007B523A"/>
    <w:rsid w:val="007B583D"/>
    <w:rsid w:val="007B61C9"/>
    <w:rsid w:val="007B6B72"/>
    <w:rsid w:val="007C72A8"/>
    <w:rsid w:val="007C7DB4"/>
    <w:rsid w:val="007D28EF"/>
    <w:rsid w:val="007D2D57"/>
    <w:rsid w:val="007D4A9E"/>
    <w:rsid w:val="007D620B"/>
    <w:rsid w:val="007D667F"/>
    <w:rsid w:val="007E3960"/>
    <w:rsid w:val="007E5B6E"/>
    <w:rsid w:val="007E67CE"/>
    <w:rsid w:val="007F1A85"/>
    <w:rsid w:val="007F2DB5"/>
    <w:rsid w:val="007F39EF"/>
    <w:rsid w:val="007F4A85"/>
    <w:rsid w:val="008011EF"/>
    <w:rsid w:val="00802088"/>
    <w:rsid w:val="00802F49"/>
    <w:rsid w:val="00803A7E"/>
    <w:rsid w:val="00804084"/>
    <w:rsid w:val="008046F2"/>
    <w:rsid w:val="00806F76"/>
    <w:rsid w:val="00806FC0"/>
    <w:rsid w:val="008075C4"/>
    <w:rsid w:val="00807A4F"/>
    <w:rsid w:val="008123C7"/>
    <w:rsid w:val="0081574E"/>
    <w:rsid w:val="00815EC1"/>
    <w:rsid w:val="00820380"/>
    <w:rsid w:val="00820F55"/>
    <w:rsid w:val="00822459"/>
    <w:rsid w:val="0082339A"/>
    <w:rsid w:val="00824615"/>
    <w:rsid w:val="00834864"/>
    <w:rsid w:val="00836146"/>
    <w:rsid w:val="00836366"/>
    <w:rsid w:val="00837358"/>
    <w:rsid w:val="00840278"/>
    <w:rsid w:val="00840B53"/>
    <w:rsid w:val="00842CEA"/>
    <w:rsid w:val="00847896"/>
    <w:rsid w:val="00850549"/>
    <w:rsid w:val="00850585"/>
    <w:rsid w:val="00851E5C"/>
    <w:rsid w:val="008534F5"/>
    <w:rsid w:val="0085408A"/>
    <w:rsid w:val="00854723"/>
    <w:rsid w:val="00854CB9"/>
    <w:rsid w:val="008625CF"/>
    <w:rsid w:val="008632E4"/>
    <w:rsid w:val="00863B4B"/>
    <w:rsid w:val="00863D26"/>
    <w:rsid w:val="0086434C"/>
    <w:rsid w:val="00864688"/>
    <w:rsid w:val="0086616F"/>
    <w:rsid w:val="00867192"/>
    <w:rsid w:val="00867AD2"/>
    <w:rsid w:val="00874727"/>
    <w:rsid w:val="00880DC9"/>
    <w:rsid w:val="00882825"/>
    <w:rsid w:val="0088605A"/>
    <w:rsid w:val="008869CC"/>
    <w:rsid w:val="00890A4C"/>
    <w:rsid w:val="008917B6"/>
    <w:rsid w:val="00896C15"/>
    <w:rsid w:val="00897180"/>
    <w:rsid w:val="00897457"/>
    <w:rsid w:val="0089767C"/>
    <w:rsid w:val="008A0160"/>
    <w:rsid w:val="008A0966"/>
    <w:rsid w:val="008A3829"/>
    <w:rsid w:val="008A5AC9"/>
    <w:rsid w:val="008A6452"/>
    <w:rsid w:val="008A6ED0"/>
    <w:rsid w:val="008A7900"/>
    <w:rsid w:val="008A7D92"/>
    <w:rsid w:val="008B2188"/>
    <w:rsid w:val="008B2F24"/>
    <w:rsid w:val="008B49DB"/>
    <w:rsid w:val="008B4B04"/>
    <w:rsid w:val="008B4FA9"/>
    <w:rsid w:val="008B6955"/>
    <w:rsid w:val="008C1DC7"/>
    <w:rsid w:val="008C20D0"/>
    <w:rsid w:val="008C2737"/>
    <w:rsid w:val="008C4916"/>
    <w:rsid w:val="008C5520"/>
    <w:rsid w:val="008D02DC"/>
    <w:rsid w:val="008D0417"/>
    <w:rsid w:val="008D24B9"/>
    <w:rsid w:val="008D29B8"/>
    <w:rsid w:val="008D35B2"/>
    <w:rsid w:val="008D431A"/>
    <w:rsid w:val="008D433B"/>
    <w:rsid w:val="008D44B2"/>
    <w:rsid w:val="008D4D4C"/>
    <w:rsid w:val="008D5CF0"/>
    <w:rsid w:val="008D5ED8"/>
    <w:rsid w:val="008D7B3C"/>
    <w:rsid w:val="008E3C08"/>
    <w:rsid w:val="008E54C3"/>
    <w:rsid w:val="008E5D56"/>
    <w:rsid w:val="008E5E28"/>
    <w:rsid w:val="008F1E8B"/>
    <w:rsid w:val="008F1FF5"/>
    <w:rsid w:val="008F579C"/>
    <w:rsid w:val="008F76AC"/>
    <w:rsid w:val="00900C14"/>
    <w:rsid w:val="00901398"/>
    <w:rsid w:val="0090193E"/>
    <w:rsid w:val="00907AA0"/>
    <w:rsid w:val="00907CCE"/>
    <w:rsid w:val="00914452"/>
    <w:rsid w:val="0091600C"/>
    <w:rsid w:val="0091705A"/>
    <w:rsid w:val="009202E9"/>
    <w:rsid w:val="009226BD"/>
    <w:rsid w:val="009236A0"/>
    <w:rsid w:val="00923A30"/>
    <w:rsid w:val="00923D1A"/>
    <w:rsid w:val="00923E97"/>
    <w:rsid w:val="00924401"/>
    <w:rsid w:val="009306EA"/>
    <w:rsid w:val="00934478"/>
    <w:rsid w:val="00935A1C"/>
    <w:rsid w:val="00936B32"/>
    <w:rsid w:val="00936D61"/>
    <w:rsid w:val="00941446"/>
    <w:rsid w:val="009439D3"/>
    <w:rsid w:val="00944764"/>
    <w:rsid w:val="00946B26"/>
    <w:rsid w:val="00952525"/>
    <w:rsid w:val="00952BF1"/>
    <w:rsid w:val="00953A5D"/>
    <w:rsid w:val="00953FF2"/>
    <w:rsid w:val="00954C43"/>
    <w:rsid w:val="00955284"/>
    <w:rsid w:val="00960048"/>
    <w:rsid w:val="00960523"/>
    <w:rsid w:val="009611FB"/>
    <w:rsid w:val="00962DE5"/>
    <w:rsid w:val="00963E88"/>
    <w:rsid w:val="0096474A"/>
    <w:rsid w:val="0096654B"/>
    <w:rsid w:val="00966638"/>
    <w:rsid w:val="00972931"/>
    <w:rsid w:val="00972FF3"/>
    <w:rsid w:val="0097301C"/>
    <w:rsid w:val="00975FC8"/>
    <w:rsid w:val="009769D4"/>
    <w:rsid w:val="0098319E"/>
    <w:rsid w:val="009838E8"/>
    <w:rsid w:val="00984E63"/>
    <w:rsid w:val="009866C9"/>
    <w:rsid w:val="009900E4"/>
    <w:rsid w:val="009903DD"/>
    <w:rsid w:val="00991C7E"/>
    <w:rsid w:val="00991CD6"/>
    <w:rsid w:val="009922C0"/>
    <w:rsid w:val="0099314A"/>
    <w:rsid w:val="009933C1"/>
    <w:rsid w:val="00996BB7"/>
    <w:rsid w:val="009A13DC"/>
    <w:rsid w:val="009A2FA4"/>
    <w:rsid w:val="009A3E0A"/>
    <w:rsid w:val="009A5C0A"/>
    <w:rsid w:val="009A6FEE"/>
    <w:rsid w:val="009B054F"/>
    <w:rsid w:val="009B26B1"/>
    <w:rsid w:val="009B2757"/>
    <w:rsid w:val="009B2C03"/>
    <w:rsid w:val="009B326F"/>
    <w:rsid w:val="009B380C"/>
    <w:rsid w:val="009B6044"/>
    <w:rsid w:val="009B62F9"/>
    <w:rsid w:val="009C1FD6"/>
    <w:rsid w:val="009C206E"/>
    <w:rsid w:val="009C2C21"/>
    <w:rsid w:val="009C32F6"/>
    <w:rsid w:val="009C592E"/>
    <w:rsid w:val="009C5DA7"/>
    <w:rsid w:val="009C61B1"/>
    <w:rsid w:val="009C6BA6"/>
    <w:rsid w:val="009D0A85"/>
    <w:rsid w:val="009D43A1"/>
    <w:rsid w:val="009D43A9"/>
    <w:rsid w:val="009E0823"/>
    <w:rsid w:val="009E2140"/>
    <w:rsid w:val="009E21AA"/>
    <w:rsid w:val="009E430B"/>
    <w:rsid w:val="009E434A"/>
    <w:rsid w:val="009E494D"/>
    <w:rsid w:val="009F0214"/>
    <w:rsid w:val="009F05D8"/>
    <w:rsid w:val="009F213A"/>
    <w:rsid w:val="009F6CBF"/>
    <w:rsid w:val="009F7789"/>
    <w:rsid w:val="00A00016"/>
    <w:rsid w:val="00A007C5"/>
    <w:rsid w:val="00A00C66"/>
    <w:rsid w:val="00A02B92"/>
    <w:rsid w:val="00A10ACF"/>
    <w:rsid w:val="00A11C3A"/>
    <w:rsid w:val="00A11CED"/>
    <w:rsid w:val="00A11F00"/>
    <w:rsid w:val="00A13EC1"/>
    <w:rsid w:val="00A14DC6"/>
    <w:rsid w:val="00A1551B"/>
    <w:rsid w:val="00A171F4"/>
    <w:rsid w:val="00A1763D"/>
    <w:rsid w:val="00A17A7E"/>
    <w:rsid w:val="00A25460"/>
    <w:rsid w:val="00A2765E"/>
    <w:rsid w:val="00A30FEF"/>
    <w:rsid w:val="00A33F7C"/>
    <w:rsid w:val="00A36B23"/>
    <w:rsid w:val="00A36EC0"/>
    <w:rsid w:val="00A374C1"/>
    <w:rsid w:val="00A4427B"/>
    <w:rsid w:val="00A44646"/>
    <w:rsid w:val="00A45AE1"/>
    <w:rsid w:val="00A50160"/>
    <w:rsid w:val="00A52699"/>
    <w:rsid w:val="00A53564"/>
    <w:rsid w:val="00A5459E"/>
    <w:rsid w:val="00A57503"/>
    <w:rsid w:val="00A57F41"/>
    <w:rsid w:val="00A60A56"/>
    <w:rsid w:val="00A62562"/>
    <w:rsid w:val="00A62673"/>
    <w:rsid w:val="00A62825"/>
    <w:rsid w:val="00A6460F"/>
    <w:rsid w:val="00A66FBF"/>
    <w:rsid w:val="00A71843"/>
    <w:rsid w:val="00A724AD"/>
    <w:rsid w:val="00A724D9"/>
    <w:rsid w:val="00A7269D"/>
    <w:rsid w:val="00A72FE7"/>
    <w:rsid w:val="00A73CF9"/>
    <w:rsid w:val="00A74D12"/>
    <w:rsid w:val="00A750E5"/>
    <w:rsid w:val="00A7557C"/>
    <w:rsid w:val="00A75971"/>
    <w:rsid w:val="00A77256"/>
    <w:rsid w:val="00A8165F"/>
    <w:rsid w:val="00A833B4"/>
    <w:rsid w:val="00A9011D"/>
    <w:rsid w:val="00A9079A"/>
    <w:rsid w:val="00A92D88"/>
    <w:rsid w:val="00A93254"/>
    <w:rsid w:val="00A94FCE"/>
    <w:rsid w:val="00A95452"/>
    <w:rsid w:val="00A967C4"/>
    <w:rsid w:val="00A97F2B"/>
    <w:rsid w:val="00AA18CC"/>
    <w:rsid w:val="00AA298E"/>
    <w:rsid w:val="00AA3436"/>
    <w:rsid w:val="00AA44FA"/>
    <w:rsid w:val="00AA46F0"/>
    <w:rsid w:val="00AA48D5"/>
    <w:rsid w:val="00AA51CC"/>
    <w:rsid w:val="00AB10D1"/>
    <w:rsid w:val="00AB139A"/>
    <w:rsid w:val="00AB2686"/>
    <w:rsid w:val="00AB51C1"/>
    <w:rsid w:val="00AB520C"/>
    <w:rsid w:val="00AB5806"/>
    <w:rsid w:val="00AB5E94"/>
    <w:rsid w:val="00AB7379"/>
    <w:rsid w:val="00AB7895"/>
    <w:rsid w:val="00AC30A6"/>
    <w:rsid w:val="00AC3E9F"/>
    <w:rsid w:val="00AC4A2B"/>
    <w:rsid w:val="00AC4C23"/>
    <w:rsid w:val="00AC54B9"/>
    <w:rsid w:val="00AC6170"/>
    <w:rsid w:val="00AC67E4"/>
    <w:rsid w:val="00AC6998"/>
    <w:rsid w:val="00AC71DD"/>
    <w:rsid w:val="00AD2D24"/>
    <w:rsid w:val="00AD644C"/>
    <w:rsid w:val="00AD67D5"/>
    <w:rsid w:val="00AD7985"/>
    <w:rsid w:val="00AE096D"/>
    <w:rsid w:val="00AE0AFD"/>
    <w:rsid w:val="00AE1706"/>
    <w:rsid w:val="00AE3AC0"/>
    <w:rsid w:val="00AE4FD0"/>
    <w:rsid w:val="00AE5D9C"/>
    <w:rsid w:val="00AE6903"/>
    <w:rsid w:val="00AE6A17"/>
    <w:rsid w:val="00AF4CDB"/>
    <w:rsid w:val="00B00F8E"/>
    <w:rsid w:val="00B01D71"/>
    <w:rsid w:val="00B02348"/>
    <w:rsid w:val="00B02619"/>
    <w:rsid w:val="00B030EA"/>
    <w:rsid w:val="00B06A4F"/>
    <w:rsid w:val="00B07572"/>
    <w:rsid w:val="00B10925"/>
    <w:rsid w:val="00B134D0"/>
    <w:rsid w:val="00B13C00"/>
    <w:rsid w:val="00B15E99"/>
    <w:rsid w:val="00B201C7"/>
    <w:rsid w:val="00B30972"/>
    <w:rsid w:val="00B31D86"/>
    <w:rsid w:val="00B32F13"/>
    <w:rsid w:val="00B34326"/>
    <w:rsid w:val="00B4229C"/>
    <w:rsid w:val="00B45A70"/>
    <w:rsid w:val="00B4619A"/>
    <w:rsid w:val="00B4725F"/>
    <w:rsid w:val="00B51988"/>
    <w:rsid w:val="00B52D60"/>
    <w:rsid w:val="00B54588"/>
    <w:rsid w:val="00B57496"/>
    <w:rsid w:val="00B57FC4"/>
    <w:rsid w:val="00B60454"/>
    <w:rsid w:val="00B60803"/>
    <w:rsid w:val="00B618E3"/>
    <w:rsid w:val="00B622E6"/>
    <w:rsid w:val="00B6361B"/>
    <w:rsid w:val="00B63822"/>
    <w:rsid w:val="00B70BBE"/>
    <w:rsid w:val="00B71FF5"/>
    <w:rsid w:val="00B72652"/>
    <w:rsid w:val="00B73EA1"/>
    <w:rsid w:val="00B75F93"/>
    <w:rsid w:val="00B769F7"/>
    <w:rsid w:val="00B81D12"/>
    <w:rsid w:val="00B82721"/>
    <w:rsid w:val="00B8382E"/>
    <w:rsid w:val="00B855F2"/>
    <w:rsid w:val="00B8705F"/>
    <w:rsid w:val="00B92081"/>
    <w:rsid w:val="00B9256F"/>
    <w:rsid w:val="00B92E20"/>
    <w:rsid w:val="00B931AD"/>
    <w:rsid w:val="00B93285"/>
    <w:rsid w:val="00B93C04"/>
    <w:rsid w:val="00B94236"/>
    <w:rsid w:val="00B95080"/>
    <w:rsid w:val="00B9563B"/>
    <w:rsid w:val="00B978C9"/>
    <w:rsid w:val="00BA16FB"/>
    <w:rsid w:val="00BA1DDA"/>
    <w:rsid w:val="00BA33F7"/>
    <w:rsid w:val="00BA45FE"/>
    <w:rsid w:val="00BB2224"/>
    <w:rsid w:val="00BB2B6B"/>
    <w:rsid w:val="00BB3DD2"/>
    <w:rsid w:val="00BB411E"/>
    <w:rsid w:val="00BB5371"/>
    <w:rsid w:val="00BB5952"/>
    <w:rsid w:val="00BB6F9B"/>
    <w:rsid w:val="00BB74E0"/>
    <w:rsid w:val="00BB75C5"/>
    <w:rsid w:val="00BC14D2"/>
    <w:rsid w:val="00BC1711"/>
    <w:rsid w:val="00BC250F"/>
    <w:rsid w:val="00BC54DD"/>
    <w:rsid w:val="00BD0185"/>
    <w:rsid w:val="00BD06AA"/>
    <w:rsid w:val="00BD3851"/>
    <w:rsid w:val="00BD3956"/>
    <w:rsid w:val="00BD42A3"/>
    <w:rsid w:val="00BD6BFA"/>
    <w:rsid w:val="00BE0D02"/>
    <w:rsid w:val="00BE14C0"/>
    <w:rsid w:val="00BE36FF"/>
    <w:rsid w:val="00BE5C74"/>
    <w:rsid w:val="00BE603F"/>
    <w:rsid w:val="00BE6D56"/>
    <w:rsid w:val="00BE6E3C"/>
    <w:rsid w:val="00BF3B1A"/>
    <w:rsid w:val="00BF410A"/>
    <w:rsid w:val="00C008D1"/>
    <w:rsid w:val="00C12B4B"/>
    <w:rsid w:val="00C158CD"/>
    <w:rsid w:val="00C1761E"/>
    <w:rsid w:val="00C17658"/>
    <w:rsid w:val="00C17F58"/>
    <w:rsid w:val="00C20BD4"/>
    <w:rsid w:val="00C20DC5"/>
    <w:rsid w:val="00C214AA"/>
    <w:rsid w:val="00C24687"/>
    <w:rsid w:val="00C266A0"/>
    <w:rsid w:val="00C27134"/>
    <w:rsid w:val="00C31078"/>
    <w:rsid w:val="00C31A12"/>
    <w:rsid w:val="00C31F68"/>
    <w:rsid w:val="00C3499E"/>
    <w:rsid w:val="00C35BEF"/>
    <w:rsid w:val="00C36B43"/>
    <w:rsid w:val="00C4140F"/>
    <w:rsid w:val="00C42C1F"/>
    <w:rsid w:val="00C43D1F"/>
    <w:rsid w:val="00C47024"/>
    <w:rsid w:val="00C47890"/>
    <w:rsid w:val="00C47DDA"/>
    <w:rsid w:val="00C5013C"/>
    <w:rsid w:val="00C50307"/>
    <w:rsid w:val="00C505B6"/>
    <w:rsid w:val="00C5092F"/>
    <w:rsid w:val="00C5192F"/>
    <w:rsid w:val="00C5209E"/>
    <w:rsid w:val="00C5292E"/>
    <w:rsid w:val="00C5363B"/>
    <w:rsid w:val="00C53BDE"/>
    <w:rsid w:val="00C53D78"/>
    <w:rsid w:val="00C54473"/>
    <w:rsid w:val="00C55C92"/>
    <w:rsid w:val="00C56883"/>
    <w:rsid w:val="00C604DD"/>
    <w:rsid w:val="00C62366"/>
    <w:rsid w:val="00C62BFF"/>
    <w:rsid w:val="00C66654"/>
    <w:rsid w:val="00C67D76"/>
    <w:rsid w:val="00C70C20"/>
    <w:rsid w:val="00C711F3"/>
    <w:rsid w:val="00C71CBA"/>
    <w:rsid w:val="00C74FBB"/>
    <w:rsid w:val="00C75945"/>
    <w:rsid w:val="00C761A1"/>
    <w:rsid w:val="00C76705"/>
    <w:rsid w:val="00C80646"/>
    <w:rsid w:val="00C80D39"/>
    <w:rsid w:val="00C824A2"/>
    <w:rsid w:val="00C85E55"/>
    <w:rsid w:val="00C87226"/>
    <w:rsid w:val="00C87614"/>
    <w:rsid w:val="00C914B1"/>
    <w:rsid w:val="00C93276"/>
    <w:rsid w:val="00C93438"/>
    <w:rsid w:val="00C9376F"/>
    <w:rsid w:val="00C94F56"/>
    <w:rsid w:val="00C979C4"/>
    <w:rsid w:val="00C97E7A"/>
    <w:rsid w:val="00CA1665"/>
    <w:rsid w:val="00CA355F"/>
    <w:rsid w:val="00CA4FBA"/>
    <w:rsid w:val="00CA6EF5"/>
    <w:rsid w:val="00CA79A8"/>
    <w:rsid w:val="00CB0975"/>
    <w:rsid w:val="00CB3BEA"/>
    <w:rsid w:val="00CB4094"/>
    <w:rsid w:val="00CB607D"/>
    <w:rsid w:val="00CB6134"/>
    <w:rsid w:val="00CB74E7"/>
    <w:rsid w:val="00CB78BB"/>
    <w:rsid w:val="00CC1397"/>
    <w:rsid w:val="00CC286E"/>
    <w:rsid w:val="00CC2D22"/>
    <w:rsid w:val="00CC3B56"/>
    <w:rsid w:val="00CC6606"/>
    <w:rsid w:val="00CD0283"/>
    <w:rsid w:val="00CD08C7"/>
    <w:rsid w:val="00CD1ED3"/>
    <w:rsid w:val="00CD2CB1"/>
    <w:rsid w:val="00CD5F7E"/>
    <w:rsid w:val="00CD724F"/>
    <w:rsid w:val="00CE48A2"/>
    <w:rsid w:val="00CE7A38"/>
    <w:rsid w:val="00CF092B"/>
    <w:rsid w:val="00CF2368"/>
    <w:rsid w:val="00CF2EE8"/>
    <w:rsid w:val="00CF3582"/>
    <w:rsid w:val="00CF4409"/>
    <w:rsid w:val="00CF4DAF"/>
    <w:rsid w:val="00D01ADD"/>
    <w:rsid w:val="00D05831"/>
    <w:rsid w:val="00D11920"/>
    <w:rsid w:val="00D13ABA"/>
    <w:rsid w:val="00D171A8"/>
    <w:rsid w:val="00D173CE"/>
    <w:rsid w:val="00D2141C"/>
    <w:rsid w:val="00D2434E"/>
    <w:rsid w:val="00D2724F"/>
    <w:rsid w:val="00D27AB8"/>
    <w:rsid w:val="00D30019"/>
    <w:rsid w:val="00D30769"/>
    <w:rsid w:val="00D32187"/>
    <w:rsid w:val="00D33285"/>
    <w:rsid w:val="00D34941"/>
    <w:rsid w:val="00D3507A"/>
    <w:rsid w:val="00D35B8F"/>
    <w:rsid w:val="00D35F23"/>
    <w:rsid w:val="00D545BA"/>
    <w:rsid w:val="00D56788"/>
    <w:rsid w:val="00D6011E"/>
    <w:rsid w:val="00D6149E"/>
    <w:rsid w:val="00D64401"/>
    <w:rsid w:val="00D6614D"/>
    <w:rsid w:val="00D72735"/>
    <w:rsid w:val="00D73E1D"/>
    <w:rsid w:val="00D754D4"/>
    <w:rsid w:val="00D76832"/>
    <w:rsid w:val="00D77758"/>
    <w:rsid w:val="00D81A63"/>
    <w:rsid w:val="00D8334F"/>
    <w:rsid w:val="00D84EFE"/>
    <w:rsid w:val="00D85234"/>
    <w:rsid w:val="00D8593C"/>
    <w:rsid w:val="00D86AF5"/>
    <w:rsid w:val="00D87ADB"/>
    <w:rsid w:val="00D942D2"/>
    <w:rsid w:val="00D958DF"/>
    <w:rsid w:val="00D97F6B"/>
    <w:rsid w:val="00DA0ABE"/>
    <w:rsid w:val="00DA0C31"/>
    <w:rsid w:val="00DA1362"/>
    <w:rsid w:val="00DA19E1"/>
    <w:rsid w:val="00DA1FB4"/>
    <w:rsid w:val="00DA3016"/>
    <w:rsid w:val="00DA480C"/>
    <w:rsid w:val="00DA5996"/>
    <w:rsid w:val="00DA79E3"/>
    <w:rsid w:val="00DB2098"/>
    <w:rsid w:val="00DB341F"/>
    <w:rsid w:val="00DB372E"/>
    <w:rsid w:val="00DB42B2"/>
    <w:rsid w:val="00DB4E98"/>
    <w:rsid w:val="00DB547B"/>
    <w:rsid w:val="00DB5C3F"/>
    <w:rsid w:val="00DB5EC2"/>
    <w:rsid w:val="00DB6DBF"/>
    <w:rsid w:val="00DC227F"/>
    <w:rsid w:val="00DC49CA"/>
    <w:rsid w:val="00DC5B58"/>
    <w:rsid w:val="00DC728E"/>
    <w:rsid w:val="00DC746D"/>
    <w:rsid w:val="00DD0AB7"/>
    <w:rsid w:val="00DD227D"/>
    <w:rsid w:val="00DD7747"/>
    <w:rsid w:val="00DE2AE6"/>
    <w:rsid w:val="00DE31FF"/>
    <w:rsid w:val="00DE3580"/>
    <w:rsid w:val="00DE6C69"/>
    <w:rsid w:val="00DE7306"/>
    <w:rsid w:val="00DE78BA"/>
    <w:rsid w:val="00DF74A0"/>
    <w:rsid w:val="00E00A0C"/>
    <w:rsid w:val="00E07501"/>
    <w:rsid w:val="00E0751E"/>
    <w:rsid w:val="00E11E9B"/>
    <w:rsid w:val="00E12940"/>
    <w:rsid w:val="00E13AC5"/>
    <w:rsid w:val="00E161B4"/>
    <w:rsid w:val="00E217E4"/>
    <w:rsid w:val="00E22AC8"/>
    <w:rsid w:val="00E27F02"/>
    <w:rsid w:val="00E343CB"/>
    <w:rsid w:val="00E348DD"/>
    <w:rsid w:val="00E35440"/>
    <w:rsid w:val="00E364FB"/>
    <w:rsid w:val="00E37209"/>
    <w:rsid w:val="00E40D2A"/>
    <w:rsid w:val="00E4142D"/>
    <w:rsid w:val="00E47ABE"/>
    <w:rsid w:val="00E47B8C"/>
    <w:rsid w:val="00E5382A"/>
    <w:rsid w:val="00E564C5"/>
    <w:rsid w:val="00E57819"/>
    <w:rsid w:val="00E57959"/>
    <w:rsid w:val="00E57D3A"/>
    <w:rsid w:val="00E60C6E"/>
    <w:rsid w:val="00E61C25"/>
    <w:rsid w:val="00E6460F"/>
    <w:rsid w:val="00E646C7"/>
    <w:rsid w:val="00E647BC"/>
    <w:rsid w:val="00E64ABD"/>
    <w:rsid w:val="00E66322"/>
    <w:rsid w:val="00E7135B"/>
    <w:rsid w:val="00E7251C"/>
    <w:rsid w:val="00E728D9"/>
    <w:rsid w:val="00E74E4C"/>
    <w:rsid w:val="00E83707"/>
    <w:rsid w:val="00E83B3A"/>
    <w:rsid w:val="00E8534E"/>
    <w:rsid w:val="00E85F5F"/>
    <w:rsid w:val="00E86339"/>
    <w:rsid w:val="00E870C0"/>
    <w:rsid w:val="00E90238"/>
    <w:rsid w:val="00E90CEB"/>
    <w:rsid w:val="00E92712"/>
    <w:rsid w:val="00E938C7"/>
    <w:rsid w:val="00E96C67"/>
    <w:rsid w:val="00EA1C78"/>
    <w:rsid w:val="00EA3496"/>
    <w:rsid w:val="00EA35DE"/>
    <w:rsid w:val="00EA565D"/>
    <w:rsid w:val="00EB28E1"/>
    <w:rsid w:val="00EB2A05"/>
    <w:rsid w:val="00EB2CE7"/>
    <w:rsid w:val="00EB6DE4"/>
    <w:rsid w:val="00EB712C"/>
    <w:rsid w:val="00EB7F85"/>
    <w:rsid w:val="00EC1145"/>
    <w:rsid w:val="00EC2DDD"/>
    <w:rsid w:val="00EC311F"/>
    <w:rsid w:val="00EC3800"/>
    <w:rsid w:val="00EC425C"/>
    <w:rsid w:val="00EC46AC"/>
    <w:rsid w:val="00EC5658"/>
    <w:rsid w:val="00EC6AC3"/>
    <w:rsid w:val="00EC6D01"/>
    <w:rsid w:val="00EC6FE5"/>
    <w:rsid w:val="00EC7692"/>
    <w:rsid w:val="00EC7E57"/>
    <w:rsid w:val="00EC7EA3"/>
    <w:rsid w:val="00ED0EBD"/>
    <w:rsid w:val="00ED1822"/>
    <w:rsid w:val="00ED1E51"/>
    <w:rsid w:val="00ED5B34"/>
    <w:rsid w:val="00EE13C7"/>
    <w:rsid w:val="00EE3F3A"/>
    <w:rsid w:val="00EF3998"/>
    <w:rsid w:val="00EF4F26"/>
    <w:rsid w:val="00EF52F0"/>
    <w:rsid w:val="00EF55CB"/>
    <w:rsid w:val="00F01802"/>
    <w:rsid w:val="00F01C81"/>
    <w:rsid w:val="00F02C5B"/>
    <w:rsid w:val="00F03A20"/>
    <w:rsid w:val="00F05599"/>
    <w:rsid w:val="00F06F3A"/>
    <w:rsid w:val="00F07757"/>
    <w:rsid w:val="00F11373"/>
    <w:rsid w:val="00F1294C"/>
    <w:rsid w:val="00F134B8"/>
    <w:rsid w:val="00F163AF"/>
    <w:rsid w:val="00F20916"/>
    <w:rsid w:val="00F213D6"/>
    <w:rsid w:val="00F2258B"/>
    <w:rsid w:val="00F22909"/>
    <w:rsid w:val="00F23A0A"/>
    <w:rsid w:val="00F255E6"/>
    <w:rsid w:val="00F274F2"/>
    <w:rsid w:val="00F31475"/>
    <w:rsid w:val="00F32734"/>
    <w:rsid w:val="00F343B8"/>
    <w:rsid w:val="00F354F4"/>
    <w:rsid w:val="00F35924"/>
    <w:rsid w:val="00F40105"/>
    <w:rsid w:val="00F418D6"/>
    <w:rsid w:val="00F4250E"/>
    <w:rsid w:val="00F4313E"/>
    <w:rsid w:val="00F43783"/>
    <w:rsid w:val="00F4416F"/>
    <w:rsid w:val="00F4452A"/>
    <w:rsid w:val="00F456C9"/>
    <w:rsid w:val="00F47151"/>
    <w:rsid w:val="00F47DEE"/>
    <w:rsid w:val="00F51EF7"/>
    <w:rsid w:val="00F537CE"/>
    <w:rsid w:val="00F53FA3"/>
    <w:rsid w:val="00F579B8"/>
    <w:rsid w:val="00F608B3"/>
    <w:rsid w:val="00F62CD2"/>
    <w:rsid w:val="00F63388"/>
    <w:rsid w:val="00F64D7D"/>
    <w:rsid w:val="00F6564C"/>
    <w:rsid w:val="00F665E8"/>
    <w:rsid w:val="00F666FE"/>
    <w:rsid w:val="00F6710D"/>
    <w:rsid w:val="00F67207"/>
    <w:rsid w:val="00F743E8"/>
    <w:rsid w:val="00F749F6"/>
    <w:rsid w:val="00F76AF7"/>
    <w:rsid w:val="00F80D24"/>
    <w:rsid w:val="00F8183C"/>
    <w:rsid w:val="00F82E48"/>
    <w:rsid w:val="00F84FF5"/>
    <w:rsid w:val="00F86870"/>
    <w:rsid w:val="00F86B7E"/>
    <w:rsid w:val="00F908AF"/>
    <w:rsid w:val="00F90BA4"/>
    <w:rsid w:val="00F90DA5"/>
    <w:rsid w:val="00F92D5A"/>
    <w:rsid w:val="00F95D04"/>
    <w:rsid w:val="00FA0EE5"/>
    <w:rsid w:val="00FA11B2"/>
    <w:rsid w:val="00FA1382"/>
    <w:rsid w:val="00FA1899"/>
    <w:rsid w:val="00FA19B6"/>
    <w:rsid w:val="00FA2982"/>
    <w:rsid w:val="00FA357F"/>
    <w:rsid w:val="00FA3EB2"/>
    <w:rsid w:val="00FA4A1B"/>
    <w:rsid w:val="00FA62D6"/>
    <w:rsid w:val="00FB055F"/>
    <w:rsid w:val="00FB0B78"/>
    <w:rsid w:val="00FB1CE9"/>
    <w:rsid w:val="00FB24CD"/>
    <w:rsid w:val="00FB3E5A"/>
    <w:rsid w:val="00FB44DD"/>
    <w:rsid w:val="00FC0294"/>
    <w:rsid w:val="00FC03BB"/>
    <w:rsid w:val="00FC4EF8"/>
    <w:rsid w:val="00FD1CE8"/>
    <w:rsid w:val="00FD1FAA"/>
    <w:rsid w:val="00FD30FA"/>
    <w:rsid w:val="00FD7108"/>
    <w:rsid w:val="00FD72D3"/>
    <w:rsid w:val="00FE4465"/>
    <w:rsid w:val="00FE5DCA"/>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4C42"/>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 w:type="paragraph" w:customStyle="1" w:styleId="NormalArial">
    <w:name w:val="Normal+Arial"/>
    <w:basedOn w:val="Normal"/>
    <w:link w:val="NormalArialChar"/>
    <w:rsid w:val="00771D3F"/>
    <w:rPr>
      <w:rFonts w:ascii="Arial" w:hAnsi="Arial"/>
    </w:rPr>
  </w:style>
  <w:style w:type="character" w:customStyle="1" w:styleId="NormalArialChar">
    <w:name w:val="Normal+Arial Char"/>
    <w:link w:val="NormalArial"/>
    <w:locked/>
    <w:rsid w:val="00771D3F"/>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90939">
      <w:bodyDiv w:val="1"/>
      <w:marLeft w:val="0"/>
      <w:marRight w:val="0"/>
      <w:marTop w:val="0"/>
      <w:marBottom w:val="0"/>
      <w:divBdr>
        <w:top w:val="none" w:sz="0" w:space="0" w:color="auto"/>
        <w:left w:val="none" w:sz="0" w:space="0" w:color="auto"/>
        <w:bottom w:val="none" w:sz="0" w:space="0" w:color="auto"/>
        <w:right w:val="none" w:sz="0" w:space="0" w:color="auto"/>
      </w:divBdr>
    </w:div>
    <w:div w:id="189270987">
      <w:bodyDiv w:val="1"/>
      <w:marLeft w:val="0"/>
      <w:marRight w:val="0"/>
      <w:marTop w:val="0"/>
      <w:marBottom w:val="0"/>
      <w:divBdr>
        <w:top w:val="none" w:sz="0" w:space="0" w:color="auto"/>
        <w:left w:val="none" w:sz="0" w:space="0" w:color="auto"/>
        <w:bottom w:val="none" w:sz="0" w:space="0" w:color="auto"/>
        <w:right w:val="none" w:sz="0" w:space="0" w:color="auto"/>
      </w:divBdr>
    </w:div>
    <w:div w:id="771895016">
      <w:bodyDiv w:val="1"/>
      <w:marLeft w:val="0"/>
      <w:marRight w:val="0"/>
      <w:marTop w:val="0"/>
      <w:marBottom w:val="0"/>
      <w:divBdr>
        <w:top w:val="none" w:sz="0" w:space="0" w:color="auto"/>
        <w:left w:val="none" w:sz="0" w:space="0" w:color="auto"/>
        <w:bottom w:val="none" w:sz="0" w:space="0" w:color="auto"/>
        <w:right w:val="none" w:sz="0" w:space="0" w:color="auto"/>
      </w:divBdr>
    </w:div>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calendar/08202024-Board-of-Directors-Meetin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2.xml><?xml version="1.0" encoding="utf-8"?>
<ds:datastoreItem xmlns:ds="http://schemas.openxmlformats.org/officeDocument/2006/customXml" ds:itemID="{41B97500-9472-4C36-99B5-7068030F4C31}">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customXml/itemProps5.xml><?xml version="1.0" encoding="utf-8"?>
<ds:datastoreItem xmlns:ds="http://schemas.openxmlformats.org/officeDocument/2006/customXml" ds:itemID="{6D3A9CCF-21A8-4E6D-AAB3-69F8C49B5C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3704</Words>
  <Characters>22350</Characters>
  <Application>Microsoft Office Word</Application>
  <DocSecurity>0</DocSecurity>
  <Lines>519</Lines>
  <Paragraphs>211</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25843</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Ebbs, Penney</cp:lastModifiedBy>
  <cp:revision>3</cp:revision>
  <cp:lastPrinted>2024-11-22T15:29:00Z</cp:lastPrinted>
  <dcterms:created xsi:type="dcterms:W3CDTF">2024-11-22T15:58:00Z</dcterms:created>
  <dcterms:modified xsi:type="dcterms:W3CDTF">2024-11-22T22:23:00Z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y fmtid="{D5CDD505-2E9C-101B-9397-08002B2CF9AE}" pid="8" name="MSIP_Label_7084cbda-52b8-46fb-a7b7-cb5bd465ed85_Enabled">
    <vt:lpwstr>true</vt:lpwstr>
  </property>
  <property fmtid="{D5CDD505-2E9C-101B-9397-08002B2CF9AE}" pid="9" name="MSIP_Label_7084cbda-52b8-46fb-a7b7-cb5bd465ed85_SetDate">
    <vt:lpwstr>2023-07-31T14:45:16Z</vt:lpwstr>
  </property>
  <property fmtid="{D5CDD505-2E9C-101B-9397-08002B2CF9AE}" pid="10" name="MSIP_Label_7084cbda-52b8-46fb-a7b7-cb5bd465ed85_Method">
    <vt:lpwstr>Standard</vt:lpwstr>
  </property>
  <property fmtid="{D5CDD505-2E9C-101B-9397-08002B2CF9AE}" pid="11" name="MSIP_Label_7084cbda-52b8-46fb-a7b7-cb5bd465ed85_Name">
    <vt:lpwstr>Internal</vt:lpwstr>
  </property>
  <property fmtid="{D5CDD505-2E9C-101B-9397-08002B2CF9AE}" pid="12" name="MSIP_Label_7084cbda-52b8-46fb-a7b7-cb5bd465ed85_SiteId">
    <vt:lpwstr>0afb747d-bff7-4596-a9fc-950ef9e0ec45</vt:lpwstr>
  </property>
  <property fmtid="{D5CDD505-2E9C-101B-9397-08002B2CF9AE}" pid="13" name="MSIP_Label_7084cbda-52b8-46fb-a7b7-cb5bd465ed85_ActionId">
    <vt:lpwstr>b4c3efcd-60e4-4f02-b59e-ed0a7d7f849f</vt:lpwstr>
  </property>
  <property fmtid="{D5CDD505-2E9C-101B-9397-08002B2CF9AE}" pid="14" name="MSIP_Label_7084cbda-52b8-46fb-a7b7-cb5bd465ed85_ContentBits">
    <vt:lpwstr>0</vt:lpwstr>
  </property>
</Properties>
</file>