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5ED9A592" w:rsidR="0011691A" w:rsidRDefault="00240918" w:rsidP="0011691A">
      <w:pPr>
        <w:pStyle w:val="BodyText"/>
        <w:jc w:val="center"/>
        <w:rPr>
          <w:b/>
          <w:szCs w:val="24"/>
        </w:rPr>
      </w:pPr>
      <w:r>
        <w:rPr>
          <w:b/>
          <w:szCs w:val="24"/>
        </w:rPr>
        <w:t>November</w:t>
      </w:r>
      <w:r w:rsidR="00C35A18">
        <w:rPr>
          <w:b/>
          <w:szCs w:val="24"/>
        </w:rPr>
        <w:t xml:space="preserve"> 1</w:t>
      </w:r>
      <w:r w:rsidR="00272D57">
        <w:rPr>
          <w:b/>
          <w:szCs w:val="24"/>
        </w:rPr>
        <w:t>, 20</w:t>
      </w:r>
      <w:r w:rsidR="00975A01">
        <w:rPr>
          <w:b/>
          <w:szCs w:val="24"/>
        </w:rPr>
        <w:t>2</w:t>
      </w:r>
      <w:r w:rsidR="00831DAE">
        <w:rPr>
          <w:b/>
          <w:szCs w:val="24"/>
        </w:rPr>
        <w:t>4</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E81E00"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68257C22" w:rsidR="00834E0B" w:rsidRPr="003E0B24" w:rsidRDefault="00834E0B" w:rsidP="00834E0B">
      <w:pPr>
        <w:spacing w:after="240"/>
        <w:ind w:left="1440" w:hanging="720"/>
      </w:pPr>
      <w:r w:rsidRPr="003E0B24">
        <w:t>(a)</w:t>
      </w:r>
      <w:r w:rsidRPr="003E0B24">
        <w:tab/>
      </w:r>
      <w:r>
        <w:t>I</w:t>
      </w:r>
      <w:r w:rsidRPr="003E0B24">
        <w:t xml:space="preserve">t does not own 50% or more of the voting securities of any </w:t>
      </w:r>
      <w:r>
        <w:t>other Entity in the chain;</w:t>
      </w:r>
      <w:r w:rsidRPr="003E0B24">
        <w:t xml:space="preserve"> or </w:t>
      </w:r>
    </w:p>
    <w:p w14:paraId="63D24AF8" w14:textId="011810D0" w:rsidR="00834E0B" w:rsidRPr="003E0B24" w:rsidRDefault="00834E0B" w:rsidP="00834E0B">
      <w:pPr>
        <w:spacing w:after="240"/>
        <w:ind w:left="1440" w:hanging="720"/>
      </w:pPr>
      <w:r w:rsidRPr="003E0B24">
        <w:lastRenderedPageBreak/>
        <w:t>(b)</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68918A06" w14:textId="5A159E27" w:rsidR="002506F6" w:rsidRPr="00BA2009" w:rsidRDefault="002506F6" w:rsidP="00834E0B">
      <w:pPr>
        <w:pStyle w:val="List"/>
      </w:pPr>
      <w:r w:rsidRPr="00AC0350">
        <w:t>(10)</w:t>
      </w:r>
      <w:r w:rsidRPr="00AC0350">
        <w:tab/>
        <w:t>The Affiliate of a Lone Star Infrastructure Protection Act (LSIPA) Designated Company shall be determined under the definition of “LSIPA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328F" w14:paraId="0E689E11" w14:textId="77777777" w:rsidTr="00FE6580">
        <w:trPr>
          <w:trHeight w:val="476"/>
        </w:trPr>
        <w:tc>
          <w:tcPr>
            <w:tcW w:w="9576" w:type="dxa"/>
            <w:shd w:val="clear" w:color="auto" w:fill="E0E0E0"/>
          </w:tcPr>
          <w:p w14:paraId="4C178417" w14:textId="31C74D46"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Ancillary Service Deployment Factors</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0E4FD12" w14:textId="77777777" w:rsidR="0078328F" w:rsidRPr="0078328F" w:rsidRDefault="0078328F" w:rsidP="0078328F">
            <w:pPr>
              <w:keepNext/>
              <w:tabs>
                <w:tab w:val="left" w:pos="900"/>
              </w:tabs>
              <w:spacing w:after="240"/>
              <w:ind w:left="900" w:hanging="900"/>
              <w:outlineLvl w:val="1"/>
              <w:rPr>
                <w:b/>
              </w:rPr>
            </w:pPr>
            <w:r w:rsidRPr="0078328F">
              <w:rPr>
                <w:b/>
              </w:rPr>
              <w:t>Ancillary Service Deployment Factors</w:t>
            </w:r>
          </w:p>
          <w:p w14:paraId="75490C45" w14:textId="5436157E" w:rsidR="0078328F" w:rsidRPr="0078328F" w:rsidRDefault="0078328F" w:rsidP="0078328F">
            <w:pPr>
              <w:spacing w:after="240"/>
              <w:rPr>
                <w:szCs w:val="24"/>
              </w:rPr>
            </w:pPr>
            <w:r w:rsidRPr="0078328F">
              <w:rPr>
                <w:szCs w:val="24"/>
              </w:rPr>
              <w:t xml:space="preserve">Hourly parameters for each Ancillary Service type between 0 and 1 (or 0% to 100%) that indicate an assumed Ancillary Service deployment and may be based on system conditions such as forecasts for Demand and Intermittent Renewable Resources (IRRs).  These factors are used in the </w:t>
            </w:r>
            <w:r w:rsidR="00B442A3">
              <w:rPr>
                <w:szCs w:val="24"/>
              </w:rPr>
              <w:t>Reliability Unit Commitment (</w:t>
            </w:r>
            <w:r w:rsidRPr="0078328F">
              <w:rPr>
                <w:szCs w:val="24"/>
              </w:rPr>
              <w:t>RUC</w:t>
            </w:r>
            <w:r w:rsidR="00B442A3">
              <w:rPr>
                <w:szCs w:val="24"/>
              </w:rPr>
              <w:t>)</w:t>
            </w:r>
            <w:r w:rsidRPr="0078328F">
              <w:rPr>
                <w:szCs w:val="24"/>
              </w:rPr>
              <w:t xml:space="preserve"> studies.</w:t>
            </w:r>
          </w:p>
        </w:tc>
      </w:tr>
    </w:tbl>
    <w:p w14:paraId="0BFF55ED" w14:textId="77777777" w:rsidR="0078328F" w:rsidRDefault="0078328F" w:rsidP="0078328F">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8328F">
        <w:trPr>
          <w:trHeight w:val="476"/>
        </w:trPr>
        <w:tc>
          <w:tcPr>
            <w:tcW w:w="9350"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lastRenderedPageBreak/>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53BB3ED8"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lastRenderedPageBreak/>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618420E0" w:rsidR="005D1947" w:rsidRDefault="00A442A0">
      <w:pPr>
        <w:pStyle w:val="BodyText"/>
      </w:pPr>
      <w:r>
        <w:t xml:space="preserve">A device on a Generation Resource </w:t>
      </w:r>
      <w:r w:rsidR="0001368F">
        <w:t xml:space="preserve">or a control system at the Facility of a Generation Resource </w:t>
      </w:r>
      <w:r w:rsidR="00616A36">
        <w:t xml:space="preserve">or Energy Storage Resource (ESR)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5" w:name="_Toc118224397"/>
      <w:bookmarkStart w:id="76" w:name="_Toc118909465"/>
      <w:bookmarkStart w:id="77" w:name="_Toc205190261"/>
      <w:bookmarkEnd w:id="74"/>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E81E00">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lastRenderedPageBreak/>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 xml:space="preserve">Resource and that </w:t>
      </w:r>
      <w:proofErr w:type="gramStart"/>
      <w:r w:rsidRPr="009B1EDC">
        <w:t>is available at all times</w:t>
      </w:r>
      <w:proofErr w:type="gramEnd"/>
      <w:r w:rsidRPr="009B1EDC">
        <w:t xml:space="preserve">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w:t>
      </w:r>
      <w:r w:rsidRPr="00735478">
        <w:lastRenderedPageBreak/>
        <w:t>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w:t>
      </w:r>
      <w:r>
        <w:rPr>
          <w:iCs w:val="0"/>
        </w:rPr>
        <w:lastRenderedPageBreak/>
        <w:t>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E81E00">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280709AB" w:rsidR="005D1947" w:rsidRDefault="00897360" w:rsidP="00897360">
      <w:pPr>
        <w:pStyle w:val="BodyText"/>
      </w:pPr>
      <w:r>
        <w:rPr>
          <w:color w:val="000000"/>
        </w:rPr>
        <w:t>A Counter-Party’s cash funds held by ERCOT to satisfy ERCOT creditworthiness requirements, as described in paragraph (</w:t>
      </w:r>
      <w:r w:rsidR="00E23A3A">
        <w:rPr>
          <w:color w:val="000000"/>
        </w:rPr>
        <w:t>c</w:t>
      </w:r>
      <w:r>
        <w:rPr>
          <w:color w:val="000000"/>
        </w:rPr>
        <w:t xml:space="preserve">)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proofErr w:type="spellStart"/>
      <w:r w:rsidRPr="00D5497B">
        <w:rPr>
          <w:b/>
          <w:lang w:val="es-ES"/>
        </w:rPr>
        <w:t>Comision</w:t>
      </w:r>
      <w:proofErr w:type="spellEnd"/>
      <w:r w:rsidRPr="00D5497B">
        <w:rPr>
          <w:b/>
          <w:lang w:val="es-ES"/>
        </w:rPr>
        <w:t xml:space="preserve">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w:t>
      </w:r>
      <w:proofErr w:type="gramStart"/>
      <w:r w:rsidRPr="00F2720A">
        <w:t>completed</w:t>
      </w:r>
      <w:proofErr w:type="gramEnd"/>
      <w:r w:rsidRPr="00F2720A">
        <w:t xml:space="preserve">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w:t>
      </w:r>
      <w:r>
        <w:lastRenderedPageBreak/>
        <w:t xml:space="preserve">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 xml:space="preserve">The CR assigned to the Electric Service Identifier (ESI ID) in ERCOT’s database.  There can be no more than one CR of Record assigned to an ESI ID for any given </w:t>
      </w:r>
      <w:proofErr w:type="gramStart"/>
      <w:r>
        <w:rPr>
          <w:iCs w:val="0"/>
        </w:rPr>
        <w:t>time period</w:t>
      </w:r>
      <w:proofErr w:type="gramEnd"/>
      <w:r>
        <w:rPr>
          <w:iCs w:val="0"/>
        </w:rPr>
        <w:t>.</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lastRenderedPageBreak/>
        <w:t>Compliance Premium</w:t>
      </w:r>
      <w:bookmarkEnd w:id="146"/>
    </w:p>
    <w:p w14:paraId="7B3D1316" w14:textId="433BF65F" w:rsidR="005D1947" w:rsidRDefault="00240918">
      <w:pPr>
        <w:pStyle w:val="BodyText"/>
      </w:pPr>
      <w:r>
        <w:t xml:space="preserve">A payment awarded by the Program Administrator in conjunction with a </w:t>
      </w:r>
      <w:r w:rsidRPr="00322438">
        <w:rPr>
          <w:bCs/>
        </w:rPr>
        <w:t xml:space="preserve">Solar </w:t>
      </w:r>
      <w:r w:rsidRPr="004222A1">
        <w:t>Renewable Energy Credit</w:t>
      </w:r>
      <w:r>
        <w:t xml:space="preserve"> (SREC) that is generated by a renewable energy source that meets the criteria of subsection (e) of P.U.C. S</w:t>
      </w:r>
      <w:r>
        <w:rPr>
          <w:smallCaps/>
          <w:szCs w:val="24"/>
        </w:rPr>
        <w:t>ubst</w:t>
      </w:r>
      <w:r>
        <w:t xml:space="preserve">. R. 25.173, Renewable Energy Credit Program.  </w:t>
      </w:r>
      <w:proofErr w:type="gramStart"/>
      <w:r>
        <w:t>For the purpose of</w:t>
      </w:r>
      <w:proofErr w:type="gramEnd"/>
      <w:r>
        <w:t xml:space="preserve"> the Solar Renewable Portfolio Standard (SRPS) requirements, one Compliance Premium is equal to one SREC.</w:t>
      </w:r>
    </w:p>
    <w:p w14:paraId="711221A9" w14:textId="77777777" w:rsidR="008B2FB5" w:rsidRPr="008B2FB5" w:rsidRDefault="008B2FB5" w:rsidP="00E81E00">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proofErr w:type="spellStart"/>
      <w:r w:rsidRPr="009D0979">
        <w:rPr>
          <w:iCs/>
        </w:rPr>
        <w:t>Flowgate</w:t>
      </w:r>
      <w:proofErr w:type="spellEnd"/>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w:t>
      </w:r>
      <w:r>
        <w:rPr>
          <w:iCs w:val="0"/>
        </w:rPr>
        <w:lastRenderedPageBreak/>
        <w:t xml:space="preserve">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 xml:space="preserve">For a given CRR Auction, a CRR Account Holder who either owns one or more CRRs effective during the Operating Days covered by the CRR Auction, or whose </w:t>
      </w:r>
      <w:proofErr w:type="gramStart"/>
      <w:r>
        <w:t>Counter-Party</w:t>
      </w:r>
      <w:proofErr w:type="gramEnd"/>
      <w:r>
        <w:t xml:space="preserve">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w:t>
      </w:r>
      <w:proofErr w:type="gramStart"/>
      <w:r w:rsidRPr="007B19E0">
        <w:t>in a given</w:t>
      </w:r>
      <w:proofErr w:type="gramEnd"/>
      <w:r w:rsidRPr="007B19E0">
        <w:t xml:space="preserve">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lastRenderedPageBreak/>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4DF77AC" w14:textId="77777777" w:rsidTr="007E7B7E">
        <w:trPr>
          <w:trHeight w:val="386"/>
        </w:trPr>
        <w:tc>
          <w:tcPr>
            <w:tcW w:w="9350" w:type="dxa"/>
            <w:shd w:val="pct12" w:color="auto" w:fill="auto"/>
          </w:tcPr>
          <w:p w14:paraId="0F58E5B4" w14:textId="2794D495" w:rsidR="00FD011B" w:rsidRPr="004B32CF" w:rsidRDefault="00FD011B" w:rsidP="007E7B7E">
            <w:pPr>
              <w:spacing w:before="120" w:after="240"/>
              <w:rPr>
                <w:b/>
                <w:i/>
                <w:iCs/>
              </w:rPr>
            </w:pPr>
            <w:r>
              <w:rPr>
                <w:b/>
                <w:i/>
                <w:iCs/>
              </w:rPr>
              <w:t>[NPRR1198</w:t>
            </w:r>
            <w:r w:rsidRPr="004B32CF">
              <w:rPr>
                <w:b/>
                <w:i/>
                <w:iCs/>
              </w:rPr>
              <w:t>:  Replace the above definition “</w:t>
            </w:r>
            <w:r w:rsidRPr="00FD011B">
              <w:rPr>
                <w:b/>
                <w:i/>
                <w:iCs/>
              </w:rPr>
              <w:t>Constraint Management Plan (CMP)</w:t>
            </w:r>
            <w:r>
              <w:rPr>
                <w:b/>
                <w:i/>
                <w:iCs/>
              </w:rPr>
              <w:t xml:space="preserve">” </w:t>
            </w:r>
            <w:r w:rsidRPr="004B32CF">
              <w:rPr>
                <w:b/>
                <w:i/>
                <w:iCs/>
              </w:rPr>
              <w:t>with the following upon system implementation:]</w:t>
            </w:r>
          </w:p>
          <w:p w14:paraId="52FA5094" w14:textId="77777777" w:rsidR="00FD011B" w:rsidRPr="00A844BA" w:rsidRDefault="00FD011B" w:rsidP="00FD011B">
            <w:pPr>
              <w:keepNext/>
              <w:tabs>
                <w:tab w:val="left" w:pos="900"/>
              </w:tabs>
              <w:spacing w:after="240"/>
              <w:ind w:left="900" w:hanging="900"/>
              <w:outlineLvl w:val="1"/>
              <w:rPr>
                <w:b/>
              </w:rPr>
            </w:pPr>
            <w:r w:rsidRPr="00A844BA">
              <w:rPr>
                <w:b/>
              </w:rPr>
              <w:t>Constraint Management Plan (CMP)</w:t>
            </w:r>
          </w:p>
          <w:p w14:paraId="63307403" w14:textId="4858C5AA" w:rsidR="00FD011B" w:rsidRPr="0044555C" w:rsidRDefault="00FD011B" w:rsidP="00FD011B">
            <w:pPr>
              <w:spacing w:after="240"/>
              <w:rPr>
                <w:iCs/>
              </w:rPr>
            </w:pPr>
            <w:r w:rsidRPr="00A844BA">
              <w:rPr>
                <w:iCs/>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ERCOT will employ CMPs to maintain system security and reliability in accordance with the Protocols, </w:t>
            </w:r>
            <w:r>
              <w:rPr>
                <w:iCs/>
              </w:rPr>
              <w:t xml:space="preserve">Nodal </w:t>
            </w:r>
            <w:r w:rsidRPr="00A844BA">
              <w:rPr>
                <w:iCs/>
              </w:rPr>
              <w:t>Operating Guides and North American Electric Reliability Corporation (NERC) Reliability Standards.</w:t>
            </w:r>
            <w:r w:rsidR="00C641F5">
              <w:rPr>
                <w:iCs/>
              </w:rPr>
              <w:t xml:space="preserve">  </w:t>
            </w:r>
            <w:r w:rsidR="00C641F5" w:rsidRPr="00C641F5">
              <w:rPr>
                <w:iCs/>
              </w:rPr>
              <w:t>CMPs include, but are not limited to the following:</w:t>
            </w:r>
          </w:p>
        </w:tc>
      </w:tr>
    </w:tbl>
    <w:p w14:paraId="215C4283" w14:textId="77777777" w:rsidR="003321CF" w:rsidRDefault="003321CF" w:rsidP="000A57F4">
      <w:pPr>
        <w:pStyle w:val="H3"/>
        <w:spacing w:before="480" w:after="120"/>
        <w:ind w:left="360" w:firstLine="0"/>
      </w:pPr>
      <w:r>
        <w:lastRenderedPageBreak/>
        <w:t>Automatic Mitigation Plan (AMP)</w:t>
      </w:r>
      <w:r>
        <w:rPr>
          <w:rStyle w:val="CommentReference"/>
          <w:b w:val="0"/>
          <w:bCs w:val="0"/>
          <w:i w:val="0"/>
        </w:rPr>
        <w:t xml:space="preserve"> </w:t>
      </w:r>
    </w:p>
    <w:p w14:paraId="6B705CED" w14:textId="565B8A68" w:rsidR="003321CF" w:rsidRDefault="003321CF" w:rsidP="003321CF">
      <w:pPr>
        <w:pStyle w:val="BodyText"/>
        <w:ind w:left="360"/>
        <w:rPr>
          <w:iCs w:val="0"/>
        </w:rPr>
      </w:pPr>
      <w:r>
        <w:rPr>
          <w:iCs w:val="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r w:rsidR="00FD011B">
        <w:rPr>
          <w:iCs w:val="0"/>
        </w:rPr>
        <w:t xml:space="preserve"> (RAS)</w:t>
      </w:r>
      <w:r>
        <w:rPr>
          <w:iCs w:val="0"/>
        </w:rPr>
        <w:t xml:space="preserv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BA90646" w14:textId="77777777" w:rsidTr="007E7B7E">
        <w:trPr>
          <w:trHeight w:val="386"/>
        </w:trPr>
        <w:tc>
          <w:tcPr>
            <w:tcW w:w="9350" w:type="dxa"/>
            <w:shd w:val="pct12" w:color="auto" w:fill="auto"/>
          </w:tcPr>
          <w:p w14:paraId="47AD3586" w14:textId="5972251E" w:rsidR="00FD011B" w:rsidRPr="004B32CF" w:rsidRDefault="00FD011B" w:rsidP="007E7B7E">
            <w:pPr>
              <w:spacing w:before="120" w:after="240"/>
              <w:rPr>
                <w:b/>
                <w:i/>
                <w:iCs/>
              </w:rPr>
            </w:pPr>
            <w:r>
              <w:rPr>
                <w:b/>
                <w:i/>
                <w:iCs/>
              </w:rPr>
              <w:t>[NPRR1198</w:t>
            </w:r>
            <w:r w:rsidRPr="004B32CF">
              <w:rPr>
                <w:b/>
                <w:i/>
                <w:iCs/>
              </w:rPr>
              <w:t xml:space="preserve">:  </w:t>
            </w:r>
            <w:r>
              <w:rPr>
                <w:b/>
                <w:i/>
                <w:iCs/>
              </w:rPr>
              <w:t>Insert the</w:t>
            </w:r>
            <w:r w:rsidRPr="004B32CF">
              <w:rPr>
                <w:b/>
                <w:i/>
                <w:iCs/>
              </w:rPr>
              <w:t xml:space="preserve"> definition “</w:t>
            </w:r>
            <w:r w:rsidRPr="00577EDA">
              <w:rPr>
                <w:b/>
                <w:bCs/>
                <w:i/>
                <w:iCs/>
              </w:rPr>
              <w:t xml:space="preserve">Extended Action </w:t>
            </w:r>
            <w:r w:rsidRPr="004327A6">
              <w:rPr>
                <w:b/>
                <w:bCs/>
                <w:i/>
                <w:iCs/>
              </w:rPr>
              <w:t>Plan (EAP</w:t>
            </w:r>
            <w:r w:rsidRPr="00FD011B">
              <w:rPr>
                <w:b/>
                <w:i/>
                <w:iCs/>
              </w:rPr>
              <w:t>)</w:t>
            </w:r>
            <w:r>
              <w:rPr>
                <w:b/>
                <w:i/>
                <w:iCs/>
              </w:rPr>
              <w:t>” below</w:t>
            </w:r>
            <w:r w:rsidRPr="004B32CF">
              <w:rPr>
                <w:b/>
                <w:i/>
                <w:iCs/>
              </w:rPr>
              <w:t xml:space="preserve"> upon system implementation:]</w:t>
            </w:r>
          </w:p>
          <w:p w14:paraId="58661718" w14:textId="77777777" w:rsidR="00FD011B" w:rsidRPr="004327A6" w:rsidRDefault="00FD011B" w:rsidP="00FD011B">
            <w:pPr>
              <w:spacing w:after="240"/>
              <w:ind w:left="360"/>
              <w:rPr>
                <w:b/>
                <w:bCs/>
                <w:i/>
                <w:iCs/>
              </w:rPr>
            </w:pPr>
            <w:r w:rsidRPr="00577EDA">
              <w:rPr>
                <w:b/>
                <w:bCs/>
                <w:i/>
                <w:iCs/>
              </w:rPr>
              <w:t xml:space="preserve">Extended Action </w:t>
            </w:r>
            <w:r w:rsidRPr="004327A6">
              <w:rPr>
                <w:b/>
                <w:bCs/>
                <w:i/>
                <w:iCs/>
              </w:rPr>
              <w:t>Plan (EAP)</w:t>
            </w:r>
          </w:p>
          <w:p w14:paraId="0D7EFC7D" w14:textId="4A76A373" w:rsidR="00FD011B" w:rsidRPr="00FD011B" w:rsidRDefault="00FD011B" w:rsidP="00FD011B">
            <w:pPr>
              <w:spacing w:after="240"/>
              <w:ind w:left="360"/>
            </w:pPr>
            <w:r w:rsidRPr="004327A6">
              <w:t xml:space="preserve">A set of pre-defined manual actions to execute pre-contingency and to remain in place for a pre-defined </w:t>
            </w:r>
            <w:proofErr w:type="gramStart"/>
            <w:r w:rsidRPr="004327A6">
              <w:t>period of time</w:t>
            </w:r>
            <w:proofErr w:type="gramEnd"/>
            <w:r w:rsidRPr="004327A6">
              <w:t xml:space="preserve"> to address voltage issues or reduce overloading on one or more given monitored Transmission Facilities to below their Emergency Rating with restoration of normal operating conditions within two hours.  </w:t>
            </w:r>
            <w:r>
              <w:rPr>
                <w:rFonts w:eastAsia="Calibri"/>
                <w:color w:val="000000"/>
              </w:rPr>
              <w:t xml:space="preserve">EAPs may be proposed by any Market Participant or developed by ERCOT and can be utilized for reliability or economic reasons.  EAPs proposed for reliability reasons may have thermal constraints that do not have a Security-Constrained Economic Dispatch (SCED) solution.  EAPs proposed for economic reasons may have thermal constraints that are resolvable by SCED but result in high congestion costs </w:t>
            </w:r>
            <w:r w:rsidRPr="004327A6">
              <w:t xml:space="preserve">and meet the criteria outlined in Nodal Operating Guide Section 11, Constraint Management Plans and Remedial Action Schemes.  An EAP may include transmission switching and does not include Load shedding.  EAPs shall be managed via the </w:t>
            </w:r>
            <w:r>
              <w:t>Network Operations Model Change Request (</w:t>
            </w:r>
            <w:r w:rsidRPr="004327A6">
              <w:t>NOMCR</w:t>
            </w:r>
            <w:r>
              <w:t>)</w:t>
            </w:r>
            <w:r w:rsidRPr="004327A6">
              <w:t xml:space="preserve"> and Outage </w:t>
            </w:r>
            <w:r>
              <w:t>s</w:t>
            </w:r>
            <w:r w:rsidRPr="004327A6">
              <w:t>cheduling processes as described in Nodal Operating Guide Section 11.8.1</w:t>
            </w:r>
            <w:r>
              <w:t>, Extended Action Plan (EAP) Process</w:t>
            </w:r>
            <w:r w:rsidRPr="004327A6">
              <w:t>.</w:t>
            </w:r>
          </w:p>
        </w:tc>
      </w:tr>
    </w:tbl>
    <w:p w14:paraId="50A9D8EC" w14:textId="77777777" w:rsidR="003321CF" w:rsidRDefault="003321CF" w:rsidP="000A57F4">
      <w:pPr>
        <w:pStyle w:val="H3"/>
        <w:spacing w:before="480"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w:t>
      </w:r>
      <w:r>
        <w:rPr>
          <w:iCs w:val="0"/>
        </w:rPr>
        <w:lastRenderedPageBreak/>
        <w:t xml:space="preserve">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 xml:space="preserve">A set of pre-defined manual actions to execute post-contingency to address voltage issues or </w:t>
      </w:r>
      <w:proofErr w:type="gramStart"/>
      <w:r>
        <w:rPr>
          <w:iCs w:val="0"/>
        </w:rPr>
        <w:t>in order to</w:t>
      </w:r>
      <w:proofErr w:type="gramEnd"/>
      <w:r>
        <w:rPr>
          <w:iCs w:val="0"/>
        </w:rPr>
        <w:t xml:space="preserve">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w:t>
      </w:r>
      <w:proofErr w:type="gramStart"/>
      <w:r>
        <w:rPr>
          <w:iCs w:val="0"/>
        </w:rPr>
        <w:t>in order to</w:t>
      </w:r>
      <w:proofErr w:type="gramEnd"/>
      <w:r>
        <w:rPr>
          <w:iCs w:val="0"/>
        </w:rPr>
        <w:t xml:space="preserve">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lastRenderedPageBreak/>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w:t>
      </w:r>
      <w:proofErr w:type="gramStart"/>
      <w:r>
        <w:t>Counter-Party</w:t>
      </w:r>
      <w:proofErr w:type="gramEnd"/>
      <w:r>
        <w:t xml:space="preserve">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 xml:space="preserve">The Forced Outage of a double-circuit transmission line </w:t>
      </w:r>
      <w:proofErr w:type="gramStart"/>
      <w:r w:rsidRPr="00493966">
        <w:rPr>
          <w:iCs/>
        </w:rPr>
        <w:t>in excess of</w:t>
      </w:r>
      <w:proofErr w:type="gramEnd"/>
      <w:r w:rsidRPr="00493966">
        <w:rPr>
          <w:iCs/>
        </w:rPr>
        <w:t xml:space="preserve">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46EC7678" w14:textId="77777777" w:rsidR="002506F6" w:rsidRPr="002506F6" w:rsidRDefault="002506F6" w:rsidP="002506F6">
      <w:pPr>
        <w:pStyle w:val="H2"/>
        <w:ind w:left="907" w:hanging="907"/>
        <w:rPr>
          <w:b/>
          <w:bCs/>
          <w:szCs w:val="24"/>
        </w:rPr>
      </w:pPr>
      <w:bookmarkStart w:id="173" w:name="_Hlk151124448"/>
      <w:bookmarkStart w:id="174" w:name="_Hlk164243853"/>
      <w:bookmarkStart w:id="175" w:name="_Toc118224423"/>
      <w:bookmarkStart w:id="176" w:name="_Toc118909491"/>
      <w:bookmarkStart w:id="177" w:name="_Toc205190299"/>
      <w:bookmarkEnd w:id="171"/>
      <w:bookmarkEnd w:id="172"/>
      <w:r w:rsidRPr="002506F6">
        <w:rPr>
          <w:b/>
        </w:rPr>
        <w:t>Critical</w:t>
      </w:r>
      <w:r w:rsidRPr="002506F6">
        <w:rPr>
          <w:b/>
          <w:bCs/>
          <w:szCs w:val="24"/>
        </w:rPr>
        <w:t xml:space="preserve"> Electric Grid Equipment (CEGE)</w:t>
      </w:r>
    </w:p>
    <w:p w14:paraId="7889B946" w14:textId="77777777" w:rsidR="002506F6" w:rsidRPr="002506F6" w:rsidRDefault="002506F6" w:rsidP="002506F6">
      <w:pPr>
        <w:spacing w:after="240"/>
        <w:ind w:left="720" w:hanging="720"/>
        <w:rPr>
          <w:szCs w:val="24"/>
        </w:rPr>
      </w:pPr>
      <w:r w:rsidRPr="002506F6">
        <w:rPr>
          <w:szCs w:val="24"/>
        </w:rPr>
        <w:t>(1)</w:t>
      </w:r>
      <w:r w:rsidRPr="002506F6">
        <w:rPr>
          <w:szCs w:val="24"/>
        </w:rPr>
        <w:tab/>
        <w:t xml:space="preserve">Equipment accessible by means of routable connectivity that, as installed, can be used to gain remote access to or control of ERCOT System Infrastructure, the ERCOT Wide Area Network (WAN), or Market Information System (MIS), if such equipment, if destroyed, degraded, misused, or otherwise rendered unavailable would, within 15 minutes or less of its mis-operation, non-operation, or required operation, adversely impact the reliable operation of ERCOT System Infrastructure.  Redundancy of affected facilities, systems, and equipment shall not be considered when determining adverse impact. </w:t>
      </w:r>
    </w:p>
    <w:p w14:paraId="5695B0E8" w14:textId="77777777" w:rsidR="002506F6" w:rsidRPr="002506F6" w:rsidRDefault="002506F6" w:rsidP="002506F6">
      <w:pPr>
        <w:spacing w:after="240"/>
        <w:ind w:left="720" w:hanging="720"/>
        <w:rPr>
          <w:szCs w:val="24"/>
        </w:rPr>
      </w:pPr>
      <w:r w:rsidRPr="002506F6">
        <w:rPr>
          <w:szCs w:val="24"/>
        </w:rPr>
        <w:t>(2)</w:t>
      </w:r>
      <w:r w:rsidRPr="002506F6">
        <w:rPr>
          <w:szCs w:val="24"/>
        </w:rPr>
        <w:tab/>
        <w:t xml:space="preserve">For Load Resources, this definition only applies to equipment used to send and receive ERCOT telemetry and ERCOT Dispatch Instructions.  </w:t>
      </w:r>
    </w:p>
    <w:p w14:paraId="47B0A57F" w14:textId="77777777" w:rsidR="002506F6" w:rsidRPr="002506F6" w:rsidRDefault="002506F6" w:rsidP="002506F6">
      <w:pPr>
        <w:spacing w:after="240"/>
        <w:ind w:left="720" w:hanging="720"/>
        <w:rPr>
          <w:szCs w:val="24"/>
        </w:rPr>
      </w:pPr>
      <w:r w:rsidRPr="002506F6">
        <w:rPr>
          <w:szCs w:val="24"/>
        </w:rPr>
        <w:lastRenderedPageBreak/>
        <w:t>(3)</w:t>
      </w:r>
      <w:r w:rsidRPr="002506F6">
        <w:rPr>
          <w:szCs w:val="24"/>
        </w:rPr>
        <w:tab/>
        <w:t xml:space="preserve">For purposes of this definition, “reliable operation of ERCOT System Infrastructure” means operating elements of ERCOT System Infrastructure within equipment and electric system thermal, voltage, and stability limits so that instability, uncontrolled separation, or cascading failures of ERCOT System Infrastructure will not occur </w:t>
      </w:r>
      <w:proofErr w:type="gramStart"/>
      <w:r w:rsidRPr="002506F6">
        <w:rPr>
          <w:szCs w:val="24"/>
        </w:rPr>
        <w:t>as a result of</w:t>
      </w:r>
      <w:proofErr w:type="gramEnd"/>
      <w:r w:rsidRPr="002506F6">
        <w:rPr>
          <w:szCs w:val="24"/>
        </w:rPr>
        <w:t xml:space="preserve"> a sudden disturbance, including a cybersecurity incident, or unanticipated failure of system elements. </w:t>
      </w:r>
    </w:p>
    <w:bookmarkEnd w:id="173"/>
    <w:p w14:paraId="4F300D67" w14:textId="77777777" w:rsidR="002506F6" w:rsidRPr="002506F6" w:rsidRDefault="002506F6" w:rsidP="002506F6">
      <w:pPr>
        <w:pStyle w:val="H2"/>
        <w:ind w:left="907" w:hanging="907"/>
        <w:rPr>
          <w:b/>
          <w:bCs/>
          <w:szCs w:val="24"/>
        </w:rPr>
      </w:pPr>
      <w:r w:rsidRPr="002506F6">
        <w:rPr>
          <w:b/>
          <w:bCs/>
          <w:szCs w:val="24"/>
        </w:rPr>
        <w:t xml:space="preserve">Critical </w:t>
      </w:r>
      <w:r w:rsidRPr="002506F6">
        <w:rPr>
          <w:b/>
        </w:rPr>
        <w:t>Electric</w:t>
      </w:r>
      <w:r w:rsidRPr="002506F6">
        <w:rPr>
          <w:b/>
          <w:bCs/>
          <w:szCs w:val="24"/>
        </w:rPr>
        <w:t xml:space="preserve"> Grid Services (CEGS)</w:t>
      </w:r>
    </w:p>
    <w:p w14:paraId="017F11C5" w14:textId="77777777" w:rsidR="002506F6" w:rsidRPr="002506F6" w:rsidRDefault="002506F6" w:rsidP="002506F6">
      <w:pPr>
        <w:spacing w:after="240"/>
        <w:rPr>
          <w:szCs w:val="24"/>
        </w:rPr>
      </w:pPr>
      <w:r w:rsidRPr="002506F6">
        <w:rPr>
          <w:szCs w:val="24"/>
        </w:rPr>
        <w:t>Services and software provided by a vendor for the operation, control, monitoring, maintenance, or use of Critical Electric Grid Equipment (CEGE), excluding access specifically allowed by the purchaser for product warranty or support purposes.</w:t>
      </w:r>
    </w:p>
    <w:bookmarkEnd w:id="174"/>
    <w:p w14:paraId="50E09D48" w14:textId="77777777" w:rsidR="00175BB8" w:rsidRPr="002675AF" w:rsidRDefault="00175BB8" w:rsidP="00175BB8">
      <w:pPr>
        <w:pStyle w:val="H2"/>
        <w:ind w:left="907" w:hanging="907"/>
        <w:rPr>
          <w:b/>
        </w:rPr>
      </w:pPr>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5"/>
      <w:bookmarkEnd w:id="176"/>
      <w:bookmarkEnd w:id="177"/>
    </w:p>
    <w:p w14:paraId="7D107FB6" w14:textId="72B3B7C3" w:rsidR="005D1947" w:rsidRDefault="00A442A0">
      <w:pPr>
        <w:pStyle w:val="BodyText"/>
      </w:pPr>
      <w:bookmarkStart w:id="178"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9" w:name="_Toc118224424"/>
            <w:bookmarkStart w:id="180" w:name="_Toc118909492"/>
            <w:bookmarkStart w:id="181"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2" w:name="_Toc73847720"/>
            <w:bookmarkStart w:id="183" w:name="_Toc118224425"/>
            <w:bookmarkStart w:id="184" w:name="_Toc118909493"/>
            <w:bookmarkStart w:id="185" w:name="_Toc205190301"/>
            <w:bookmarkEnd w:id="169"/>
            <w:bookmarkEnd w:id="178"/>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4" w:name="D"/>
      <w:bookmarkEnd w:id="194"/>
      <w:r>
        <w:rPr>
          <w:b/>
          <w:sz w:val="40"/>
          <w:szCs w:val="40"/>
        </w:rPr>
        <w:t>D</w:t>
      </w:r>
    </w:p>
    <w:p w14:paraId="6371DC2F" w14:textId="77777777" w:rsidR="00B75513" w:rsidRDefault="00E81E00">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lastRenderedPageBreak/>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w:t>
      </w:r>
      <w:proofErr w:type="gramStart"/>
      <w:r>
        <w:t>in order to</w:t>
      </w:r>
      <w:proofErr w:type="gramEnd"/>
      <w:r>
        <w:t xml:space="preserve">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lastRenderedPageBreak/>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7" w:name="_Toc73847734"/>
            <w:bookmarkStart w:id="228" w:name="_Toc118224441"/>
            <w:bookmarkStart w:id="229" w:name="_Toc118909509"/>
            <w:bookmarkStart w:id="230"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lastRenderedPageBreak/>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Tie (DC Tie)</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lastRenderedPageBreak/>
        <w:t>Distributed Generation (DG)</w:t>
      </w:r>
    </w:p>
    <w:p w14:paraId="4B959CFF" w14:textId="142FFC51"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w:t>
      </w:r>
      <w:proofErr w:type="gramStart"/>
      <w:r>
        <w:t>take into account</w:t>
      </w:r>
      <w:proofErr w:type="gramEnd"/>
      <w:r>
        <w:t xml:space="preserve">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lastRenderedPageBreak/>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4" w:name="E"/>
      <w:bookmarkEnd w:id="284"/>
    </w:p>
    <w:p w14:paraId="277AE507" w14:textId="77777777" w:rsidR="00B75513" w:rsidRDefault="00E81E00">
      <w:pPr>
        <w:pStyle w:val="ListIntroduction"/>
        <w:keepNext w:val="0"/>
      </w:pPr>
      <w:hyperlink w:anchor="_DEFINITIONS" w:history="1">
        <w:r w:rsidR="00842B9A">
          <w:rPr>
            <w:rStyle w:val="Hyperlink"/>
          </w:rPr>
          <w:t>[Back to Top]</w:t>
        </w:r>
      </w:hyperlink>
    </w:p>
    <w:p w14:paraId="50CB1DCA" w14:textId="77777777" w:rsidR="00BE0BB0" w:rsidRPr="00D5497B" w:rsidRDefault="00BE0BB0" w:rsidP="00BE0BB0">
      <w:pPr>
        <w:pStyle w:val="H2"/>
        <w:rPr>
          <w:b/>
        </w:rPr>
      </w:pPr>
      <w:bookmarkStart w:id="285" w:name="_Hlk178063324"/>
      <w:bookmarkStart w:id="286" w:name="_Toc80425508"/>
      <w:bookmarkStart w:id="287" w:name="_Toc118224456"/>
      <w:bookmarkStart w:id="288" w:name="_Toc118909524"/>
      <w:bookmarkStart w:id="289" w:name="_Toc205190334"/>
      <w:bookmarkStart w:id="290" w:name="_Toc73847751"/>
      <w:r w:rsidRPr="00BE0BB0">
        <w:rPr>
          <w:b/>
        </w:rPr>
        <w:t>Effective Load Carrying Capability (ELCC)</w:t>
      </w:r>
    </w:p>
    <w:p w14:paraId="3864167E" w14:textId="77777777" w:rsidR="00336A98" w:rsidRDefault="00BE0BB0" w:rsidP="00336A98">
      <w:pPr>
        <w:pStyle w:val="BodyText"/>
        <w:rPr>
          <w:iCs w:val="0"/>
        </w:rPr>
      </w:pPr>
      <w:r w:rsidRPr="009C2268">
        <w:t xml:space="preserve">Represents the aggregate average </w:t>
      </w:r>
      <w:r w:rsidR="00E47383">
        <w:t>M</w:t>
      </w:r>
      <w:r w:rsidRPr="009C2268">
        <w:t xml:space="preserve">egawatt (MW) contribution of a resource class in maintaining a target level of </w:t>
      </w:r>
      <w:r w:rsidRPr="00D8017E">
        <w:t>resource</w:t>
      </w:r>
      <w:r w:rsidRPr="009C2268">
        <w:t xml:space="preserve"> reliability for a given </w:t>
      </w:r>
      <w:r w:rsidRPr="00D8017E">
        <w:t>resource</w:t>
      </w:r>
      <w:r w:rsidRPr="009C2268">
        <w:t xml:space="preserve"> portfolio and forecast period. </w:t>
      </w:r>
      <w:r>
        <w:t xml:space="preserve"> </w:t>
      </w:r>
      <w:r w:rsidRPr="009C2268">
        <w:t>ELCCs are developed using Monte Carlo system simulation techniques to capture a wide range of system reliability outcomes.</w:t>
      </w:r>
      <w:r>
        <w:t xml:space="preserve">  </w:t>
      </w:r>
      <w:r w:rsidRPr="009C2268">
        <w:t xml:space="preserve">ELCC derivation starts with a base portfolio constructed to achieve the target reliability level. </w:t>
      </w:r>
      <w:r>
        <w:t xml:space="preserve"> </w:t>
      </w:r>
      <w:r w:rsidRPr="009C2268">
        <w:t xml:space="preserve">The resource class (e.g., wind) is removed and substituted with capacity that has perfect availability until the target reliability level is again reached. </w:t>
      </w:r>
      <w:r>
        <w:t xml:space="preserve"> </w:t>
      </w:r>
      <w:r w:rsidRPr="009C2268">
        <w:t>The ELCC is the amount of perfect capacity added divided by the amount of the resource class capacity removed, expressed as a</w:t>
      </w:r>
      <w:r>
        <w:t xml:space="preserve"> percentage.</w:t>
      </w:r>
      <w:bookmarkEnd w:id="285"/>
    </w:p>
    <w:p w14:paraId="30B0FA89" w14:textId="262D7166" w:rsidR="005D1947" w:rsidRPr="00D5497B" w:rsidRDefault="00A442A0">
      <w:pPr>
        <w:pStyle w:val="H2"/>
        <w:rPr>
          <w:b/>
        </w:rPr>
      </w:pPr>
      <w:r w:rsidRPr="00D5497B">
        <w:rPr>
          <w:b/>
        </w:rPr>
        <w:t>Electric Cooperative</w:t>
      </w:r>
      <w:bookmarkEnd w:id="286"/>
      <w:bookmarkEnd w:id="287"/>
      <w:bookmarkEnd w:id="288"/>
      <w:r w:rsidRPr="00D5497B">
        <w:rPr>
          <w:b/>
        </w:rPr>
        <w:t xml:space="preserve"> (EC)</w:t>
      </w:r>
      <w:bookmarkEnd w:id="289"/>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1" w:name="_Toc118224457"/>
      <w:bookmarkStart w:id="292" w:name="_Toc118909525"/>
      <w:bookmarkStart w:id="293" w:name="_Toc205190335"/>
      <w:r w:rsidRPr="00D5497B">
        <w:rPr>
          <w:b/>
        </w:rPr>
        <w:lastRenderedPageBreak/>
        <w:t>Electric Reliability Council of Texas, Inc. (ERCOT)</w:t>
      </w:r>
      <w:bookmarkEnd w:id="290"/>
      <w:bookmarkEnd w:id="291"/>
      <w:bookmarkEnd w:id="292"/>
      <w:bookmarkEnd w:id="293"/>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4" w:name="_Toc73847752"/>
      <w:bookmarkStart w:id="295" w:name="_Toc80425510"/>
      <w:bookmarkStart w:id="296" w:name="_Toc118224458"/>
      <w:bookmarkStart w:id="297" w:name="_Toc118909526"/>
      <w:bookmarkStart w:id="298" w:name="_Toc205190336"/>
      <w:bookmarkStart w:id="299"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4"/>
      <w:bookmarkEnd w:id="295"/>
      <w:bookmarkEnd w:id="296"/>
      <w:bookmarkEnd w:id="297"/>
      <w:bookmarkEnd w:id="298"/>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300" w:name="_Toc118224459"/>
      <w:bookmarkStart w:id="301" w:name="_Toc118909527"/>
      <w:bookmarkStart w:id="302" w:name="_Toc205190337"/>
      <w:bookmarkStart w:id="303" w:name="ElectricalBus"/>
      <w:r w:rsidRPr="00D5497B">
        <w:rPr>
          <w:b/>
        </w:rPr>
        <w:t>Electrical Bus</w:t>
      </w:r>
      <w:bookmarkEnd w:id="300"/>
      <w:bookmarkEnd w:id="301"/>
      <w:bookmarkEnd w:id="302"/>
      <w:bookmarkEnd w:id="303"/>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w:t>
            </w:r>
            <w:r w:rsidR="00A14A15">
              <w:rPr>
                <w:b/>
                <w:i/>
              </w:rPr>
              <w:lastRenderedPageBreak/>
              <w:t>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lastRenderedPageBreak/>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4" w:name="_Toc73847754"/>
      <w:bookmarkStart w:id="305" w:name="_Toc80425512"/>
      <w:bookmarkStart w:id="306" w:name="_Toc118224460"/>
      <w:bookmarkStart w:id="307" w:name="_Toc118909528"/>
      <w:bookmarkStart w:id="308" w:name="_Toc205190338"/>
      <w:bookmarkStart w:id="309" w:name="_Toc73847756"/>
      <w:bookmarkEnd w:id="299"/>
      <w:r w:rsidRPr="00D5497B">
        <w:rPr>
          <w:b/>
        </w:rPr>
        <w:t>Eligible Transmission Service Customer</w:t>
      </w:r>
      <w:bookmarkEnd w:id="304"/>
      <w:bookmarkEnd w:id="305"/>
      <w:bookmarkEnd w:id="306"/>
      <w:bookmarkEnd w:id="307"/>
      <w:bookmarkEnd w:id="308"/>
    </w:p>
    <w:p w14:paraId="3AA5F760" w14:textId="77777777" w:rsidR="005D1947" w:rsidRDefault="00A442A0">
      <w:pPr>
        <w:pStyle w:val="BodyText"/>
      </w:pPr>
      <w:bookmarkStart w:id="310" w:name="_Toc73847755"/>
      <w:bookmarkStart w:id="311"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2" w:name="_Toc118224461"/>
      <w:bookmarkStart w:id="313" w:name="_Toc118909529"/>
      <w:bookmarkStart w:id="314" w:name="_Toc205190339"/>
      <w:r w:rsidRPr="00D5497B">
        <w:rPr>
          <w:b/>
        </w:rPr>
        <w:t>Emergency Base Point</w:t>
      </w:r>
      <w:bookmarkEnd w:id="310"/>
      <w:bookmarkEnd w:id="311"/>
      <w:bookmarkEnd w:id="312"/>
      <w:bookmarkEnd w:id="313"/>
      <w:bookmarkEnd w:id="314"/>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5" w:name="_Toc80425514"/>
      <w:bookmarkStart w:id="316" w:name="_Toc118224462"/>
      <w:bookmarkStart w:id="317" w:name="_Toc118909530"/>
      <w:bookmarkStart w:id="318" w:name="_Toc205190340"/>
      <w:bookmarkStart w:id="319" w:name="_Toc73847758"/>
      <w:bookmarkEnd w:id="309"/>
      <w:r w:rsidRPr="00D5497B">
        <w:rPr>
          <w:b/>
        </w:rPr>
        <w:t>Emergency Condition</w:t>
      </w:r>
      <w:bookmarkEnd w:id="315"/>
      <w:bookmarkEnd w:id="316"/>
      <w:bookmarkEnd w:id="317"/>
      <w:bookmarkEnd w:id="318"/>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20" w:name="_Toc118224464"/>
      <w:bookmarkStart w:id="321" w:name="_Toc118909532"/>
      <w:bookmarkStart w:id="322" w:name="_Toc73847760"/>
      <w:bookmarkEnd w:id="319"/>
    </w:p>
    <w:p w14:paraId="045A06B9" w14:textId="77777777" w:rsidR="009C65F0" w:rsidRDefault="005B1C6C">
      <w:pPr>
        <w:pStyle w:val="H2"/>
        <w:ind w:left="907" w:hanging="907"/>
        <w:rPr>
          <w:b/>
        </w:rPr>
      </w:pPr>
      <w:bookmarkStart w:id="323"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14:paraId="021B2143" w14:textId="77777777" w:rsidTr="00C35A18">
        <w:trPr>
          <w:trHeight w:val="476"/>
        </w:trPr>
        <w:tc>
          <w:tcPr>
            <w:tcW w:w="9350" w:type="dxa"/>
            <w:shd w:val="clear" w:color="auto" w:fill="E0E0E0"/>
          </w:tcPr>
          <w:p w14:paraId="7DA69A6C" w14:textId="19AFC277" w:rsidR="00C35A18" w:rsidRPr="00625E9F" w:rsidRDefault="00C35A18" w:rsidP="00955AF8">
            <w:pPr>
              <w:pStyle w:val="Instructions"/>
              <w:spacing w:before="120"/>
              <w:rPr>
                <w:lang w:val="en-US" w:eastAsia="en-US"/>
              </w:rPr>
            </w:pPr>
            <w:r>
              <w:rPr>
                <w:lang w:val="en-US" w:eastAsia="en-US"/>
              </w:rPr>
              <w:lastRenderedPageBreak/>
              <w:t>[NPRR1216</w:t>
            </w:r>
            <w:r w:rsidRPr="00625E9F">
              <w:rPr>
                <w:lang w:val="en-US" w:eastAsia="en-US"/>
              </w:rPr>
              <w:t xml:space="preserve">: </w:t>
            </w:r>
            <w:r>
              <w:rPr>
                <w:lang w:val="en-US" w:eastAsia="en-US"/>
              </w:rPr>
              <w:t xml:space="preserve"> </w:t>
            </w:r>
            <w:r w:rsidRPr="00625E9F">
              <w:rPr>
                <w:lang w:val="en-US" w:eastAsia="en-US"/>
              </w:rPr>
              <w:t>Insert the following definition “</w:t>
            </w:r>
            <w:r w:rsidRPr="00C35A18">
              <w:rPr>
                <w:lang w:val="en-US" w:eastAsia="en-US"/>
              </w:rPr>
              <w:t>Emergency Offer Cap (ECAP) Effective Period</w:t>
            </w:r>
            <w:r w:rsidRPr="00625E9F">
              <w:rPr>
                <w:lang w:val="en-US" w:eastAsia="en-US"/>
              </w:rPr>
              <w:t>” upon system implementation:]</w:t>
            </w:r>
          </w:p>
          <w:p w14:paraId="0DB3F556" w14:textId="77777777" w:rsidR="00C35A18" w:rsidRPr="00CF7EAF" w:rsidRDefault="00C35A18" w:rsidP="00C35A18">
            <w:pPr>
              <w:spacing w:after="240"/>
              <w:rPr>
                <w:b/>
              </w:rPr>
            </w:pPr>
            <w:bookmarkStart w:id="324" w:name="_Hlk164150593"/>
            <w:r w:rsidRPr="00CF7EAF">
              <w:rPr>
                <w:b/>
              </w:rPr>
              <w:t xml:space="preserve">Emergency Offer Cap </w:t>
            </w:r>
            <w:bookmarkEnd w:id="324"/>
            <w:r w:rsidRPr="00CF7EAF">
              <w:rPr>
                <w:b/>
              </w:rPr>
              <w:t>(ECAP) Effective Period</w:t>
            </w:r>
          </w:p>
          <w:p w14:paraId="56D69B92" w14:textId="74486D2B" w:rsidR="00C35A18" w:rsidRPr="00E7227D" w:rsidRDefault="00C35A18" w:rsidP="00C35A18">
            <w:pPr>
              <w:spacing w:after="240"/>
            </w:pPr>
            <w:r w:rsidRPr="00CF7EAF">
              <w:t xml:space="preserve">The period during which the System-Wide Offer Cap (SWCAP) is set to the ECAP. </w:t>
            </w:r>
          </w:p>
        </w:tc>
      </w:tr>
    </w:tbl>
    <w:p w14:paraId="63A2F617" w14:textId="77777777" w:rsidR="00C35A18" w:rsidRDefault="00C35A18"/>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rsidRPr="00CF7EAF" w14:paraId="6A0625CD" w14:textId="77777777" w:rsidTr="00C35A18">
        <w:trPr>
          <w:trHeight w:val="476"/>
        </w:trPr>
        <w:tc>
          <w:tcPr>
            <w:tcW w:w="9350" w:type="dxa"/>
            <w:tcBorders>
              <w:left w:val="single" w:sz="4" w:space="0" w:color="auto"/>
              <w:bottom w:val="single" w:sz="4" w:space="0" w:color="auto"/>
              <w:right w:val="single" w:sz="4" w:space="0" w:color="auto"/>
            </w:tcBorders>
            <w:shd w:val="clear" w:color="auto" w:fill="E0E0E0"/>
          </w:tcPr>
          <w:p w14:paraId="7CB57D0A" w14:textId="789C6C5C" w:rsidR="00C35A18" w:rsidRPr="00C35A18" w:rsidRDefault="00C35A18" w:rsidP="00C35A18">
            <w:pPr>
              <w:pStyle w:val="Instructions"/>
              <w:rPr>
                <w:lang w:val="en-US" w:eastAsia="en-US"/>
              </w:rPr>
            </w:pPr>
            <w:r w:rsidRPr="00C35A18">
              <w:rPr>
                <w:lang w:val="en-US" w:eastAsia="en-US"/>
              </w:rPr>
              <w:t xml:space="preserve">[NPRR1216:  Replace the </w:t>
            </w:r>
            <w:r w:rsidR="00A57C3A">
              <w:rPr>
                <w:lang w:val="en-US" w:eastAsia="en-US"/>
              </w:rPr>
              <w:t xml:space="preserve">above </w:t>
            </w:r>
            <w:r w:rsidRPr="00C35A18">
              <w:rPr>
                <w:lang w:val="en-US" w:eastAsia="en-US"/>
              </w:rPr>
              <w:t>definition “Emergency Offer Cap (ECAP) Effective Period” with the following upon system implementation of the Real-Time Co-Optimization (RTC) project:]</w:t>
            </w:r>
          </w:p>
          <w:p w14:paraId="598AEEFA" w14:textId="77777777" w:rsidR="00C35A18" w:rsidRPr="00C35A18" w:rsidRDefault="00C35A18" w:rsidP="00C35A18">
            <w:pPr>
              <w:spacing w:after="240"/>
              <w:rPr>
                <w:b/>
              </w:rPr>
            </w:pPr>
            <w:r w:rsidRPr="00C35A18">
              <w:rPr>
                <w:b/>
              </w:rPr>
              <w:t>Emergency Offer Cap (ECAP) Effective Period</w:t>
            </w:r>
          </w:p>
          <w:p w14:paraId="41FEE0E2" w14:textId="77777777" w:rsidR="00C35A18" w:rsidRPr="00C35A18" w:rsidRDefault="00C35A18" w:rsidP="00C35A18">
            <w:pPr>
              <w:spacing w:after="240"/>
            </w:pPr>
            <w:r w:rsidRPr="00C35A18">
              <w:t xml:space="preserve">The period during which the Day-Ahead System-Wide Offer Cap (DASWCAP) is set to the ECAP. </w:t>
            </w:r>
          </w:p>
        </w:tc>
      </w:tr>
    </w:tbl>
    <w:p w14:paraId="52F28925" w14:textId="6B89963D" w:rsidR="005D1947" w:rsidRPr="00D5497B" w:rsidRDefault="00A442A0">
      <w:pPr>
        <w:pStyle w:val="H2"/>
        <w:rPr>
          <w:b/>
        </w:rPr>
      </w:pPr>
      <w:r w:rsidRPr="00D5497B">
        <w:rPr>
          <w:b/>
        </w:rPr>
        <w:t>Emergency Ramp Rate</w:t>
      </w:r>
      <w:bookmarkEnd w:id="320"/>
      <w:bookmarkEnd w:id="321"/>
      <w:bookmarkEnd w:id="323"/>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5" w:name="_Toc80425519"/>
            <w:bookmarkStart w:id="326" w:name="_Toc118224465"/>
            <w:bookmarkStart w:id="327" w:name="_Toc118909533"/>
            <w:bookmarkStart w:id="328" w:name="_Toc205190348"/>
            <w:bookmarkStart w:id="329" w:name="_Toc73847761"/>
            <w:bookmarkEnd w:id="322"/>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5"/>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6"/>
      <w:bookmarkEnd w:id="327"/>
      <w:bookmarkEnd w:id="328"/>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lastRenderedPageBreak/>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 xml:space="preserve">The designation by a QSE of one or more ERS Resources to meet some or </w:t>
      </w:r>
      <w:proofErr w:type="gramStart"/>
      <w:r w:rsidRPr="00AF7CAF">
        <w:t>all of</w:t>
      </w:r>
      <w:proofErr w:type="gramEnd"/>
      <w:r w:rsidRPr="00AF7CAF">
        <w:t xml:space="preserve">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30" w:name="_Toc205190349"/>
      <w:bookmarkStart w:id="331" w:name="_Toc80425523"/>
      <w:bookmarkStart w:id="332" w:name="_Toc118224466"/>
      <w:bookmarkStart w:id="333" w:name="_Toc118909534"/>
      <w:bookmarkStart w:id="334" w:name="_Toc73847762"/>
      <w:bookmarkEnd w:id="329"/>
      <w:r w:rsidRPr="00D5497B">
        <w:rPr>
          <w:b/>
        </w:rPr>
        <w:t>Energy Imbalance Service</w:t>
      </w:r>
      <w:bookmarkEnd w:id="330"/>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5" w:name="_Toc205190350"/>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31"/>
      <w:bookmarkEnd w:id="332"/>
      <w:bookmarkEnd w:id="333"/>
      <w:bookmarkEnd w:id="335"/>
    </w:p>
    <w:p w14:paraId="54EE8108" w14:textId="77777777" w:rsidR="005D1947" w:rsidRDefault="00A442A0">
      <w:pPr>
        <w:pStyle w:val="BodyText"/>
      </w:pPr>
      <w:r>
        <w:t xml:space="preserve">A proposal to sell energy at a Settlement Point at a </w:t>
      </w:r>
      <w:bookmarkStart w:id="336" w:name="OLE_LINK1"/>
      <w:bookmarkStart w:id="337" w:name="OLE_LINK2"/>
      <w:r>
        <w:t>monotonically</w:t>
      </w:r>
      <w:bookmarkEnd w:id="336"/>
      <w:bookmarkEnd w:id="337"/>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8" w:name="_Toc118224467"/>
      <w:bookmarkStart w:id="339" w:name="_Toc118909535"/>
      <w:bookmarkStart w:id="340" w:name="_Toc205190351"/>
      <w:bookmarkStart w:id="341" w:name="_Toc73847766"/>
      <w:bookmarkEnd w:id="334"/>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8"/>
      <w:bookmarkEnd w:id="339"/>
      <w:bookmarkEnd w:id="340"/>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2" w:name="_Toc118224468"/>
      <w:bookmarkStart w:id="343" w:name="_Toc118909536"/>
      <w:bookmarkStart w:id="344" w:name="_Toc205190352"/>
      <w:r w:rsidRPr="00D5497B">
        <w:rPr>
          <w:b/>
        </w:rPr>
        <w:t>Entity</w:t>
      </w:r>
      <w:bookmarkEnd w:id="341"/>
      <w:bookmarkEnd w:id="342"/>
      <w:bookmarkEnd w:id="343"/>
      <w:bookmarkEnd w:id="344"/>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lastRenderedPageBreak/>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5" w:name="_Toc80425533"/>
      <w:bookmarkStart w:id="346" w:name="_Toc118224473"/>
      <w:bookmarkStart w:id="347" w:name="_Toc118909541"/>
      <w:bookmarkStart w:id="348" w:name="_Toc205190357"/>
      <w:bookmarkStart w:id="349"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11335" w:rsidRPr="004B32CF" w14:paraId="58D09351" w14:textId="77777777" w:rsidTr="00211335">
        <w:trPr>
          <w:trHeight w:val="386"/>
        </w:trPr>
        <w:tc>
          <w:tcPr>
            <w:tcW w:w="9350" w:type="dxa"/>
            <w:shd w:val="pct12" w:color="auto" w:fill="auto"/>
          </w:tcPr>
          <w:p w14:paraId="1AF1B650" w14:textId="01E714C1" w:rsidR="00211335" w:rsidRPr="004B32CF" w:rsidRDefault="00211335" w:rsidP="0061655D">
            <w:pPr>
              <w:spacing w:before="120" w:after="240"/>
              <w:rPr>
                <w:b/>
                <w:i/>
                <w:iCs/>
              </w:rPr>
            </w:pPr>
            <w:r>
              <w:rPr>
                <w:b/>
                <w:i/>
                <w:iCs/>
              </w:rPr>
              <w:t>[NPRR1183</w:t>
            </w:r>
            <w:r w:rsidRPr="004B32CF">
              <w:rPr>
                <w:b/>
                <w:i/>
                <w:iCs/>
              </w:rPr>
              <w:t>:  Replace the above definition “</w:t>
            </w:r>
            <w:r w:rsidRPr="00211335">
              <w:rPr>
                <w:b/>
                <w:i/>
                <w:iCs/>
              </w:rPr>
              <w:t>ERCOT Critical Energy Infrastructure Information (ECEII)</w:t>
            </w:r>
            <w:r w:rsidRPr="004B32CF">
              <w:rPr>
                <w:b/>
                <w:i/>
                <w:iCs/>
              </w:rPr>
              <w:t>” with the following upon system implementation:]</w:t>
            </w:r>
          </w:p>
          <w:p w14:paraId="3055913B" w14:textId="77777777" w:rsidR="00211335" w:rsidRPr="00975A01" w:rsidRDefault="00211335" w:rsidP="00211335">
            <w:pPr>
              <w:keepNext/>
              <w:tabs>
                <w:tab w:val="left" w:pos="900"/>
              </w:tabs>
              <w:spacing w:after="240"/>
              <w:ind w:left="907" w:hanging="907"/>
              <w:outlineLvl w:val="1"/>
              <w:rPr>
                <w:b/>
                <w:szCs w:val="24"/>
              </w:rPr>
            </w:pPr>
            <w:r w:rsidRPr="00975A01">
              <w:rPr>
                <w:b/>
                <w:szCs w:val="24"/>
              </w:rPr>
              <w:t xml:space="preserve">ERCOT Critical Energy Infrastructure Information (ECEII) </w:t>
            </w:r>
          </w:p>
          <w:p w14:paraId="5DB15548" w14:textId="77777777" w:rsidR="00211335" w:rsidRPr="00975A01" w:rsidRDefault="00211335" w:rsidP="00211335">
            <w:pPr>
              <w:spacing w:after="240"/>
              <w:rPr>
                <w:szCs w:val="24"/>
              </w:rPr>
            </w:pPr>
            <w:r w:rsidRPr="00975A01">
              <w:rPr>
                <w:szCs w:val="24"/>
              </w:rPr>
              <w:t xml:space="preserve">Specific engineering, vulnerability, or detailed design information concerning proposed or existing ERCOT System Infrastructure that: </w:t>
            </w:r>
          </w:p>
          <w:p w14:paraId="7721849E" w14:textId="77777777" w:rsidR="00211335" w:rsidRPr="00975A01" w:rsidRDefault="00211335" w:rsidP="00211335">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5BE99CF4" w14:textId="77777777" w:rsidR="00211335" w:rsidRPr="00975A01" w:rsidRDefault="00211335" w:rsidP="00211335">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C372AB6" w14:textId="6EA6A677" w:rsidR="00211335" w:rsidRDefault="00211335" w:rsidP="00211335">
            <w:pPr>
              <w:spacing w:after="240"/>
              <w:ind w:left="720" w:hanging="720"/>
              <w:rPr>
                <w:szCs w:val="24"/>
              </w:rPr>
            </w:pPr>
            <w:r w:rsidRPr="00975A01">
              <w:rPr>
                <w:szCs w:val="24"/>
              </w:rPr>
              <w:t>(c)</w:t>
            </w:r>
            <w:r w:rsidRPr="00975A01">
              <w:rPr>
                <w:szCs w:val="24"/>
              </w:rPr>
              <w:tab/>
            </w:r>
            <w:r>
              <w:rPr>
                <w:szCs w:val="24"/>
              </w:rPr>
              <w:t>H</w:t>
            </w:r>
            <w:r w:rsidRPr="00975A01">
              <w:rPr>
                <w:szCs w:val="24"/>
              </w:rPr>
              <w:t>as not been disclosed to the public</w:t>
            </w:r>
            <w:r w:rsidRPr="00975A01">
              <w:t xml:space="preserve"> through lawful means</w:t>
            </w:r>
            <w:r w:rsidRPr="00975A01">
              <w:rPr>
                <w:szCs w:val="24"/>
              </w:rPr>
              <w:t>; and</w:t>
            </w:r>
          </w:p>
          <w:p w14:paraId="0678869B" w14:textId="7B84C2F5" w:rsidR="00211335" w:rsidRPr="00211335" w:rsidRDefault="00211335" w:rsidP="00211335">
            <w:pPr>
              <w:spacing w:after="240"/>
              <w:ind w:left="720" w:hanging="720"/>
              <w:rPr>
                <w:szCs w:val="24"/>
              </w:rPr>
            </w:pPr>
            <w:r w:rsidRPr="00975A01">
              <w:rPr>
                <w:szCs w:val="24"/>
              </w:rPr>
              <w:t>(d)</w:t>
            </w:r>
            <w:r w:rsidRPr="00975A01">
              <w:rPr>
                <w:szCs w:val="24"/>
              </w:rPr>
              <w:tab/>
              <w:t>Does not simply give the general location of the ERCOT System Infrastructure</w:t>
            </w:r>
            <w:r>
              <w:rPr>
                <w:szCs w:val="24"/>
              </w:rPr>
              <w:t>.</w:t>
            </w:r>
          </w:p>
        </w:tc>
      </w:tr>
    </w:tbl>
    <w:p w14:paraId="63A4EF0B" w14:textId="24358DCC" w:rsidR="005D1947" w:rsidRPr="00D5497B" w:rsidRDefault="00A442A0" w:rsidP="007E3B1B">
      <w:pPr>
        <w:pStyle w:val="H2"/>
        <w:spacing w:before="480"/>
        <w:rPr>
          <w:b/>
        </w:rPr>
      </w:pPr>
      <w:r w:rsidRPr="00D5497B">
        <w:rPr>
          <w:b/>
        </w:rPr>
        <w:t>ERCOT-Polled Settlement (EPS) Meter</w:t>
      </w:r>
      <w:bookmarkEnd w:id="345"/>
      <w:bookmarkEnd w:id="346"/>
      <w:bookmarkEnd w:id="347"/>
      <w:bookmarkEnd w:id="348"/>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50" w:name="_Toc80425534"/>
      <w:bookmarkStart w:id="351" w:name="_Toc118224474"/>
      <w:bookmarkStart w:id="352" w:name="_Toc118909542"/>
      <w:bookmarkStart w:id="353" w:name="_Toc205190358"/>
      <w:bookmarkStart w:id="354" w:name="_Toc73847772"/>
      <w:bookmarkEnd w:id="349"/>
      <w:r w:rsidRPr="00D5497B">
        <w:rPr>
          <w:b/>
        </w:rPr>
        <w:t>ERCOT Region</w:t>
      </w:r>
      <w:bookmarkEnd w:id="350"/>
      <w:bookmarkEnd w:id="351"/>
      <w:bookmarkEnd w:id="352"/>
      <w:bookmarkEnd w:id="353"/>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5" w:name="_Toc80425536"/>
      <w:bookmarkStart w:id="356" w:name="_Toc118224475"/>
      <w:bookmarkStart w:id="357" w:name="_Toc118909543"/>
      <w:bookmarkStart w:id="358" w:name="_Toc205190359"/>
      <w:bookmarkStart w:id="359" w:name="_Toc73847774"/>
      <w:bookmarkEnd w:id="354"/>
      <w:r w:rsidRPr="00D5497B">
        <w:rPr>
          <w:b/>
        </w:rPr>
        <w:lastRenderedPageBreak/>
        <w:t>ERCOT System</w:t>
      </w:r>
      <w:bookmarkEnd w:id="355"/>
      <w:bookmarkEnd w:id="356"/>
      <w:bookmarkEnd w:id="357"/>
      <w:bookmarkEnd w:id="358"/>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60" w:name="_Toc80425537"/>
      <w:bookmarkStart w:id="361" w:name="_Toc118224476"/>
      <w:bookmarkStart w:id="362" w:name="_Toc118909544"/>
      <w:bookmarkStart w:id="363" w:name="_Toc205190360"/>
      <w:bookmarkStart w:id="364" w:name="_Toc73847775"/>
      <w:bookmarkEnd w:id="359"/>
      <w:r w:rsidRPr="00D5497B">
        <w:rPr>
          <w:b/>
        </w:rPr>
        <w:t xml:space="preserve">ERCOT System </w:t>
      </w:r>
      <w:bookmarkEnd w:id="360"/>
      <w:r w:rsidRPr="00D5497B">
        <w:rPr>
          <w:b/>
        </w:rPr>
        <w:t>Demand</w:t>
      </w:r>
      <w:bookmarkEnd w:id="361"/>
      <w:bookmarkEnd w:id="362"/>
      <w:bookmarkEnd w:id="363"/>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bookmarkStart w:id="365" w:name="_Hlk164243953"/>
      <w:r w:rsidRPr="00975A01">
        <w:rPr>
          <w:b/>
          <w:szCs w:val="24"/>
        </w:rPr>
        <w:t>ERCOT System Infrastructure</w:t>
      </w:r>
    </w:p>
    <w:p w14:paraId="275B9C48" w14:textId="03AA431C" w:rsidR="00741D12" w:rsidRDefault="00741D12" w:rsidP="00741D12">
      <w:pPr>
        <w:pStyle w:val="BodyText"/>
      </w:pPr>
      <w:r w:rsidRPr="00975A01">
        <w:rPr>
          <w:szCs w:val="24"/>
        </w:rPr>
        <w:t xml:space="preserve">The </w:t>
      </w:r>
      <w:r w:rsidR="002506F6">
        <w:rPr>
          <w:szCs w:val="24"/>
        </w:rPr>
        <w:t>T</w:t>
      </w:r>
      <w:r w:rsidRPr="00975A01">
        <w:rPr>
          <w:szCs w:val="24"/>
        </w:rPr>
        <w:t>ransmission</w:t>
      </w:r>
      <w:r w:rsidR="002506F6">
        <w:rPr>
          <w:szCs w:val="24"/>
        </w:rPr>
        <w:t xml:space="preserve"> Facilities</w:t>
      </w:r>
      <w:r w:rsidRPr="00975A01">
        <w:rPr>
          <w:szCs w:val="24"/>
        </w:rPr>
        <w:t>, distribution</w:t>
      </w:r>
      <w:r w:rsidR="002506F6">
        <w:rPr>
          <w:szCs w:val="24"/>
        </w:rPr>
        <w:t xml:space="preserve"> facilities</w:t>
      </w:r>
      <w:r>
        <w:rPr>
          <w:szCs w:val="24"/>
        </w:rPr>
        <w:t>,</w:t>
      </w:r>
      <w:r w:rsidRPr="00975A01">
        <w:rPr>
          <w:szCs w:val="24"/>
        </w:rPr>
        <w:t xml:space="preserve"> </w:t>
      </w:r>
      <w:r w:rsidR="002506F6" w:rsidRPr="00AC0350">
        <w:t>Resources, Settlement Only Generators (SOGs), and Emergency Response Service (ERS) Resources</w:t>
      </w:r>
      <w:r w:rsidRPr="00975A01">
        <w:rPr>
          <w:szCs w:val="24"/>
        </w:rPr>
        <w:t xml:space="preserve">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6" w:name="_Toc80425538"/>
      <w:bookmarkStart w:id="367" w:name="_Toc118224477"/>
      <w:bookmarkStart w:id="368" w:name="_Toc118909545"/>
      <w:bookmarkStart w:id="369" w:name="_Toc205190361"/>
      <w:bookmarkStart w:id="370" w:name="_Toc73847776"/>
      <w:bookmarkEnd w:id="364"/>
      <w:bookmarkEnd w:id="365"/>
      <w:r w:rsidRPr="00D5497B">
        <w:rPr>
          <w:b/>
        </w:rPr>
        <w:t>ERCOT Transmission Grid</w:t>
      </w:r>
      <w:bookmarkEnd w:id="366"/>
      <w:bookmarkEnd w:id="367"/>
      <w:bookmarkEnd w:id="368"/>
      <w:bookmarkEnd w:id="369"/>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4D6E51B8"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w:t>
      </w:r>
      <w:r w:rsidR="00410E65">
        <w:t>d</w:t>
      </w:r>
      <w:r>
        <w:t>) of Section 4.4.9.4.1, Mitigated Offer Cap.</w:t>
      </w:r>
      <w:r w:rsidR="00B5058F" w:rsidRPr="00B5058F">
        <w:t xml:space="preserve"> </w:t>
      </w:r>
      <w:r w:rsidR="00B5058F">
        <w:t xml:space="preserve"> Starting January 1, 2024, fuel adders shall not include any fuel purchases included in the submission of Exceptional Fuel Costs as described in paragraph (1)(</w:t>
      </w:r>
      <w:r w:rsidR="00410E65">
        <w:t>d</w:t>
      </w:r>
      <w:r w:rsidR="00B5058F">
        <w:t>) of Section 4.4.9.4.1.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71D25" w:rsidRPr="004B32CF" w14:paraId="4535204F" w14:textId="77777777" w:rsidTr="0040456E">
        <w:trPr>
          <w:trHeight w:val="386"/>
        </w:trPr>
        <w:tc>
          <w:tcPr>
            <w:tcW w:w="9350" w:type="dxa"/>
            <w:shd w:val="pct12" w:color="auto" w:fill="auto"/>
          </w:tcPr>
          <w:p w14:paraId="7E769C41" w14:textId="041CABC4" w:rsidR="00271D25" w:rsidRPr="004B32CF" w:rsidRDefault="00271D25" w:rsidP="0040456E">
            <w:pPr>
              <w:spacing w:before="120" w:after="240"/>
              <w:rPr>
                <w:b/>
                <w:i/>
                <w:iCs/>
              </w:rPr>
            </w:pPr>
            <w:r>
              <w:rPr>
                <w:b/>
                <w:i/>
                <w:iCs/>
              </w:rPr>
              <w:t>[NPRR1177</w:t>
            </w:r>
            <w:r w:rsidRPr="004B32CF">
              <w:rPr>
                <w:b/>
                <w:i/>
                <w:iCs/>
              </w:rPr>
              <w:t>:  Replace the above definition “</w:t>
            </w:r>
            <w:r w:rsidRPr="00271D25">
              <w:rPr>
                <w:b/>
                <w:i/>
                <w:iCs/>
              </w:rPr>
              <w:t>Exceptional Fuel Cost</w:t>
            </w:r>
            <w:r w:rsidRPr="004B32CF">
              <w:rPr>
                <w:b/>
                <w:i/>
                <w:iCs/>
              </w:rPr>
              <w:t xml:space="preserve">” with the following </w:t>
            </w:r>
            <w:r>
              <w:rPr>
                <w:b/>
                <w:i/>
                <w:iCs/>
              </w:rPr>
              <w:t>on January 1, 2025</w:t>
            </w:r>
            <w:r w:rsidRPr="004B32CF">
              <w:rPr>
                <w:b/>
                <w:i/>
                <w:iCs/>
              </w:rPr>
              <w:t>]</w:t>
            </w:r>
          </w:p>
          <w:p w14:paraId="36203232" w14:textId="77777777" w:rsidR="00271D25" w:rsidRPr="0087002F" w:rsidRDefault="00271D25" w:rsidP="00271D25">
            <w:pPr>
              <w:keepNext/>
              <w:tabs>
                <w:tab w:val="left" w:pos="900"/>
              </w:tabs>
              <w:spacing w:after="240"/>
              <w:ind w:left="900" w:hanging="900"/>
              <w:outlineLvl w:val="1"/>
              <w:rPr>
                <w:b/>
              </w:rPr>
            </w:pPr>
            <w:r w:rsidRPr="0087002F">
              <w:rPr>
                <w:b/>
              </w:rPr>
              <w:t>Exceptional Fuel Cost</w:t>
            </w:r>
          </w:p>
          <w:p w14:paraId="12398F24" w14:textId="21912074" w:rsidR="00271D25" w:rsidRPr="00C51B65" w:rsidRDefault="00271D25" w:rsidP="00271D25">
            <w:pPr>
              <w:spacing w:after="240"/>
              <w:rPr>
                <w:iCs/>
              </w:rPr>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w:t>
            </w:r>
            <w:r w:rsidR="00410E65">
              <w:t>d</w:t>
            </w:r>
            <w:r>
              <w:t>) of Section 4.4.9.4.1, Mitigated Offer Cap.</w:t>
            </w:r>
            <w:r w:rsidRPr="00B5058F">
              <w:t xml:space="preserve"> </w:t>
            </w:r>
            <w:r>
              <w:t xml:space="preserve"> </w:t>
            </w:r>
          </w:p>
        </w:tc>
      </w:tr>
    </w:tbl>
    <w:p w14:paraId="30A3A0FC" w14:textId="77777777" w:rsidR="00272D57" w:rsidRPr="00C36BCE" w:rsidRDefault="00272D57" w:rsidP="0057374D">
      <w:pPr>
        <w:pStyle w:val="H2"/>
        <w:spacing w:before="480"/>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lastRenderedPageBreak/>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70"/>
    <w:p w14:paraId="754C2A16" w14:textId="77777777" w:rsidR="005D1947" w:rsidRDefault="00A442A0">
      <w:pPr>
        <w:pStyle w:val="BodyText"/>
        <w:keepNext/>
        <w:rPr>
          <w:b/>
          <w:sz w:val="40"/>
          <w:szCs w:val="40"/>
        </w:rPr>
      </w:pPr>
      <w:r>
        <w:rPr>
          <w:b/>
          <w:sz w:val="40"/>
          <w:szCs w:val="40"/>
        </w:rPr>
        <w:t>F</w:t>
      </w:r>
      <w:bookmarkStart w:id="371" w:name="F"/>
      <w:bookmarkEnd w:id="371"/>
      <w:r>
        <w:rPr>
          <w:b/>
          <w:sz w:val="40"/>
          <w:szCs w:val="40"/>
        </w:rPr>
        <w:t xml:space="preserve"> </w:t>
      </w:r>
    </w:p>
    <w:p w14:paraId="05F7976A" w14:textId="77777777" w:rsidR="00B75513" w:rsidRDefault="00E81E00">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72" w:name="_Toc205190362"/>
      <w:bookmarkStart w:id="373" w:name="_Toc118224478"/>
      <w:bookmarkStart w:id="374"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72"/>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5" w:name="_Toc205190363"/>
      <w:r w:rsidRPr="0003648D">
        <w:rPr>
          <w:i w:val="0"/>
        </w:rPr>
        <w:t xml:space="preserve">Fast Frequency Response (FFR) </w:t>
      </w:r>
    </w:p>
    <w:p w14:paraId="41F177E7" w14:textId="1ED610CE"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 xml:space="preserve">a deployment in response to an ERCOT </w:t>
      </w:r>
      <w:r w:rsidR="00133BEE">
        <w:t>Extensible Markup Language (XML) messaging instruction</w:t>
      </w:r>
      <w:r>
        <w:t xml:space="preserve"> within </w:t>
      </w:r>
      <w:r w:rsidR="00133BEE">
        <w:t>ten</w:t>
      </w:r>
      <w:r>
        <w:t xml:space="preserve">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04C1332D"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w:t>
            </w:r>
            <w:r w:rsidR="00133BEE">
              <w:t>Extensible Markup Language (XML) messaging instruction</w:t>
            </w:r>
            <w:r w:rsidRPr="00F56FDD">
              <w:t xml:space="preserve"> within </w:t>
            </w:r>
            <w:r w:rsidR="00133BEE">
              <w:t>ten</w:t>
            </w:r>
            <w:r w:rsidRPr="00F56FDD">
              <w:t xml:space="preserve">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lastRenderedPageBreak/>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3"/>
      <w:bookmarkEnd w:id="374"/>
      <w:bookmarkEnd w:id="375"/>
    </w:p>
    <w:p w14:paraId="5261E8C7" w14:textId="77777777" w:rsidR="005D1947" w:rsidRPr="00D5497B" w:rsidRDefault="00A442A0" w:rsidP="003B158C">
      <w:pPr>
        <w:pStyle w:val="H2"/>
        <w:rPr>
          <w:b/>
        </w:rPr>
      </w:pPr>
      <w:bookmarkStart w:id="376" w:name="_Toc73847780"/>
      <w:bookmarkStart w:id="377" w:name="_Toc80425542"/>
      <w:bookmarkStart w:id="378" w:name="_Toc118224479"/>
      <w:bookmarkStart w:id="379" w:name="_Toc118909547"/>
      <w:bookmarkStart w:id="380" w:name="_Toc205190364"/>
      <w:bookmarkStart w:id="381" w:name="_Toc73847781"/>
      <w:r w:rsidRPr="00D5497B">
        <w:rPr>
          <w:b/>
        </w:rPr>
        <w:t>Financing Person</w:t>
      </w:r>
      <w:bookmarkEnd w:id="376"/>
      <w:bookmarkEnd w:id="377"/>
      <w:bookmarkEnd w:id="378"/>
      <w:bookmarkEnd w:id="379"/>
      <w:bookmarkEnd w:id="380"/>
    </w:p>
    <w:p w14:paraId="35F17B06" w14:textId="19CD27D4" w:rsidR="003B158C" w:rsidRDefault="00A442A0" w:rsidP="003B158C">
      <w:pPr>
        <w:pStyle w:val="BodyText"/>
      </w:pPr>
      <w:bookmarkStart w:id="382" w:name="_Toc80425543"/>
      <w:bookmarkStart w:id="383" w:name="_Toc73847782"/>
      <w:bookmarkEnd w:id="381"/>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84" w:name="_Toc205190365"/>
      <w:bookmarkStart w:id="385" w:name="_Toc118224480"/>
      <w:bookmarkStart w:id="386" w:name="_Toc118909548"/>
      <w:bookmarkEnd w:id="382"/>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w:t>
      </w:r>
      <w:proofErr w:type="gramStart"/>
      <w:r w:rsidRPr="00BF476C">
        <w:rPr>
          <w:color w:val="000000"/>
        </w:rPr>
        <w:t>in order to</w:t>
      </w:r>
      <w:proofErr w:type="gramEnd"/>
      <w:r w:rsidRPr="00BF476C">
        <w:rPr>
          <w:color w:val="000000"/>
        </w:rPr>
        <w:t xml:space="preserve">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t xml:space="preserve">Firm Fuel Supply Service (FFSS) Qualified Contract </w:t>
      </w:r>
    </w:p>
    <w:p w14:paraId="6C7E1F1F" w14:textId="77777777" w:rsidR="00C72847" w:rsidRPr="00DF6D6B" w:rsidRDefault="00C72847" w:rsidP="00C72847">
      <w:pPr>
        <w:spacing w:after="240"/>
      </w:pPr>
      <w:r w:rsidRPr="00DF6D6B">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7"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7"/>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lastRenderedPageBreak/>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w:t>
      </w:r>
      <w:proofErr w:type="gramStart"/>
      <w:r w:rsidR="00DF55F9">
        <w:t>manner in which</w:t>
      </w:r>
      <w:proofErr w:type="gramEnd"/>
      <w:r w:rsidR="00DF55F9">
        <w:t xml:space="preserve"> the FFSS obligation is being provided.</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8"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8"/>
    <w:p w14:paraId="20415287" w14:textId="77777777" w:rsidR="00FD49A6" w:rsidRPr="00DF6D6B" w:rsidRDefault="00FD49A6" w:rsidP="00FD49A6">
      <w:pPr>
        <w:spacing w:before="240" w:after="240"/>
        <w:rPr>
          <w:b/>
        </w:rPr>
      </w:pPr>
      <w:r w:rsidRPr="00DF6D6B">
        <w:rPr>
          <w:b/>
        </w:rPr>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proofErr w:type="spellStart"/>
      <w:r w:rsidRPr="00D5497B">
        <w:rPr>
          <w:b/>
        </w:rPr>
        <w:lastRenderedPageBreak/>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4"/>
    </w:p>
    <w:p w14:paraId="1B9EA2C9" w14:textId="77777777" w:rsidR="005D1947" w:rsidRPr="00D5497B" w:rsidRDefault="00A442A0">
      <w:pPr>
        <w:pStyle w:val="H2"/>
        <w:ind w:left="907" w:hanging="907"/>
        <w:rPr>
          <w:b/>
        </w:rPr>
      </w:pPr>
      <w:bookmarkStart w:id="389" w:name="_Toc205190366"/>
      <w:r w:rsidRPr="00D5497B">
        <w:rPr>
          <w:b/>
        </w:rPr>
        <w:t>Force Majeure Eve</w:t>
      </w:r>
      <w:bookmarkEnd w:id="383"/>
      <w:bookmarkEnd w:id="385"/>
      <w:bookmarkEnd w:id="386"/>
      <w:bookmarkEnd w:id="389"/>
      <w:r w:rsidRPr="00D5497B">
        <w:rPr>
          <w:b/>
        </w:rPr>
        <w:t xml:space="preserve">nt </w:t>
      </w:r>
    </w:p>
    <w:p w14:paraId="2FD7C02A" w14:textId="77777777" w:rsidR="005D1947" w:rsidRDefault="00A442A0">
      <w:pPr>
        <w:pStyle w:val="BodyText"/>
      </w:pPr>
      <w:bookmarkStart w:id="390"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 xml:space="preserve">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w:t>
      </w:r>
      <w:proofErr w:type="spellStart"/>
      <w:r w:rsidRPr="00E7214F">
        <w:rPr>
          <w:szCs w:val="24"/>
        </w:rPr>
        <w:t>PhotoVoltaic</w:t>
      </w:r>
      <w:proofErr w:type="spellEnd"/>
      <w:r w:rsidRPr="00E7214F">
        <w:rPr>
          <w:szCs w:val="24"/>
        </w:rPr>
        <w:t xml:space="preserve">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91" w:name="_Toc118224481"/>
      <w:bookmarkStart w:id="392" w:name="_Toc118909549"/>
      <w:bookmarkStart w:id="393" w:name="_Toc205190367"/>
      <w:bookmarkStart w:id="394" w:name="_Toc73847784"/>
      <w:bookmarkEnd w:id="390"/>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91"/>
      <w:bookmarkEnd w:id="392"/>
      <w:bookmarkEnd w:id="393"/>
    </w:p>
    <w:p w14:paraId="791C28B5" w14:textId="77777777" w:rsidR="00E545B3" w:rsidRDefault="00E545B3" w:rsidP="00E545B3">
      <w:pPr>
        <w:autoSpaceDE w:val="0"/>
        <w:autoSpaceDN w:val="0"/>
        <w:adjustRightInd w:val="0"/>
        <w:spacing w:before="240" w:after="240"/>
        <w:rPr>
          <w:rFonts w:eastAsia="Calibri"/>
          <w:b/>
          <w:bCs/>
        </w:rPr>
      </w:pPr>
      <w:bookmarkStart w:id="395" w:name="_Toc118224482"/>
      <w:bookmarkStart w:id="396" w:name="_Toc118909550"/>
      <w:bookmarkStart w:id="397"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w:t>
      </w:r>
      <w:proofErr w:type="gramStart"/>
      <w:r w:rsidRPr="00934F33">
        <w:t>period of time</w:t>
      </w:r>
      <w:proofErr w:type="gramEnd"/>
      <w:r w:rsidRPr="00934F33">
        <w:t xml:space="preserv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lastRenderedPageBreak/>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w:t>
            </w:r>
            <w:proofErr w:type="gramStart"/>
            <w:r>
              <w:rPr>
                <w:iCs/>
              </w:rPr>
              <w:t>is capable of providing</w:t>
            </w:r>
            <w:proofErr w:type="gramEnd"/>
            <w:r>
              <w:rPr>
                <w:iCs/>
              </w:rPr>
              <w:t xml:space="preserve">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lastRenderedPageBreak/>
        <w:t>Fuel Index</w:t>
      </w:r>
      <w:bookmarkEnd w:id="394"/>
      <w:r w:rsidRPr="00D5497B">
        <w:rPr>
          <w:b/>
        </w:rPr>
        <w:t xml:space="preserve"> Price (FIP)</w:t>
      </w:r>
      <w:bookmarkEnd w:id="395"/>
      <w:bookmarkEnd w:id="396"/>
      <w:bookmarkEnd w:id="397"/>
    </w:p>
    <w:p w14:paraId="07716D9F" w14:textId="77777777" w:rsidR="00D31B68" w:rsidRDefault="00D31B68" w:rsidP="00D31B68">
      <w:pPr>
        <w:pStyle w:val="BodyText"/>
      </w:pPr>
      <w:bookmarkStart w:id="398"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w:t>
      </w:r>
      <w:proofErr w:type="gramStart"/>
      <w:r>
        <w:t>In the event that</w:t>
      </w:r>
      <w:proofErr w:type="gramEnd"/>
      <w:r>
        <w:t xml:space="preserve">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9" w:name="_Toc118224483"/>
      <w:bookmarkStart w:id="400" w:name="_Toc118909551"/>
      <w:bookmarkStart w:id="401" w:name="_Toc205190369"/>
      <w:bookmarkEnd w:id="398"/>
      <w:r w:rsidRPr="00D5497B">
        <w:rPr>
          <w:b/>
        </w:rPr>
        <w:t>Fuel Oil Price (FOP)</w:t>
      </w:r>
      <w:bookmarkEnd w:id="399"/>
      <w:bookmarkEnd w:id="400"/>
      <w:bookmarkEnd w:id="401"/>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lastRenderedPageBreak/>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402" w:name="G"/>
      <w:bookmarkEnd w:id="402"/>
    </w:p>
    <w:p w14:paraId="6BBF2125" w14:textId="77777777" w:rsidR="00B75513" w:rsidRDefault="00E81E00">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403" w:name="_Toc73847785"/>
      <w:bookmarkStart w:id="404" w:name="_Toc80425548"/>
      <w:bookmarkStart w:id="405" w:name="_Toc118224484"/>
      <w:bookmarkStart w:id="406" w:name="_Toc118909552"/>
      <w:bookmarkStart w:id="407" w:name="_Toc205190370"/>
      <w:bookmarkStart w:id="408" w:name="_Toc73847787"/>
      <w:r w:rsidRPr="00D5497B">
        <w:rPr>
          <w:b/>
        </w:rPr>
        <w:t>Generation Entity</w:t>
      </w:r>
      <w:bookmarkEnd w:id="403"/>
      <w:bookmarkEnd w:id="404"/>
      <w:bookmarkEnd w:id="405"/>
      <w:bookmarkEnd w:id="406"/>
      <w:bookmarkEnd w:id="407"/>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9" w:name="_Toc73847786"/>
            <w:bookmarkStart w:id="410" w:name="_Toc80425549"/>
            <w:bookmarkStart w:id="411" w:name="_Toc118224485"/>
            <w:bookmarkStart w:id="412" w:name="_Toc118909553"/>
            <w:bookmarkStart w:id="413"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9"/>
      <w:bookmarkEnd w:id="410"/>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11"/>
      <w:bookmarkEnd w:id="412"/>
      <w:bookmarkEnd w:id="413"/>
    </w:p>
    <w:p w14:paraId="712055FC" w14:textId="77777777" w:rsidR="00F06978" w:rsidRPr="009A4B84" w:rsidRDefault="00F06978" w:rsidP="00F06978">
      <w:pPr>
        <w:pStyle w:val="Heading2"/>
        <w:numPr>
          <w:ilvl w:val="0"/>
          <w:numId w:val="0"/>
        </w:numPr>
        <w:tabs>
          <w:tab w:val="clear" w:pos="720"/>
        </w:tabs>
      </w:pPr>
      <w:r w:rsidRPr="009A4B84">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14" w:name="_Toc205190372"/>
      <w:bookmarkStart w:id="415" w:name="_Toc118224486"/>
      <w:bookmarkStart w:id="416"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lastRenderedPageBreak/>
        <w:t>Generic Transmission Limit (GTL)</w:t>
      </w:r>
      <w:bookmarkEnd w:id="414"/>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7" w:name="_Toc205190373"/>
      <w:r w:rsidRPr="00D5497B">
        <w:rPr>
          <w:b/>
        </w:rPr>
        <w:t>Good Utility Practice</w:t>
      </w:r>
      <w:bookmarkEnd w:id="408"/>
      <w:bookmarkEnd w:id="415"/>
      <w:bookmarkEnd w:id="416"/>
      <w:bookmarkEnd w:id="417"/>
      <w:r w:rsidRPr="00D5497B">
        <w:rPr>
          <w:b/>
        </w:rPr>
        <w:t xml:space="preserve"> </w:t>
      </w:r>
    </w:p>
    <w:p w14:paraId="6B082987" w14:textId="77777777" w:rsidR="005D1947" w:rsidRDefault="00A442A0">
      <w:pPr>
        <w:pStyle w:val="BodyText"/>
      </w:pPr>
      <w:bookmarkStart w:id="418"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9" w:name="_Toc118224487"/>
      <w:bookmarkStart w:id="420" w:name="_Toc118909555"/>
      <w:bookmarkStart w:id="421" w:name="_Toc205190374"/>
      <w:r w:rsidRPr="00D5497B">
        <w:rPr>
          <w:b/>
        </w:rPr>
        <w:t>Governmental Authority</w:t>
      </w:r>
      <w:bookmarkEnd w:id="418"/>
      <w:bookmarkEnd w:id="419"/>
      <w:bookmarkEnd w:id="420"/>
      <w:bookmarkEnd w:id="421"/>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lastRenderedPageBreak/>
        <w:t>H</w:t>
      </w:r>
      <w:bookmarkStart w:id="422" w:name="H"/>
      <w:bookmarkEnd w:id="422"/>
    </w:p>
    <w:p w14:paraId="416FBECD" w14:textId="77777777" w:rsidR="00B75513" w:rsidRDefault="00E81E00">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23" w:name="_Toc73847790"/>
      <w:bookmarkStart w:id="424" w:name="_Toc118224488"/>
      <w:bookmarkStart w:id="425" w:name="_Toc118909556"/>
      <w:bookmarkStart w:id="426" w:name="_Toc205190375"/>
      <w:r w:rsidRPr="00D5497B">
        <w:rPr>
          <w:b/>
        </w:rPr>
        <w:t>High Ancillary Service Limit (HASL)</w:t>
      </w:r>
      <w:bookmarkEnd w:id="423"/>
      <w:bookmarkEnd w:id="424"/>
      <w:bookmarkEnd w:id="425"/>
      <w:bookmarkEnd w:id="426"/>
      <w:r w:rsidRPr="00D5497B">
        <w:rPr>
          <w:b/>
        </w:rPr>
        <w:t xml:space="preserve"> </w:t>
      </w:r>
    </w:p>
    <w:p w14:paraId="14785CC7" w14:textId="2C15DE78" w:rsidR="005D1947" w:rsidRDefault="00A442A0">
      <w:pPr>
        <w:pStyle w:val="BodyText"/>
        <w:rPr>
          <w:iCs w:val="0"/>
        </w:rPr>
      </w:pPr>
      <w:bookmarkStart w:id="427" w:name="_Toc74126496"/>
      <w:bookmarkStart w:id="428" w:name="_Toc73847791"/>
      <w:bookmarkStart w:id="429"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5A18" w:rsidRPr="004B32CF" w14:paraId="0452FFB8" w14:textId="77777777" w:rsidTr="00C35A18">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147299C" w14:textId="4ABB0389" w:rsidR="00C35A18" w:rsidRPr="004B32CF" w:rsidRDefault="00C35A18" w:rsidP="00955AF8">
            <w:pPr>
              <w:spacing w:before="120" w:after="240"/>
              <w:rPr>
                <w:b/>
                <w:i/>
                <w:iCs/>
              </w:rPr>
            </w:pPr>
            <w:r>
              <w:rPr>
                <w:b/>
                <w:i/>
                <w:iCs/>
              </w:rPr>
              <w:t>[NPRR1216</w:t>
            </w:r>
            <w:r w:rsidRPr="004B32CF">
              <w:rPr>
                <w:b/>
                <w:i/>
                <w:iCs/>
              </w:rPr>
              <w:t>:  Replace the above definition “</w:t>
            </w:r>
            <w:r w:rsidRPr="00C35A18">
              <w:rPr>
                <w:b/>
                <w:i/>
                <w:iCs/>
              </w:rPr>
              <w:t>High Ancillary Service Limit (HASL)</w:t>
            </w:r>
            <w:r>
              <w:rPr>
                <w:b/>
                <w:i/>
                <w:iCs/>
              </w:rPr>
              <w:t xml:space="preserve">” </w:t>
            </w:r>
            <w:r w:rsidRPr="004B32CF">
              <w:rPr>
                <w:b/>
                <w:i/>
                <w:iCs/>
              </w:rPr>
              <w:t>with the following upon system implementation:]</w:t>
            </w:r>
          </w:p>
          <w:p w14:paraId="3461316B" w14:textId="77777777" w:rsidR="00C35A18" w:rsidRPr="00D5497B" w:rsidRDefault="00C35A18" w:rsidP="00C35A18">
            <w:pPr>
              <w:pStyle w:val="H2"/>
              <w:spacing w:before="0"/>
              <w:rPr>
                <w:b/>
              </w:rPr>
            </w:pPr>
            <w:r w:rsidRPr="00D5497B">
              <w:rPr>
                <w:b/>
              </w:rPr>
              <w:t xml:space="preserve">High Ancillary Service Limit (HASL) </w:t>
            </w:r>
          </w:p>
          <w:p w14:paraId="6F64AD23" w14:textId="5B7A75A4" w:rsidR="00C35A18" w:rsidRPr="00C35A18" w:rsidRDefault="00C35A18" w:rsidP="00C35A18">
            <w:pPr>
              <w:pStyle w:val="BodyText"/>
              <w:rPr>
                <w:iCs w:val="0"/>
              </w:rPr>
            </w:pPr>
            <w:r>
              <w:t>A dynamically calculated MW upper limit on a Resource to reserve the part of the Resource’s capacity committed for Ancillary Service, calculated as described in Section 6.5.7.2, Resource Limit Calculator.</w:t>
            </w:r>
            <w:r>
              <w:rPr>
                <w:b/>
              </w:rPr>
              <w:t xml:space="preserve">  </w:t>
            </w:r>
            <w:r w:rsidRPr="00316E6A">
              <w:rPr>
                <w:iCs w:val="0"/>
              </w:rPr>
              <w:t>HASL is also included in Section 5.7.4.1.1,</w:t>
            </w:r>
            <w:r>
              <w:rPr>
                <w:iCs w:val="0"/>
              </w:rPr>
              <w:t xml:space="preserve"> </w:t>
            </w:r>
            <w:r w:rsidRPr="00316E6A">
              <w:rPr>
                <w:iCs w:val="0"/>
              </w:rPr>
              <w:t xml:space="preserve">Capacity Shortfall Ratio Share, and in the </w:t>
            </w:r>
            <w:r w:rsidRPr="00014824">
              <w:rPr>
                <w:iCs w:val="0"/>
              </w:rPr>
              <w:t>Reliability Unit Commitment</w:t>
            </w:r>
            <w:r>
              <w:rPr>
                <w:iCs w:val="0"/>
              </w:rPr>
              <w:t xml:space="preserve"> (</w:t>
            </w:r>
            <w:r w:rsidRPr="00316E6A">
              <w:rPr>
                <w:iCs w:val="0"/>
              </w:rPr>
              <w:t>RUC</w:t>
            </w:r>
            <w:r>
              <w:rPr>
                <w:iCs w:val="0"/>
              </w:rPr>
              <w:t>)</w:t>
            </w:r>
            <w:r w:rsidRPr="00316E6A">
              <w:rPr>
                <w:iCs w:val="0"/>
              </w:rPr>
              <w:t xml:space="preserve"> optimization but is not adjusted for Non-Frequency Responsive Capacity (NFRC) as in Section 6.5.7.2.</w:t>
            </w:r>
          </w:p>
        </w:tc>
      </w:tr>
    </w:tbl>
    <w:p w14:paraId="31F92709" w14:textId="77777777" w:rsidR="00C35A18" w:rsidRDefault="00C35A1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30" w:name="_Toc118224489"/>
            <w:bookmarkStart w:id="431" w:name="_Toc118909557"/>
            <w:bookmarkStart w:id="432" w:name="_Toc205190376"/>
            <w:bookmarkStart w:id="433" w:name="_Toc73847795"/>
            <w:bookmarkEnd w:id="427"/>
            <w:bookmarkEnd w:id="428"/>
            <w:bookmarkEnd w:id="429"/>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30"/>
      <w:bookmarkEnd w:id="431"/>
      <w:bookmarkEnd w:id="432"/>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34" w:name="_Toc74126503"/>
      <w:bookmarkStart w:id="435" w:name="_Toc118224490"/>
      <w:bookmarkStart w:id="436" w:name="_Toc118909558"/>
      <w:bookmarkStart w:id="437" w:name="_Toc205190377"/>
      <w:bookmarkStart w:id="438" w:name="_Toc73847797"/>
      <w:bookmarkEnd w:id="433"/>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34"/>
      <w:r w:rsidR="00A442A0" w:rsidRPr="00837B78">
        <w:rPr>
          <w:iCs/>
        </w:rPr>
        <w:t>for a Generation Resource</w:t>
      </w:r>
      <w:bookmarkEnd w:id="435"/>
      <w:bookmarkEnd w:id="436"/>
      <w:bookmarkEnd w:id="437"/>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9" w:name="_Toc74126502"/>
      <w:bookmarkStart w:id="440" w:name="_Toc118224491"/>
      <w:bookmarkStart w:id="441" w:name="_Toc118909559"/>
      <w:bookmarkStart w:id="442" w:name="_Toc205190378"/>
      <w:r w:rsidRPr="00837B78">
        <w:rPr>
          <w:iCs/>
        </w:rPr>
        <w:t>High Sustained Limit (HSL</w:t>
      </w:r>
      <w:r w:rsidR="00837B78">
        <w:rPr>
          <w:iCs/>
        </w:rPr>
        <w:t>)</w:t>
      </w:r>
      <w:r w:rsidRPr="00837B78">
        <w:rPr>
          <w:iCs/>
        </w:rPr>
        <w:t xml:space="preserve"> </w:t>
      </w:r>
      <w:bookmarkEnd w:id="439"/>
      <w:r w:rsidRPr="00837B78">
        <w:rPr>
          <w:iCs/>
        </w:rPr>
        <w:t>for a Load Resource</w:t>
      </w:r>
      <w:bookmarkEnd w:id="440"/>
      <w:bookmarkEnd w:id="441"/>
      <w:bookmarkEnd w:id="442"/>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43" w:name="_Toc80425567"/>
      <w:bookmarkStart w:id="444" w:name="_Toc118224492"/>
      <w:bookmarkStart w:id="445" w:name="_Toc118909560"/>
      <w:bookmarkStart w:id="446" w:name="_Toc205190379"/>
      <w:bookmarkStart w:id="447" w:name="_Toc73847802"/>
      <w:bookmarkEnd w:id="438"/>
      <w:r w:rsidRPr="00E07C18">
        <w:rPr>
          <w:b/>
        </w:rPr>
        <w:t xml:space="preserve">Hotline </w:t>
      </w:r>
    </w:p>
    <w:p w14:paraId="6368C718" w14:textId="7CDCAF4E"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w:t>
      </w:r>
      <w:r w:rsidR="00E04018">
        <w:t>WAN Participants</w:t>
      </w:r>
      <w:r w:rsidRPr="00E07C18">
        <w:rPr>
          <w:szCs w:val="24"/>
        </w:rPr>
        <w:t xml:space="preserve"> or their designated agents.    </w:t>
      </w:r>
    </w:p>
    <w:p w14:paraId="78CE202F" w14:textId="77777777" w:rsidR="005D1947" w:rsidRPr="00D5497B" w:rsidRDefault="00A442A0">
      <w:pPr>
        <w:pStyle w:val="H2"/>
        <w:rPr>
          <w:b/>
        </w:rPr>
      </w:pPr>
      <w:r w:rsidRPr="00D5497B">
        <w:rPr>
          <w:b/>
        </w:rPr>
        <w:t>Hourly Reliability Unit Commitment (HRUC)</w:t>
      </w:r>
      <w:bookmarkEnd w:id="443"/>
      <w:bookmarkEnd w:id="444"/>
      <w:bookmarkEnd w:id="445"/>
      <w:bookmarkEnd w:id="446"/>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8" w:name="_Toc118224493"/>
      <w:bookmarkStart w:id="449" w:name="_Toc118909561"/>
      <w:bookmarkStart w:id="450" w:name="_Toc205190380"/>
      <w:bookmarkStart w:id="451" w:name="_Toc80425569"/>
      <w:r w:rsidRPr="00D5497B">
        <w:rPr>
          <w:b/>
        </w:rPr>
        <w:t>Hub</w:t>
      </w:r>
      <w:bookmarkEnd w:id="448"/>
      <w:bookmarkEnd w:id="449"/>
      <w:bookmarkEnd w:id="450"/>
      <w:r w:rsidRPr="00D5497B">
        <w:rPr>
          <w:b/>
        </w:rPr>
        <w:t xml:space="preserve"> </w:t>
      </w:r>
    </w:p>
    <w:bookmarkEnd w:id="447"/>
    <w:bookmarkEnd w:id="451"/>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52" w:name="_Toc118224494"/>
      <w:bookmarkStart w:id="453" w:name="_Toc118909562"/>
      <w:bookmarkStart w:id="454" w:name="_Toc205190381"/>
      <w:r w:rsidRPr="00D5497B">
        <w:rPr>
          <w:b/>
        </w:rPr>
        <w:lastRenderedPageBreak/>
        <w:t>Hub Bus</w:t>
      </w:r>
      <w:bookmarkEnd w:id="452"/>
      <w:bookmarkEnd w:id="453"/>
      <w:bookmarkEnd w:id="454"/>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5" w:name="I"/>
      <w:bookmarkEnd w:id="455"/>
    </w:p>
    <w:p w14:paraId="15A9DE57" w14:textId="77777777" w:rsidR="00CD6F70" w:rsidRDefault="00E81E00" w:rsidP="00CD6F70">
      <w:pPr>
        <w:pStyle w:val="ListIntroduction"/>
        <w:keepNext w:val="0"/>
        <w:rPr>
          <w:rStyle w:val="Hyperlink"/>
        </w:rPr>
      </w:pPr>
      <w:hyperlink w:anchor="_DEFINITIONS" w:history="1">
        <w:r w:rsidR="00842B9A">
          <w:rPr>
            <w:rStyle w:val="Hyperlink"/>
          </w:rPr>
          <w:t>[Back to Top]</w:t>
        </w:r>
      </w:hyperlink>
      <w:bookmarkStart w:id="456" w:name="_Toc205190382"/>
      <w:bookmarkStart w:id="457" w:name="_Toc172698881"/>
      <w:bookmarkStart w:id="458" w:name="_Toc118224495"/>
      <w:bookmarkStart w:id="459"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6"/>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7"/>
    </w:p>
    <w:p w14:paraId="1509DEAE" w14:textId="77777777" w:rsidR="005D1947" w:rsidRPr="00D5497B" w:rsidRDefault="00A442A0">
      <w:pPr>
        <w:pStyle w:val="H2"/>
        <w:tabs>
          <w:tab w:val="clear" w:pos="900"/>
          <w:tab w:val="left" w:pos="0"/>
        </w:tabs>
        <w:ind w:left="0" w:firstLine="0"/>
        <w:rPr>
          <w:b/>
        </w:rPr>
      </w:pPr>
      <w:bookmarkStart w:id="460" w:name="_Toc205190383"/>
      <w:r w:rsidRPr="00D5497B">
        <w:rPr>
          <w:b/>
        </w:rPr>
        <w:t>Independent Organization</w:t>
      </w:r>
      <w:bookmarkEnd w:id="460"/>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61"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lastRenderedPageBreak/>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lastRenderedPageBreak/>
        <w:t>Intermittent Renewable Resource (IRR)</w:t>
      </w:r>
      <w:bookmarkEnd w:id="458"/>
      <w:bookmarkEnd w:id="459"/>
      <w:bookmarkEnd w:id="461"/>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62" w:name="_Toc73847813"/>
      <w:bookmarkStart w:id="463" w:name="_Toc118224496"/>
      <w:bookmarkStart w:id="464" w:name="_Toc118909564"/>
      <w:bookmarkStart w:id="465" w:name="_Toc205190385"/>
      <w:r w:rsidRPr="00D5497B">
        <w:rPr>
          <w:b/>
        </w:rPr>
        <w:t>Interval Data Recorder (IDR)</w:t>
      </w:r>
      <w:bookmarkEnd w:id="462"/>
      <w:bookmarkEnd w:id="463"/>
      <w:bookmarkEnd w:id="464"/>
      <w:bookmarkEnd w:id="465"/>
    </w:p>
    <w:p w14:paraId="7510DB5E" w14:textId="77777777" w:rsidR="005D1947" w:rsidRDefault="00837B78">
      <w:pPr>
        <w:pStyle w:val="BodyText"/>
      </w:pPr>
      <w:bookmarkStart w:id="466"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7" w:name="_Toc118224497"/>
      <w:bookmarkStart w:id="468" w:name="_Toc118909565"/>
      <w:bookmarkStart w:id="469"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 xml:space="preserve">The Load forecast in </w:t>
      </w:r>
      <w:proofErr w:type="gramStart"/>
      <w:r w:rsidRPr="00C60250">
        <w:rPr>
          <w:color w:val="000000"/>
        </w:rPr>
        <w:t>five minute</w:t>
      </w:r>
      <w:proofErr w:type="gramEnd"/>
      <w:r w:rsidRPr="00C60250">
        <w:rPr>
          <w:color w:val="000000"/>
        </w:rPr>
        <w:t xml:space="preserve"> increments.</w:t>
      </w:r>
    </w:p>
    <w:p w14:paraId="79891440" w14:textId="77777777" w:rsidR="00DD0EA2" w:rsidRDefault="00DD0EA2" w:rsidP="00413043">
      <w:pPr>
        <w:pStyle w:val="H3"/>
        <w:rPr>
          <w:i w:val="0"/>
        </w:rPr>
      </w:pPr>
      <w:r>
        <w:rPr>
          <w:i w:val="0"/>
        </w:rPr>
        <w:t xml:space="preserve">Intra-Hour </w:t>
      </w:r>
      <w:proofErr w:type="spellStart"/>
      <w:r>
        <w:rPr>
          <w:i w:val="0"/>
        </w:rPr>
        <w:t>PhotoVoltaic</w:t>
      </w:r>
      <w:proofErr w:type="spellEnd"/>
      <w:r>
        <w:rPr>
          <w:i w:val="0"/>
        </w:rPr>
        <w:t xml:space="preserve"> Power Forecast (IHPPF)</w:t>
      </w:r>
    </w:p>
    <w:p w14:paraId="44472CA8" w14:textId="1ADAD8AF" w:rsidR="00DD0EA2" w:rsidRDefault="00DD0EA2" w:rsidP="00DD0EA2">
      <w:pPr>
        <w:pStyle w:val="BodyText"/>
        <w:rPr>
          <w:color w:val="000000"/>
        </w:rPr>
      </w:pPr>
      <w:r>
        <w:rPr>
          <w:sz w:val="23"/>
          <w:szCs w:val="23"/>
        </w:rPr>
        <w:t xml:space="preserve">The forecast of </w:t>
      </w:r>
      <w:proofErr w:type="spellStart"/>
      <w:r>
        <w:rPr>
          <w:sz w:val="23"/>
          <w:szCs w:val="23"/>
        </w:rPr>
        <w:t>PhotoVoltaic</w:t>
      </w:r>
      <w:proofErr w:type="spellEnd"/>
      <w:r>
        <w:rPr>
          <w:sz w:val="23"/>
          <w:szCs w:val="23"/>
        </w:rPr>
        <w:t xml:space="preserve"> (PV) generation in MW in </w:t>
      </w:r>
      <w:proofErr w:type="gramStart"/>
      <w:r>
        <w:rPr>
          <w:sz w:val="23"/>
          <w:szCs w:val="23"/>
        </w:rPr>
        <w:t>five minute</w:t>
      </w:r>
      <w:proofErr w:type="gramEnd"/>
      <w:r>
        <w:rPr>
          <w:sz w:val="23"/>
          <w:szCs w:val="23"/>
        </w:rPr>
        <w:t xml:space="preserv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 xml:space="preserve">The forecast of wind generation in MW in </w:t>
      </w:r>
      <w:proofErr w:type="gramStart"/>
      <w:r w:rsidRPr="00C60250">
        <w:rPr>
          <w:color w:val="000000"/>
        </w:rPr>
        <w:t>five minute</w:t>
      </w:r>
      <w:proofErr w:type="gramEnd"/>
      <w:r w:rsidRPr="00C60250">
        <w:rPr>
          <w:color w:val="000000"/>
        </w:rPr>
        <w:t xml:space="preserve"> increments.</w:t>
      </w:r>
    </w:p>
    <w:p w14:paraId="6B9A9B90" w14:textId="53DF5917" w:rsidR="005D1947" w:rsidRPr="00D5497B" w:rsidRDefault="00A442A0" w:rsidP="00D973A6">
      <w:pPr>
        <w:pStyle w:val="H2"/>
        <w:rPr>
          <w:b/>
        </w:rPr>
      </w:pPr>
      <w:r w:rsidRPr="00D5497B">
        <w:rPr>
          <w:b/>
        </w:rPr>
        <w:t>Invoice</w:t>
      </w:r>
      <w:bookmarkEnd w:id="467"/>
      <w:bookmarkEnd w:id="468"/>
      <w:bookmarkEnd w:id="469"/>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t>Isochronous Control Capable Resource</w:t>
      </w:r>
    </w:p>
    <w:p w14:paraId="08BB810E" w14:textId="17E8A9A0" w:rsidR="0039053A" w:rsidRDefault="0039053A" w:rsidP="0039053A">
      <w:pPr>
        <w:spacing w:after="240"/>
      </w:pPr>
      <w:r w:rsidRPr="008C6103">
        <w:t xml:space="preserve">A Resource that </w:t>
      </w:r>
      <w:proofErr w:type="gramStart"/>
      <w:r w:rsidRPr="008C6103">
        <w:t>is capable of controlling</w:t>
      </w:r>
      <w:proofErr w:type="gramEnd"/>
      <w:r w:rsidRPr="008C6103">
        <w:t xml:space="preserve"> frequency in isochronous control mode instead of droop control mode during a Blackout or </w:t>
      </w:r>
      <w:r>
        <w:t>P</w:t>
      </w:r>
      <w:r w:rsidRPr="008C6103">
        <w:t>artial Blackout.</w:t>
      </w:r>
    </w:p>
    <w:bookmarkEnd w:id="466"/>
    <w:p w14:paraId="769A5A9B" w14:textId="77777777" w:rsidR="005D1947" w:rsidRDefault="00A442A0" w:rsidP="00EC7906">
      <w:pPr>
        <w:pStyle w:val="BodyText"/>
        <w:keepNext/>
        <w:spacing w:before="240"/>
        <w:rPr>
          <w:b/>
          <w:sz w:val="40"/>
          <w:szCs w:val="40"/>
        </w:rPr>
      </w:pPr>
      <w:r>
        <w:rPr>
          <w:b/>
          <w:sz w:val="40"/>
          <w:szCs w:val="40"/>
        </w:rPr>
        <w:t>J</w:t>
      </w:r>
      <w:bookmarkStart w:id="470" w:name="J"/>
      <w:bookmarkEnd w:id="470"/>
    </w:p>
    <w:p w14:paraId="1A92D968" w14:textId="77777777" w:rsidR="00B75513" w:rsidRDefault="00E81E00">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71" w:name="K"/>
      <w:bookmarkEnd w:id="471"/>
    </w:p>
    <w:p w14:paraId="58667C9C" w14:textId="77777777" w:rsidR="00B75513" w:rsidRDefault="00E81E00">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72" w:name="L"/>
      <w:bookmarkEnd w:id="472"/>
    </w:p>
    <w:p w14:paraId="6F19938D" w14:textId="77777777" w:rsidR="00B75513" w:rsidRDefault="00E81E00">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73" w:name="_Toc118224498"/>
      <w:bookmarkStart w:id="474" w:name="_Toc118909566"/>
      <w:bookmarkStart w:id="475"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3"/>
      <w:bookmarkEnd w:id="474"/>
      <w:bookmarkEnd w:id="475"/>
    </w:p>
    <w:p w14:paraId="4EBA29BA" w14:textId="77777777" w:rsidR="00B75513" w:rsidRPr="00D5497B" w:rsidRDefault="00A442A0">
      <w:pPr>
        <w:pStyle w:val="H2"/>
        <w:keepNext w:val="0"/>
        <w:ind w:left="907" w:hanging="907"/>
        <w:rPr>
          <w:b/>
        </w:rPr>
      </w:pPr>
      <w:bookmarkStart w:id="476" w:name="_Toc118224499"/>
      <w:bookmarkStart w:id="477" w:name="_Toc118909567"/>
      <w:bookmarkStart w:id="478"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6"/>
      <w:bookmarkEnd w:id="477"/>
      <w:bookmarkEnd w:id="478"/>
    </w:p>
    <w:p w14:paraId="56DFA1A1" w14:textId="77777777" w:rsidR="00B75513" w:rsidRPr="00D5497B" w:rsidRDefault="00A442A0">
      <w:pPr>
        <w:pStyle w:val="H2"/>
        <w:keepNext w:val="0"/>
        <w:ind w:left="907" w:hanging="907"/>
        <w:rPr>
          <w:b/>
        </w:rPr>
      </w:pPr>
      <w:bookmarkStart w:id="479" w:name="_Toc118224500"/>
      <w:bookmarkStart w:id="480" w:name="_Toc118909568"/>
      <w:bookmarkStart w:id="481"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9"/>
      <w:bookmarkEnd w:id="480"/>
      <w:bookmarkEnd w:id="481"/>
      <w:r w:rsidRPr="00D5497B">
        <w:rPr>
          <w:b/>
        </w:rPr>
        <w:t xml:space="preserve"> </w:t>
      </w:r>
    </w:p>
    <w:p w14:paraId="3509461C" w14:textId="77777777" w:rsidR="00943E4B" w:rsidRDefault="00943E4B" w:rsidP="00943E4B">
      <w:pPr>
        <w:pStyle w:val="H2"/>
        <w:rPr>
          <w:b/>
        </w:rPr>
      </w:pPr>
      <w:bookmarkStart w:id="482" w:name="_Toc73847817"/>
      <w:bookmarkStart w:id="483" w:name="_Toc118224501"/>
      <w:bookmarkStart w:id="484" w:name="_Toc118909569"/>
      <w:bookmarkStart w:id="485"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82"/>
      <w:bookmarkEnd w:id="483"/>
      <w:bookmarkEnd w:id="484"/>
      <w:bookmarkEnd w:id="485"/>
    </w:p>
    <w:p w14:paraId="46A9D45F" w14:textId="77777777" w:rsidR="005D1947" w:rsidRDefault="00A442A0">
      <w:pPr>
        <w:pStyle w:val="BodyText"/>
      </w:pPr>
      <w:bookmarkStart w:id="486"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lastRenderedPageBreak/>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 xml:space="preserve">technology that </w:t>
      </w:r>
      <w:proofErr w:type="gramStart"/>
      <w:r w:rsidRPr="00DB5343">
        <w:rPr>
          <w:iCs w:val="0"/>
        </w:rPr>
        <w:t>is capable of storing</w:t>
      </w:r>
      <w:proofErr w:type="gramEnd"/>
      <w:r w:rsidRPr="00DB5343">
        <w:rPr>
          <w:iCs w:val="0"/>
        </w:rPr>
        <w:t xml:space="preserve">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7" w:name="_Toc118224502"/>
      <w:bookmarkStart w:id="488" w:name="_Toc118909570"/>
      <w:bookmarkStart w:id="489" w:name="_Toc205190391"/>
      <w:bookmarkStart w:id="490" w:name="_Toc73847820"/>
      <w:bookmarkEnd w:id="4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7"/>
      <w:bookmarkEnd w:id="488"/>
      <w:bookmarkEnd w:id="489"/>
    </w:p>
    <w:p w14:paraId="2910A838" w14:textId="11FDC97C" w:rsidR="005D1947" w:rsidRDefault="00245956">
      <w:pPr>
        <w:pStyle w:val="BodyText"/>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w:t>
      </w:r>
      <w:proofErr w:type="gramStart"/>
      <w:r w:rsidRPr="0089065D">
        <w:t>necessary</w:t>
      </w:r>
      <w:proofErr w:type="gramEnd"/>
      <w:r w:rsidRPr="0089065D">
        <w:t xml:space="preserve"> as backup regulation.  LFC does include the deployment of Responsive Reserve (RRS) (manual) and ECRS from Generation Resources and Controllable Load Resources.  LFC does not include the deployment of ECRS or RRS by Load Resources when deployed as a block under </w:t>
      </w:r>
      <w:r>
        <w:t>Energy Emergency Alert (</w:t>
      </w:r>
      <w:r w:rsidRPr="0089065D">
        <w:t>EEA</w:t>
      </w:r>
      <w:r>
        <w:t xml:space="preserve">) </w:t>
      </w:r>
      <w:r w:rsidRPr="0089065D">
        <w:t>procedures.</w:t>
      </w:r>
    </w:p>
    <w:p w14:paraId="01C0789D" w14:textId="77777777" w:rsidR="005D1947" w:rsidRPr="00D5497B" w:rsidRDefault="00A442A0" w:rsidP="00A54456">
      <w:pPr>
        <w:pStyle w:val="H2"/>
        <w:ind w:left="0" w:firstLine="0"/>
        <w:rPr>
          <w:b/>
        </w:rPr>
      </w:pPr>
      <w:bookmarkStart w:id="491" w:name="_Toc118224503"/>
      <w:bookmarkStart w:id="492" w:name="_Toc118909571"/>
      <w:bookmarkStart w:id="493" w:name="_Toc205190392"/>
      <w:r w:rsidRPr="00D5497B">
        <w:rPr>
          <w:b/>
        </w:rPr>
        <w:t>Load Profile</w:t>
      </w:r>
      <w:bookmarkEnd w:id="490"/>
      <w:bookmarkEnd w:id="491"/>
      <w:bookmarkEnd w:id="492"/>
      <w:bookmarkEnd w:id="493"/>
    </w:p>
    <w:p w14:paraId="4FDFC59F" w14:textId="77777777" w:rsidR="005D1947" w:rsidRDefault="00A442A0">
      <w:pPr>
        <w:pStyle w:val="BodyText"/>
      </w:pPr>
      <w:bookmarkStart w:id="494"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5" w:name="_Toc205190393"/>
      <w:bookmarkStart w:id="496" w:name="_Toc118224504"/>
      <w:bookmarkStart w:id="497" w:name="_Toc118909572"/>
      <w:r w:rsidRPr="00D5497B">
        <w:rPr>
          <w:b/>
        </w:rPr>
        <w:lastRenderedPageBreak/>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w:t>
      </w:r>
      <w:proofErr w:type="gramStart"/>
      <w:r w:rsidRPr="009B57E7">
        <w:rPr>
          <w:szCs w:val="24"/>
        </w:rPr>
        <w:t>are</w:t>
      </w:r>
      <w:proofErr w:type="gramEnd"/>
      <w:r w:rsidRPr="009B57E7">
        <w:rPr>
          <w:szCs w:val="24"/>
        </w:rPr>
        <w:t xml:space="preserv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5"/>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8"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94"/>
      <w:bookmarkEnd w:id="496"/>
      <w:bookmarkEnd w:id="497"/>
      <w:bookmarkEnd w:id="498"/>
    </w:p>
    <w:p w14:paraId="4B6FBB01" w14:textId="77777777" w:rsidR="005D1947" w:rsidRDefault="00A442A0">
      <w:pPr>
        <w:pStyle w:val="BodyText"/>
      </w:pPr>
      <w:bookmarkStart w:id="499"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500" w:name="_Toc118224505"/>
      <w:bookmarkStart w:id="501" w:name="_Toc118909573"/>
      <w:bookmarkStart w:id="502" w:name="_Toc205190395"/>
      <w:r w:rsidRPr="00D5497B">
        <w:rPr>
          <w:b/>
        </w:rPr>
        <w:t>Load Profiling</w:t>
      </w:r>
      <w:bookmarkEnd w:id="499"/>
      <w:bookmarkEnd w:id="500"/>
      <w:bookmarkEnd w:id="501"/>
      <w:bookmarkEnd w:id="502"/>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503" w:name="_Toc73847824"/>
      <w:bookmarkStart w:id="504" w:name="_Toc118224506"/>
      <w:bookmarkStart w:id="505" w:name="_Toc118909574"/>
      <w:bookmarkStart w:id="506"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503"/>
      <w:bookmarkEnd w:id="504"/>
      <w:bookmarkEnd w:id="505"/>
      <w:bookmarkEnd w:id="506"/>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7" w:name="_Toc118224507"/>
      <w:bookmarkStart w:id="508" w:name="_Toc118909575"/>
      <w:bookmarkStart w:id="509"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7"/>
      <w:bookmarkEnd w:id="508"/>
      <w:bookmarkEnd w:id="509"/>
    </w:p>
    <w:p w14:paraId="6E2D39E5" w14:textId="77777777" w:rsidR="005D1947" w:rsidRPr="00D5497B" w:rsidRDefault="00A442A0">
      <w:pPr>
        <w:pStyle w:val="H2"/>
        <w:rPr>
          <w:b/>
        </w:rPr>
      </w:pPr>
      <w:bookmarkStart w:id="510" w:name="_Toc80425596"/>
      <w:bookmarkStart w:id="511" w:name="_Toc118224508"/>
      <w:bookmarkStart w:id="512" w:name="_Toc118909576"/>
      <w:bookmarkStart w:id="513" w:name="_Toc205190398"/>
      <w:bookmarkStart w:id="514" w:name="_Toc73847827"/>
      <w:r w:rsidRPr="00D5497B">
        <w:rPr>
          <w:b/>
        </w:rPr>
        <w:t>Load Serving Entity</w:t>
      </w:r>
      <w:bookmarkEnd w:id="510"/>
      <w:bookmarkEnd w:id="511"/>
      <w:bookmarkEnd w:id="512"/>
      <w:bookmarkEnd w:id="513"/>
      <w:r w:rsidR="00837B78" w:rsidRPr="00D5497B">
        <w:rPr>
          <w:b/>
        </w:rPr>
        <w:t xml:space="preserve"> (LSE)</w:t>
      </w:r>
    </w:p>
    <w:p w14:paraId="581305A5" w14:textId="77777777" w:rsidR="005D1947" w:rsidRDefault="00A442A0">
      <w:pPr>
        <w:pStyle w:val="BodyText"/>
      </w:pPr>
      <w:bookmarkStart w:id="515" w:name="_Toc80425597"/>
      <w:bookmarkStart w:id="516" w:name="_Toc73847830"/>
      <w:bookmarkEnd w:id="514"/>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7" w:name="_Toc118224509"/>
      <w:bookmarkStart w:id="518" w:name="_Toc118909577"/>
      <w:bookmarkStart w:id="519" w:name="_Toc205190399"/>
      <w:r w:rsidRPr="00D5497B">
        <w:rPr>
          <w:b/>
        </w:rPr>
        <w:lastRenderedPageBreak/>
        <w:t>Load Zone</w:t>
      </w:r>
      <w:bookmarkEnd w:id="515"/>
      <w:bookmarkEnd w:id="517"/>
      <w:bookmarkEnd w:id="518"/>
      <w:bookmarkEnd w:id="519"/>
    </w:p>
    <w:p w14:paraId="781AE023" w14:textId="77777777" w:rsidR="007956AB" w:rsidRDefault="007956AB" w:rsidP="007956AB">
      <w:pPr>
        <w:pStyle w:val="BodyTextNumbered"/>
      </w:pPr>
      <w:bookmarkStart w:id="520"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21" w:name="LMP"/>
      <w:bookmarkStart w:id="522" w:name="_Toc118224510"/>
      <w:bookmarkStart w:id="523" w:name="_Toc118909578"/>
      <w:bookmarkStart w:id="524" w:name="_Toc205190400"/>
      <w:bookmarkEnd w:id="516"/>
      <w:bookmarkEnd w:id="520"/>
      <w:bookmarkEnd w:id="521"/>
      <w:r w:rsidRPr="00D5497B">
        <w:rPr>
          <w:b/>
        </w:rPr>
        <w:t>Locational Marginal Price (LMP)</w:t>
      </w:r>
      <w:bookmarkStart w:id="525" w:name="Locational"/>
      <w:bookmarkEnd w:id="522"/>
      <w:bookmarkEnd w:id="523"/>
      <w:bookmarkEnd w:id="524"/>
      <w:bookmarkEnd w:id="525"/>
    </w:p>
    <w:p w14:paraId="61BD2DD1" w14:textId="77777777" w:rsidR="005D1947" w:rsidRDefault="00565A5A" w:rsidP="004E5DF8">
      <w:pPr>
        <w:pStyle w:val="BodyText"/>
        <w:keepNext/>
      </w:pPr>
      <w:bookmarkStart w:id="526"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553C4D37" w14:textId="77777777" w:rsidR="002506F6" w:rsidRPr="00AC0350" w:rsidRDefault="002506F6" w:rsidP="002506F6">
      <w:pPr>
        <w:pStyle w:val="H2"/>
        <w:rPr>
          <w:b/>
          <w:bCs/>
        </w:rPr>
      </w:pPr>
      <w:bookmarkStart w:id="527" w:name="_Hlk164243973"/>
      <w:bookmarkStart w:id="528" w:name="_Toc118224511"/>
      <w:bookmarkStart w:id="529" w:name="_Toc118909579"/>
      <w:bookmarkStart w:id="530" w:name="_Toc205190401"/>
      <w:r w:rsidRPr="002506F6">
        <w:rPr>
          <w:b/>
        </w:rPr>
        <w:t>Lone</w:t>
      </w:r>
      <w:r w:rsidRPr="00AC0350">
        <w:rPr>
          <w:b/>
          <w:bCs/>
        </w:rPr>
        <w:t xml:space="preserve"> Star Infrastructure Protection Act (LSIPA) Affiliate </w:t>
      </w:r>
    </w:p>
    <w:p w14:paraId="056B10C0" w14:textId="5BA45279" w:rsidR="002506F6" w:rsidRPr="00AC0350" w:rsidRDefault="002506F6" w:rsidP="002506F6">
      <w:pPr>
        <w:spacing w:after="240"/>
      </w:pPr>
      <w:r w:rsidRPr="00AC0350">
        <w:t xml:space="preserve">An Entity that, directly or indirectly, through one or more intermediaries, controls, is controlled by, or is under common control with the LSIPA Designated Company. </w:t>
      </w:r>
      <w:r w:rsidR="00D2643D">
        <w:t xml:space="preserve"> </w:t>
      </w:r>
      <w:r w:rsidRPr="00AC0350">
        <w:t xml:space="preserve">For purposes of this definition, “controls,” “controlled by,” or “under common control with” shall mean (1) the ownership of </w:t>
      </w:r>
      <w:r w:rsidR="002737D2">
        <w:t>20%</w:t>
      </w:r>
      <w:r w:rsidRPr="00AC0350">
        <w:t xml:space="preserve"> or more of the outstanding securities of an Entity or (2) the power of an Entity, directly or indirectly, through one or more intermediaries, to direct the management and/or policies and procedures of another Entity. </w:t>
      </w:r>
      <w:r w:rsidR="00231A2B">
        <w:t xml:space="preserve"> </w:t>
      </w:r>
      <w:r w:rsidRPr="00AC0350">
        <w:t xml:space="preserve">Ownership by an Entity of equity securities (whether publicly traded or not) of another Entity shall not result in control for purposes of this definition if the holder owns (in its name or via intermediaries) </w:t>
      </w:r>
      <w:r w:rsidR="002737D2">
        <w:t>20%</w:t>
      </w:r>
      <w:r w:rsidRPr="00AC0350">
        <w:t xml:space="preserve"> or more of the outstanding securities of the Entity, and: (a) the securities are held as a passive investment; (b) the holder does not have representation on the Entity’s board of directors (or equivalent governing body) or </w:t>
      </w:r>
      <w:r w:rsidRPr="00AC0350">
        <w:lastRenderedPageBreak/>
        <w:t>vice versa; and (c) the holder does not in fact exercise influence over day-to-day management decisions.</w:t>
      </w:r>
    </w:p>
    <w:p w14:paraId="776E5117"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Company</w:t>
      </w:r>
    </w:p>
    <w:p w14:paraId="5E29DA29" w14:textId="77777777" w:rsidR="002506F6" w:rsidRPr="00AC0350" w:rsidRDefault="002506F6" w:rsidP="002506F6">
      <w:pPr>
        <w:spacing w:after="240"/>
      </w:pPr>
      <w:r w:rsidRPr="00AC0350">
        <w:t>An Entity (including an LSIPA Affiliate) that meets any of the company ownership or headquarters criteria listed in Texas Business and Commerce Code, Section 117.002(a)(2)(A)-(b)(2)(B) or Texas Government Code Section 2275.0102(a)(2)(A)-(b)(2)(B).</w:t>
      </w:r>
    </w:p>
    <w:p w14:paraId="06A34C03"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Country </w:t>
      </w:r>
    </w:p>
    <w:p w14:paraId="41A7BEE5" w14:textId="77777777" w:rsidR="002506F6" w:rsidRPr="00AC0350" w:rsidRDefault="002506F6" w:rsidP="002506F6">
      <w:pPr>
        <w:spacing w:after="240"/>
        <w:rPr>
          <w:b/>
          <w:bCs/>
        </w:rPr>
      </w:pPr>
      <w:r w:rsidRPr="00AC0350">
        <w:t>China, Iran, North Korea, Russia, or a country designated by the Governor as a threat to critical infrastructure pursuant to Texas Business and Commerce Code, Section 117.003 or Texas Government Code, Section 2275.0103.</w:t>
      </w:r>
    </w:p>
    <w:p w14:paraId="1C852437" w14:textId="77777777" w:rsidR="00BE0BB0" w:rsidRPr="005512EA" w:rsidRDefault="00BE0BB0" w:rsidP="00BE0BB0">
      <w:pPr>
        <w:pStyle w:val="H2"/>
        <w:rPr>
          <w:b/>
          <w:bCs/>
        </w:rPr>
      </w:pPr>
      <w:bookmarkStart w:id="531" w:name="_Hlk178063359"/>
      <w:bookmarkEnd w:id="527"/>
      <w:r w:rsidRPr="005512EA">
        <w:rPr>
          <w:b/>
          <w:bCs/>
        </w:rPr>
        <w:t>Loss of Load Expectation (</w:t>
      </w:r>
      <w:r w:rsidRPr="00BE0BB0">
        <w:rPr>
          <w:b/>
        </w:rPr>
        <w:t>LOLE</w:t>
      </w:r>
      <w:r w:rsidRPr="005512EA">
        <w:rPr>
          <w:b/>
          <w:bCs/>
        </w:rPr>
        <w:t>)</w:t>
      </w:r>
    </w:p>
    <w:p w14:paraId="082BD20D" w14:textId="77777777" w:rsidR="00BE0BB0" w:rsidRDefault="00BE0BB0" w:rsidP="00BE0BB0">
      <w:pPr>
        <w:spacing w:after="240"/>
      </w:pPr>
      <w:r w:rsidRPr="005512EA">
        <w:t xml:space="preserve">A probabilistic measure of the expected frequency of system </w:t>
      </w:r>
      <w:r>
        <w:t>L</w:t>
      </w:r>
      <w:r w:rsidRPr="005512EA">
        <w:t xml:space="preserve">oad shed events for a given </w:t>
      </w:r>
      <w:proofErr w:type="gramStart"/>
      <w:r w:rsidRPr="005512EA">
        <w:t>time period</w:t>
      </w:r>
      <w:proofErr w:type="gramEnd"/>
      <w:r w:rsidRPr="005512EA">
        <w:t xml:space="preserve">. </w:t>
      </w:r>
      <w:r>
        <w:t xml:space="preserve"> </w:t>
      </w:r>
      <w:r w:rsidRPr="005512EA">
        <w:t>LOLE is defined as the expected value of the number of days where at least one loss</w:t>
      </w:r>
      <w:r>
        <w:t xml:space="preserve"> </w:t>
      </w:r>
      <w:r w:rsidRPr="005512EA">
        <w:t>of</w:t>
      </w:r>
      <w:r>
        <w:t xml:space="preserve"> L</w:t>
      </w:r>
      <w:r w:rsidRPr="005512EA">
        <w:t>oad event occurs (e.g., one day per 10</w:t>
      </w:r>
      <w:r>
        <w:t>0</w:t>
      </w:r>
      <w:r w:rsidRPr="005512EA">
        <w:t xml:space="preserve"> years). </w:t>
      </w:r>
      <w:r>
        <w:t xml:space="preserve"> </w:t>
      </w:r>
      <w:r w:rsidRPr="005512EA">
        <w:t xml:space="preserve">A </w:t>
      </w:r>
      <w:r>
        <w:t>loss of Load</w:t>
      </w:r>
      <w:r w:rsidRPr="005512EA">
        <w:t xml:space="preserve"> event is an hour during which firm Load, plus required minimum operating reserves, exceeds available generation capacity.</w:t>
      </w:r>
    </w:p>
    <w:bookmarkEnd w:id="531"/>
    <w:p w14:paraId="6582AF9C" w14:textId="221E86F3" w:rsidR="005D1947" w:rsidRPr="004222A1" w:rsidRDefault="00A442A0" w:rsidP="00BE0BB0">
      <w:pPr>
        <w:pStyle w:val="H2"/>
        <w:rPr>
          <w:b/>
        </w:rPr>
      </w:pPr>
      <w:r w:rsidRPr="004222A1">
        <w:rPr>
          <w:b/>
        </w:rPr>
        <w:t>Low Ancillary Service Limit (LASL)</w:t>
      </w:r>
      <w:bookmarkEnd w:id="526"/>
      <w:bookmarkEnd w:id="528"/>
      <w:bookmarkEnd w:id="529"/>
      <w:bookmarkEnd w:id="530"/>
      <w:r w:rsidRPr="004222A1">
        <w:rPr>
          <w:b/>
        </w:rPr>
        <w:t xml:space="preserve">  </w:t>
      </w:r>
    </w:p>
    <w:p w14:paraId="6197F12D" w14:textId="77777777" w:rsidR="005D1947" w:rsidRDefault="00A442A0">
      <w:pPr>
        <w:pStyle w:val="BodyText"/>
      </w:pPr>
      <w:bookmarkStart w:id="532"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33" w:name="_Toc118224512"/>
            <w:bookmarkStart w:id="534" w:name="_Toc118909580"/>
            <w:bookmarkStart w:id="535" w:name="_Toc205190402"/>
            <w:bookmarkStart w:id="536" w:name="_Toc73847837"/>
            <w:bookmarkEnd w:id="532"/>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33"/>
      <w:bookmarkEnd w:id="534"/>
      <w:bookmarkEnd w:id="535"/>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w:t>
      </w:r>
      <w:proofErr w:type="gramStart"/>
      <w:r w:rsidR="00A442A0">
        <w:t>a period of time</w:t>
      </w:r>
      <w:proofErr w:type="gramEnd"/>
      <w:r w:rsidR="00A442A0">
        <w:t xml:space="preserve"> indicated by the QSE but not less than 30 minutes. </w:t>
      </w:r>
    </w:p>
    <w:p w14:paraId="7F90B7AC" w14:textId="77777777" w:rsidR="005D1947" w:rsidRPr="004222A1" w:rsidRDefault="00A442A0">
      <w:pPr>
        <w:pStyle w:val="H2"/>
        <w:tabs>
          <w:tab w:val="left" w:pos="8372"/>
        </w:tabs>
        <w:spacing w:before="120"/>
        <w:rPr>
          <w:b/>
        </w:rPr>
      </w:pPr>
      <w:bookmarkStart w:id="537" w:name="_Toc118224513"/>
      <w:bookmarkStart w:id="538" w:name="_Toc118909581"/>
      <w:bookmarkStart w:id="539" w:name="_Toc205190403"/>
      <w:bookmarkStart w:id="540" w:name="_Toc73847841"/>
      <w:bookmarkEnd w:id="536"/>
      <w:r w:rsidRPr="004222A1">
        <w:rPr>
          <w:b/>
        </w:rPr>
        <w:t>Low Power Consumption (LPC)</w:t>
      </w:r>
      <w:bookmarkEnd w:id="537"/>
      <w:bookmarkEnd w:id="538"/>
      <w:bookmarkEnd w:id="539"/>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41" w:name="_Toc74126547"/>
      <w:bookmarkStart w:id="542" w:name="_Toc118224514"/>
      <w:bookmarkStart w:id="543" w:name="_Toc118909582"/>
      <w:bookmarkStart w:id="544" w:name="_Toc205190404"/>
      <w:bookmarkEnd w:id="540"/>
      <w:r w:rsidRPr="004222A1">
        <w:rPr>
          <w:b/>
        </w:rPr>
        <w:lastRenderedPageBreak/>
        <w:t>Low Sustained Limit (LSL</w:t>
      </w:r>
      <w:bookmarkEnd w:id="541"/>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42"/>
      <w:bookmarkEnd w:id="543"/>
      <w:bookmarkEnd w:id="544"/>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45" w:name="M"/>
      <w:bookmarkEnd w:id="545"/>
    </w:p>
    <w:p w14:paraId="56A89020" w14:textId="2DF0F484" w:rsidR="00B75513" w:rsidRDefault="00E81E00">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46" w:name="_Toc73847842"/>
      <w:bookmarkStart w:id="547" w:name="_Toc118224516"/>
      <w:bookmarkStart w:id="548" w:name="_Toc118909584"/>
      <w:bookmarkStart w:id="549"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46"/>
      <w:bookmarkEnd w:id="547"/>
      <w:bookmarkEnd w:id="548"/>
      <w:bookmarkEnd w:id="549"/>
    </w:p>
    <w:p w14:paraId="7D8612B0" w14:textId="77777777" w:rsidR="00475BE9" w:rsidRPr="004222A1" w:rsidRDefault="00475BE9" w:rsidP="00475BE9">
      <w:pPr>
        <w:pStyle w:val="H2"/>
        <w:rPr>
          <w:b/>
        </w:rPr>
      </w:pPr>
      <w:bookmarkStart w:id="550" w:name="_Toc118224517"/>
      <w:bookmarkStart w:id="551" w:name="_Toc118909585"/>
      <w:bookmarkStart w:id="552" w:name="_Toc205190407"/>
      <w:bookmarkStart w:id="553" w:name="_Toc73847843"/>
      <w:r w:rsidRPr="004222A1">
        <w:rPr>
          <w:b/>
        </w:rPr>
        <w:lastRenderedPageBreak/>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50"/>
      <w:bookmarkEnd w:id="551"/>
      <w:bookmarkEnd w:id="552"/>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54"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54"/>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55" w:name="_Toc118224519"/>
      <w:bookmarkStart w:id="556" w:name="_Toc118909587"/>
      <w:bookmarkStart w:id="557" w:name="_Toc205190410"/>
      <w:r w:rsidRPr="004222A1">
        <w:rPr>
          <w:b/>
        </w:rPr>
        <w:t>Market Clearing Price for Capacity (MCPC)</w:t>
      </w:r>
      <w:bookmarkEnd w:id="553"/>
      <w:bookmarkEnd w:id="555"/>
      <w:bookmarkEnd w:id="556"/>
      <w:bookmarkEnd w:id="557"/>
    </w:p>
    <w:p w14:paraId="40D70617" w14:textId="6F4A57FD" w:rsidR="005D1947" w:rsidRDefault="00A442A0">
      <w:pPr>
        <w:pStyle w:val="BodyText"/>
      </w:pPr>
      <w:bookmarkStart w:id="558" w:name="_Toc80425619"/>
      <w:bookmarkStart w:id="559"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60" w:name="_Toc118224520"/>
            <w:bookmarkStart w:id="561" w:name="_Toc118909588"/>
            <w:bookmarkStart w:id="562"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lastRenderedPageBreak/>
        <w:t>Market Information System (MIS)</w:t>
      </w:r>
      <w:bookmarkEnd w:id="558"/>
      <w:bookmarkEnd w:id="560"/>
      <w:bookmarkEnd w:id="561"/>
      <w:bookmarkEnd w:id="562"/>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xml:space="preserve">, to access certain information </w:t>
      </w:r>
      <w:proofErr w:type="gramStart"/>
      <w:r w:rsidR="00972D3C">
        <w:rPr>
          <w:iCs w:val="0"/>
        </w:rPr>
        <w:t>through the use of</w:t>
      </w:r>
      <w:proofErr w:type="gramEnd"/>
      <w:r w:rsidR="00972D3C">
        <w:rPr>
          <w:iCs w:val="0"/>
        </w:rPr>
        <w:t xml:space="preserve">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63" w:name="_Toc80425620"/>
      <w:bookmarkStart w:id="564" w:name="_Toc118224521"/>
      <w:bookmarkStart w:id="565" w:name="_Toc118909589"/>
      <w:bookmarkStart w:id="566"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7" w:name="_Toc80425621"/>
      <w:bookmarkStart w:id="568" w:name="_Toc118224522"/>
      <w:bookmarkStart w:id="569" w:name="_Toc118909590"/>
      <w:bookmarkStart w:id="570" w:name="_Toc205190413"/>
      <w:bookmarkEnd w:id="563"/>
      <w:bookmarkEnd w:id="564"/>
      <w:bookmarkEnd w:id="565"/>
      <w:bookmarkEnd w:id="566"/>
      <w:r>
        <w:t>Market Information System (</w:t>
      </w:r>
      <w:r w:rsidR="00A442A0">
        <w:t>MIS</w:t>
      </w:r>
      <w:r>
        <w:t>)</w:t>
      </w:r>
      <w:r w:rsidR="00A442A0">
        <w:t xml:space="preserve"> Secure Area</w:t>
      </w:r>
      <w:bookmarkEnd w:id="567"/>
      <w:bookmarkEnd w:id="568"/>
      <w:bookmarkEnd w:id="569"/>
      <w:bookmarkEnd w:id="570"/>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71" w:name="_Toc80425623"/>
      <w:bookmarkStart w:id="572" w:name="_Toc118224524"/>
      <w:bookmarkStart w:id="573" w:name="_Toc118909592"/>
      <w:bookmarkStart w:id="574"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 xml:space="preserve">A notice required by the Protocols or any Other Binding Document, or at ERCOT’s discretion, regarding market-relevant information that shall be communicated through ERCOT </w:t>
      </w:r>
      <w:proofErr w:type="gramStart"/>
      <w:r w:rsidRPr="004222A1">
        <w:t>publicly-subscribed</w:t>
      </w:r>
      <w:proofErr w:type="gramEnd"/>
      <w:r w:rsidRPr="004222A1">
        <w:t xml:space="preserve">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71"/>
      <w:bookmarkEnd w:id="572"/>
      <w:bookmarkEnd w:id="573"/>
      <w:bookmarkEnd w:id="574"/>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75" w:name="_Toc73847851"/>
            <w:bookmarkStart w:id="576" w:name="_Toc118224525"/>
            <w:bookmarkStart w:id="577" w:name="_Toc118909593"/>
            <w:bookmarkStart w:id="578" w:name="_Toc205190416"/>
            <w:bookmarkEnd w:id="559"/>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00A14A15">
              <w:rPr>
                <w:b/>
                <w:i/>
              </w:rPr>
              <w:lastRenderedPageBreak/>
              <w:t>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w:t>
      </w:r>
      <w:proofErr w:type="gramStart"/>
      <w:r w:rsidRPr="0086627E">
        <w:rPr>
          <w:color w:val="000000"/>
          <w:szCs w:val="23"/>
        </w:rPr>
        <w:t>time period</w:t>
      </w:r>
      <w:proofErr w:type="gramEnd"/>
      <w:r w:rsidRPr="0086627E">
        <w:rPr>
          <w:color w:val="000000"/>
          <w:szCs w:val="23"/>
        </w:rPr>
        <w:t xml:space="preserve">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lastRenderedPageBreak/>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 xml:space="preserve">The aggregate maximum MW of Resource Planned Outages that will be approved by ERCOT for any </w:t>
      </w:r>
      <w:proofErr w:type="gramStart"/>
      <w:r w:rsidRPr="00377CC8">
        <w:t>time period</w:t>
      </w:r>
      <w:proofErr w:type="gramEnd"/>
      <w:r w:rsidRPr="00377CC8">
        <w:t xml:space="preserve">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9" w:name="_Toc118224527"/>
      <w:bookmarkStart w:id="580" w:name="_Toc118909595"/>
      <w:bookmarkStart w:id="581" w:name="_Toc205190418"/>
      <w:bookmarkStart w:id="582" w:name="_Toc73847861"/>
      <w:bookmarkStart w:id="583" w:name="_Toc73847852"/>
      <w:bookmarkEnd w:id="575"/>
      <w:bookmarkEnd w:id="576"/>
      <w:bookmarkEnd w:id="577"/>
      <w:bookmarkEnd w:id="578"/>
      <w:r w:rsidRPr="004222A1">
        <w:rPr>
          <w:b/>
        </w:rPr>
        <w:t>Maximum Power Consumption (MPC)</w:t>
      </w:r>
      <w:bookmarkEnd w:id="579"/>
      <w:bookmarkEnd w:id="580"/>
      <w:bookmarkEnd w:id="581"/>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84" w:name="_Toc73847853"/>
      <w:bookmarkStart w:id="585" w:name="_Toc118224528"/>
      <w:bookmarkStart w:id="586" w:name="_Toc118909596"/>
      <w:bookmarkStart w:id="587" w:name="_Toc205190419"/>
      <w:bookmarkEnd w:id="582"/>
      <w:bookmarkEnd w:id="583"/>
      <w:r w:rsidRPr="004222A1">
        <w:rPr>
          <w:b/>
        </w:rPr>
        <w:t>Messaging System</w:t>
      </w:r>
      <w:bookmarkEnd w:id="584"/>
      <w:bookmarkEnd w:id="585"/>
      <w:bookmarkEnd w:id="586"/>
      <w:bookmarkEnd w:id="587"/>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8" w:name="_Toc73847854"/>
      <w:bookmarkStart w:id="589" w:name="_Toc80425630"/>
      <w:bookmarkStart w:id="590" w:name="_Toc118224529"/>
      <w:bookmarkStart w:id="591" w:name="_Toc118909597"/>
      <w:bookmarkStart w:id="592" w:name="_Toc205190420"/>
      <w:r w:rsidRPr="004222A1">
        <w:rPr>
          <w:b/>
          <w:lang w:val="sv-SE"/>
        </w:rPr>
        <w:t>Meter Data Acquisition System</w:t>
      </w:r>
      <w:bookmarkEnd w:id="588"/>
      <w:r w:rsidRPr="004222A1">
        <w:rPr>
          <w:b/>
          <w:lang w:val="sv-SE"/>
        </w:rPr>
        <w:t xml:space="preserve"> (MDAS)</w:t>
      </w:r>
      <w:bookmarkEnd w:id="589"/>
      <w:bookmarkEnd w:id="590"/>
      <w:bookmarkEnd w:id="591"/>
      <w:bookmarkEnd w:id="592"/>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93" w:name="_Toc80425633"/>
      <w:bookmarkStart w:id="594" w:name="_Toc118224530"/>
      <w:bookmarkStart w:id="595" w:name="_Toc118909598"/>
      <w:bookmarkStart w:id="596" w:name="_Toc205190421"/>
      <w:r w:rsidRPr="004222A1">
        <w:rPr>
          <w:b/>
        </w:rPr>
        <w:t>Meter Reading Entity (MRE)</w:t>
      </w:r>
      <w:bookmarkEnd w:id="593"/>
      <w:bookmarkEnd w:id="594"/>
      <w:bookmarkEnd w:id="595"/>
      <w:bookmarkEnd w:id="596"/>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7" w:name="_Toc118224531"/>
      <w:bookmarkStart w:id="598" w:name="_Toc118909599"/>
      <w:bookmarkStart w:id="599" w:name="_Toc205190422"/>
      <w:bookmarkStart w:id="600"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lastRenderedPageBreak/>
        <w:t>Minimum-Energy Offer</w:t>
      </w:r>
      <w:bookmarkEnd w:id="597"/>
      <w:bookmarkEnd w:id="598"/>
      <w:bookmarkEnd w:id="599"/>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601" w:name="_Toc118224532"/>
      <w:bookmarkStart w:id="602" w:name="_Toc118909600"/>
      <w:bookmarkStart w:id="603" w:name="_Toc205190423"/>
      <w:r w:rsidRPr="004222A1">
        <w:rPr>
          <w:b/>
        </w:rPr>
        <w:t>Minimum Reservation Price</w:t>
      </w:r>
      <w:bookmarkEnd w:id="601"/>
      <w:bookmarkEnd w:id="602"/>
      <w:bookmarkEnd w:id="603"/>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604" w:name="_Toc118224533"/>
      <w:bookmarkStart w:id="605" w:name="_Toc118909601"/>
      <w:bookmarkStart w:id="606" w:name="_Toc205190424"/>
      <w:bookmarkStart w:id="607" w:name="_Toc73847868"/>
      <w:bookmarkStart w:id="608" w:name="_Toc73847867"/>
      <w:bookmarkStart w:id="609" w:name="_Toc80425644"/>
      <w:bookmarkEnd w:id="600"/>
      <w:r w:rsidRPr="004222A1">
        <w:rPr>
          <w:b/>
        </w:rPr>
        <w:t>Mitigated Offer Cap</w:t>
      </w:r>
      <w:bookmarkEnd w:id="604"/>
      <w:bookmarkEnd w:id="605"/>
      <w:bookmarkEnd w:id="606"/>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10" w:name="_Toc118224534"/>
            <w:bookmarkStart w:id="611" w:name="_Toc118909602"/>
            <w:bookmarkStart w:id="612"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10"/>
      <w:bookmarkEnd w:id="611"/>
      <w:bookmarkEnd w:id="612"/>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13" w:name="_Toc205190426"/>
      <w:bookmarkStart w:id="614" w:name="_Toc80425647"/>
      <w:bookmarkStart w:id="615" w:name="_Toc118224535"/>
      <w:bookmarkStart w:id="616" w:name="_Toc118909603"/>
      <w:bookmarkEnd w:id="607"/>
      <w:bookmarkEnd w:id="608"/>
      <w:bookmarkEnd w:id="609"/>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13"/>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7"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lastRenderedPageBreak/>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14"/>
      <w:bookmarkEnd w:id="615"/>
      <w:bookmarkEnd w:id="616"/>
      <w:bookmarkEnd w:id="617"/>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 xml:space="preserve">An IDR that is not assigned a BUSIDRRQ Load Profile Type and </w:t>
      </w:r>
      <w:proofErr w:type="gramStart"/>
      <w:r>
        <w:t>is located in</w:t>
      </w:r>
      <w:proofErr w:type="gramEnd"/>
      <w:r>
        <w:t xml:space="preserve"> a</w:t>
      </w:r>
      <w:r w:rsidR="00F9077F">
        <w:t>n</w:t>
      </w:r>
      <w:r>
        <w:t xml:space="preserve"> MOU or an EC area that is offering Customer Choice.  Data submittal for these recorders will be as per Retail Market Guide, Appendix G, </w:t>
      </w:r>
      <w:bookmarkStart w:id="618" w:name="_Toc245284342"/>
      <w:bookmarkStart w:id="619" w:name="_Toc257217482"/>
      <w:bookmarkStart w:id="620" w:name="_Toc260860335"/>
      <w:bookmarkStart w:id="621" w:name="_Toc266801432"/>
      <w:r w:rsidRPr="00911E5B">
        <w:t>ERCOT Specified File Format</w:t>
      </w:r>
      <w:bookmarkEnd w:id="618"/>
      <w:bookmarkEnd w:id="619"/>
      <w:r w:rsidRPr="00911E5B">
        <w:t xml:space="preserve"> for Submission of Interval Data for Advanced Metering Systems</w:t>
      </w:r>
      <w:bookmarkEnd w:id="620"/>
      <w:bookmarkEnd w:id="621"/>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 xml:space="preserve">Must-Run Alternative </w:t>
            </w:r>
            <w:r>
              <w:lastRenderedPageBreak/>
              <w:t>(</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lastRenderedPageBreak/>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lastRenderedPageBreak/>
        <w:t>N</w:t>
      </w:r>
      <w:bookmarkStart w:id="622" w:name="N"/>
      <w:bookmarkEnd w:id="622"/>
    </w:p>
    <w:p w14:paraId="0BC3EB68" w14:textId="77777777" w:rsidR="00B75513" w:rsidRDefault="00E81E00">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23" w:name="_Toc118224536"/>
      <w:bookmarkStart w:id="624" w:name="_Toc118909604"/>
      <w:bookmarkStart w:id="625" w:name="_Toc205190428"/>
      <w:bookmarkStart w:id="626" w:name="_Toc73847871"/>
      <w:bookmarkStart w:id="627" w:name="_Toc80425649"/>
      <w:r w:rsidRPr="004222A1">
        <w:rPr>
          <w:b/>
        </w:rPr>
        <w:t>Net Dependable Capability</w:t>
      </w:r>
      <w:bookmarkEnd w:id="623"/>
      <w:bookmarkEnd w:id="624"/>
      <w:bookmarkEnd w:id="625"/>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28" w:name="_Toc118224537"/>
      <w:bookmarkStart w:id="629" w:name="_Toc118909605"/>
      <w:bookmarkStart w:id="630" w:name="_Toc205190429"/>
      <w:r w:rsidRPr="004222A1">
        <w:rPr>
          <w:b/>
        </w:rPr>
        <w:t>Net Generation</w:t>
      </w:r>
      <w:bookmarkEnd w:id="626"/>
      <w:bookmarkEnd w:id="627"/>
      <w:bookmarkEnd w:id="628"/>
      <w:bookmarkEnd w:id="629"/>
      <w:bookmarkEnd w:id="630"/>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2BCF1320" w14:textId="77777777" w:rsidR="00A41F86" w:rsidRPr="005512EA" w:rsidRDefault="00A41F86" w:rsidP="00A41F86">
      <w:pPr>
        <w:pStyle w:val="H2"/>
        <w:rPr>
          <w:b/>
          <w:bCs/>
        </w:rPr>
      </w:pPr>
      <w:bookmarkStart w:id="631" w:name="_Hlk178063370"/>
      <w:bookmarkStart w:id="632" w:name="_Toc80425650"/>
      <w:bookmarkStart w:id="633" w:name="_Toc118224538"/>
      <w:bookmarkStart w:id="634" w:name="_Toc118909606"/>
      <w:bookmarkStart w:id="635" w:name="_Toc205190430"/>
      <w:r w:rsidRPr="005512EA">
        <w:rPr>
          <w:b/>
          <w:bCs/>
        </w:rPr>
        <w:t xml:space="preserve">Net </w:t>
      </w:r>
      <w:r w:rsidRPr="00A41F86">
        <w:rPr>
          <w:b/>
        </w:rPr>
        <w:t>Load</w:t>
      </w:r>
    </w:p>
    <w:p w14:paraId="00833B59" w14:textId="4D0D0CB9" w:rsidR="00A41F86" w:rsidRDefault="00A41F86" w:rsidP="00A41F86">
      <w:pPr>
        <w:pStyle w:val="BodyText"/>
      </w:pPr>
      <w:r w:rsidRPr="005512EA">
        <w:t xml:space="preserve">The Load for a given period minus generation from </w:t>
      </w:r>
      <w:proofErr w:type="spellStart"/>
      <w:r w:rsidRPr="005512EA">
        <w:t>PhotoVoltaic</w:t>
      </w:r>
      <w:proofErr w:type="spellEnd"/>
      <w:r w:rsidRPr="005512EA">
        <w:t xml:space="preserve"> Generation Resources (PVGR</w:t>
      </w:r>
      <w:r w:rsidR="00CE2B2B">
        <w:t>s</w:t>
      </w:r>
      <w:r w:rsidRPr="005512EA">
        <w:t xml:space="preserve">) and Wind Generation Resources (WGRs) for the </w:t>
      </w:r>
      <w:r>
        <w:t>same p</w:t>
      </w:r>
      <w:r w:rsidRPr="005512EA">
        <w:t>erio</w:t>
      </w:r>
      <w:r>
        <w:t>d.</w:t>
      </w:r>
    </w:p>
    <w:bookmarkEnd w:id="631"/>
    <w:p w14:paraId="31141FB2" w14:textId="77777777" w:rsidR="005D1947" w:rsidRPr="004222A1" w:rsidRDefault="00A442A0">
      <w:pPr>
        <w:pStyle w:val="H2"/>
        <w:rPr>
          <w:b/>
        </w:rPr>
      </w:pPr>
      <w:r w:rsidRPr="004222A1">
        <w:rPr>
          <w:b/>
        </w:rPr>
        <w:t>Network Operations Model</w:t>
      </w:r>
      <w:bookmarkEnd w:id="632"/>
      <w:bookmarkEnd w:id="633"/>
      <w:bookmarkEnd w:id="634"/>
      <w:bookmarkEnd w:id="63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36" w:name="_Toc118224539"/>
            <w:bookmarkStart w:id="637" w:name="_Toc118909607"/>
            <w:bookmarkStart w:id="638"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36"/>
      <w:bookmarkEnd w:id="637"/>
      <w:bookmarkEnd w:id="63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39" w:name="_Toc73847874"/>
      <w:bookmarkStart w:id="640" w:name="_Toc118224540"/>
      <w:bookmarkStart w:id="641" w:name="_Toc118909608"/>
      <w:bookmarkStart w:id="642" w:name="_Toc205190432"/>
      <w:r w:rsidRPr="004222A1">
        <w:rPr>
          <w:b/>
        </w:rPr>
        <w:t>Non-Competitive Constraint</w:t>
      </w:r>
      <w:bookmarkEnd w:id="639"/>
      <w:bookmarkEnd w:id="640"/>
      <w:bookmarkEnd w:id="641"/>
      <w:bookmarkEnd w:id="64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43" w:name="_Toc205190433"/>
            <w:bookmarkStart w:id="644" w:name="_Toc118224541"/>
            <w:bookmarkStart w:id="64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4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46"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44"/>
      <w:bookmarkEnd w:id="645"/>
      <w:bookmarkEnd w:id="64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47" w:name="_Toc73847877"/>
      <w:bookmarkStart w:id="648" w:name="_Toc80425660"/>
      <w:bookmarkStart w:id="649" w:name="_Toc118224542"/>
      <w:bookmarkStart w:id="650" w:name="_Toc118909610"/>
      <w:bookmarkStart w:id="651" w:name="_Toc205190435"/>
      <w:bookmarkStart w:id="652"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47"/>
      <w:bookmarkEnd w:id="648"/>
      <w:bookmarkEnd w:id="649"/>
      <w:bookmarkEnd w:id="650"/>
      <w:bookmarkEnd w:id="65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53" w:name="_Toc80425661"/>
      <w:bookmarkStart w:id="654" w:name="_Toc118224543"/>
      <w:bookmarkStart w:id="655" w:name="_Toc118909611"/>
      <w:bookmarkStart w:id="656" w:name="_Toc205190436"/>
      <w:r w:rsidRPr="004222A1">
        <w:rPr>
          <w:b/>
          <w:lang w:val="it-IT"/>
        </w:rPr>
        <w:t>Non-Spinning Reserve (Non-Spin)</w:t>
      </w:r>
      <w:bookmarkEnd w:id="653"/>
      <w:bookmarkEnd w:id="654"/>
      <w:bookmarkEnd w:id="655"/>
      <w:bookmarkEnd w:id="656"/>
      <w:r w:rsidRPr="004222A1">
        <w:rPr>
          <w:b/>
          <w:lang w:val="it-IT"/>
        </w:rPr>
        <w:t xml:space="preserve"> </w:t>
      </w:r>
    </w:p>
    <w:bookmarkEnd w:id="652"/>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xml:space="preserve">.  Non-Spin may also be provided from unloaded On-Line capacity that meets the 30-minute response </w:t>
      </w:r>
      <w:r>
        <w:lastRenderedPageBreak/>
        <w:t>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57" w:name="_Toc118224544"/>
            <w:bookmarkStart w:id="658" w:name="_Toc118909612"/>
            <w:bookmarkStart w:id="659"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57"/>
      <w:bookmarkEnd w:id="658"/>
      <w:bookmarkEnd w:id="65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60" w:name="_Toc80425664"/>
      <w:bookmarkStart w:id="661" w:name="_Toc118224545"/>
      <w:bookmarkStart w:id="662" w:name="_Toc118909613"/>
      <w:bookmarkStart w:id="663" w:name="_Toc205190438"/>
      <w:r w:rsidRPr="004222A1">
        <w:rPr>
          <w:b/>
        </w:rPr>
        <w:t>Normal Rating</w:t>
      </w:r>
      <w:bookmarkEnd w:id="66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61"/>
      <w:bookmarkEnd w:id="662"/>
      <w:bookmarkEnd w:id="663"/>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lastRenderedPageBreak/>
        <w:t>O</w:t>
      </w:r>
      <w:bookmarkStart w:id="664" w:name="O"/>
      <w:bookmarkEnd w:id="664"/>
    </w:p>
    <w:p w14:paraId="75F58771" w14:textId="77777777" w:rsidR="00B75513" w:rsidRDefault="00E81E00">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65" w:name="_Toc118224546"/>
      <w:bookmarkStart w:id="666" w:name="_Toc118909614"/>
      <w:bookmarkStart w:id="667" w:name="_Toc205190439"/>
      <w:r w:rsidRPr="004222A1">
        <w:rPr>
          <w:b/>
        </w:rPr>
        <w:t>Off-Line</w:t>
      </w:r>
      <w:bookmarkEnd w:id="665"/>
      <w:bookmarkEnd w:id="666"/>
      <w:bookmarkEnd w:id="667"/>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68" w:name="_Toc118224549"/>
      <w:bookmarkStart w:id="669" w:name="_Toc118909617"/>
      <w:bookmarkStart w:id="670" w:name="_Toc205190442"/>
      <w:r w:rsidRPr="004222A1">
        <w:rPr>
          <w:b/>
        </w:rPr>
        <w:t>On-Line</w:t>
      </w:r>
      <w:bookmarkEnd w:id="668"/>
      <w:bookmarkEnd w:id="669"/>
      <w:bookmarkEnd w:id="670"/>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71" w:name="_Toc80425673"/>
      <w:bookmarkStart w:id="672" w:name="_Toc118224550"/>
      <w:bookmarkStart w:id="673" w:name="_Toc118909618"/>
      <w:bookmarkStart w:id="674" w:name="_Toc205190443"/>
      <w:bookmarkStart w:id="675" w:name="_Toc73847886"/>
      <w:r w:rsidRPr="004222A1">
        <w:rPr>
          <w:b/>
        </w:rPr>
        <w:t>On-Peak</w:t>
      </w:r>
      <w:bookmarkEnd w:id="671"/>
      <w:r w:rsidRPr="004222A1">
        <w:rPr>
          <w:b/>
        </w:rPr>
        <w:t xml:space="preserve"> Hours</w:t>
      </w:r>
      <w:bookmarkEnd w:id="672"/>
      <w:bookmarkEnd w:id="673"/>
      <w:bookmarkEnd w:id="674"/>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76" w:name="_Toc80425675"/>
      <w:bookmarkStart w:id="677" w:name="_Toc118224551"/>
      <w:bookmarkStart w:id="678" w:name="_Toc118909619"/>
      <w:bookmarkStart w:id="679" w:name="_Toc205190444"/>
      <w:bookmarkStart w:id="680" w:name="_Toc73847888"/>
      <w:bookmarkEnd w:id="675"/>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76"/>
      <w:bookmarkEnd w:id="677"/>
      <w:bookmarkEnd w:id="678"/>
      <w:bookmarkEnd w:id="679"/>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81" w:name="_Toc80425677"/>
      <w:bookmarkStart w:id="682" w:name="_Toc118224553"/>
      <w:bookmarkStart w:id="683" w:name="_Toc118909621"/>
      <w:bookmarkStart w:id="684" w:name="_Toc205190446"/>
      <w:bookmarkStart w:id="685" w:name="_Toc73847889"/>
      <w:bookmarkEnd w:id="680"/>
      <w:r w:rsidRPr="004222A1">
        <w:rPr>
          <w:b/>
        </w:rPr>
        <w:t>Operating Hour</w:t>
      </w:r>
      <w:bookmarkEnd w:id="681"/>
      <w:bookmarkEnd w:id="682"/>
      <w:bookmarkEnd w:id="683"/>
      <w:bookmarkEnd w:id="684"/>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86" w:name="_Toc73847890"/>
      <w:bookmarkStart w:id="687" w:name="_Toc118224554"/>
      <w:bookmarkStart w:id="688" w:name="_Toc118909622"/>
      <w:bookmarkStart w:id="689" w:name="_Toc205190447"/>
      <w:bookmarkEnd w:id="685"/>
      <w:r w:rsidRPr="004222A1">
        <w:rPr>
          <w:b/>
        </w:rPr>
        <w:t>Operating Period</w:t>
      </w:r>
      <w:bookmarkEnd w:id="686"/>
      <w:bookmarkEnd w:id="687"/>
      <w:bookmarkEnd w:id="688"/>
      <w:bookmarkEnd w:id="689"/>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90" w:name="_Toc118224555"/>
            <w:bookmarkStart w:id="691" w:name="_Toc118909623"/>
            <w:bookmarkStart w:id="692" w:name="_Toc205190448"/>
            <w:bookmarkStart w:id="693" w:name="_Toc80425682"/>
            <w:bookmarkStart w:id="694" w:name="_Toc73847894"/>
            <w:r>
              <w:rPr>
                <w:b/>
                <w:i/>
                <w:iCs/>
              </w:rPr>
              <w:lastRenderedPageBreak/>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1004D536" w:rsidR="00B75513"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90"/>
      <w:bookmarkEnd w:id="691"/>
      <w:bookmarkEnd w:id="692"/>
    </w:p>
    <w:p w14:paraId="0FAD68C9" w14:textId="77777777" w:rsidR="00831DAE" w:rsidRPr="00EA71DD" w:rsidRDefault="00831DAE" w:rsidP="00831DAE">
      <w:pPr>
        <w:pStyle w:val="H2"/>
        <w:keepNext w:val="0"/>
        <w:ind w:left="907" w:hanging="907"/>
        <w:rPr>
          <w:b/>
        </w:rPr>
      </w:pPr>
      <w:proofErr w:type="spellStart"/>
      <w:r w:rsidRPr="00EA71DD">
        <w:rPr>
          <w:b/>
        </w:rPr>
        <w:t>Opt</w:t>
      </w:r>
      <w:proofErr w:type="spellEnd"/>
      <w:r w:rsidRPr="00EA71DD">
        <w:rPr>
          <w:b/>
        </w:rPr>
        <w:t xml:space="preserve">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w:t>
      </w:r>
      <w:proofErr w:type="spellStart"/>
      <w:r w:rsidRPr="00EA71DD">
        <w:rPr>
          <w:iCs/>
        </w:rPr>
        <w:t>Opt</w:t>
      </w:r>
      <w:proofErr w:type="spellEnd"/>
      <w:r w:rsidRPr="00EA71DD">
        <w:rPr>
          <w:iCs/>
        </w:rPr>
        <w:t xml:space="preserve"> Out Snapshot is taken at the earlier of:</w:t>
      </w:r>
    </w:p>
    <w:p w14:paraId="415B90B9" w14:textId="77777777" w:rsidR="00831DAE" w:rsidRPr="00EA71DD" w:rsidRDefault="00831DAE" w:rsidP="00831DAE">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24742607" w14:textId="70CBE5BE" w:rsidR="00831DAE" w:rsidRPr="00831DAE" w:rsidRDefault="00831DAE" w:rsidP="00831DAE">
      <w:pPr>
        <w:spacing w:after="240"/>
        <w:ind w:left="720" w:hanging="720"/>
      </w:pPr>
      <w:r w:rsidRPr="00EA71DD">
        <w:rPr>
          <w:iCs/>
        </w:rPr>
        <w:t>(b)</w:t>
      </w:r>
      <w:r w:rsidRPr="00EA71DD">
        <w:rPr>
          <w:iCs/>
        </w:rPr>
        <w:tab/>
        <w:t xml:space="preserve">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596878">
      <w:pPr>
        <w:pStyle w:val="H2"/>
        <w:rPr>
          <w:b/>
        </w:rPr>
      </w:pPr>
      <w:bookmarkStart w:id="695" w:name="_Toc118224556"/>
      <w:bookmarkStart w:id="696" w:name="_Toc118909624"/>
      <w:bookmarkStart w:id="697" w:name="_Toc205190449"/>
      <w:bookmarkStart w:id="698"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93"/>
      <w:bookmarkEnd w:id="695"/>
      <w:bookmarkEnd w:id="696"/>
      <w:bookmarkEnd w:id="697"/>
    </w:p>
    <w:bookmarkEnd w:id="698"/>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9" w:name="_Toc118224557"/>
      <w:bookmarkStart w:id="700" w:name="_Toc118909625"/>
      <w:bookmarkStart w:id="701" w:name="_Toc205190450"/>
      <w:r>
        <w:t>Forced Outage</w:t>
      </w:r>
      <w:bookmarkEnd w:id="699"/>
      <w:bookmarkEnd w:id="700"/>
      <w:bookmarkEnd w:id="701"/>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lastRenderedPageBreak/>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702" w:name="_Toc118224558"/>
      <w:bookmarkStart w:id="703" w:name="_Toc118909626"/>
      <w:bookmarkStart w:id="704" w:name="_Toc205190451"/>
      <w:r>
        <w:t>Maintenance Outage</w:t>
      </w:r>
      <w:bookmarkEnd w:id="702"/>
      <w:bookmarkEnd w:id="703"/>
      <w:bookmarkEnd w:id="704"/>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705" w:name="_Toc118224559"/>
      <w:bookmarkStart w:id="706" w:name="_Toc118909627"/>
      <w:bookmarkStart w:id="707" w:name="_Toc205190452"/>
      <w:bookmarkStart w:id="708" w:name="_Toc80425683"/>
      <w:r>
        <w:t>Opportunity Outage</w:t>
      </w:r>
      <w:bookmarkEnd w:id="705"/>
      <w:bookmarkEnd w:id="706"/>
      <w:bookmarkEnd w:id="707"/>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9" w:name="_Toc118224560"/>
      <w:bookmarkStart w:id="710" w:name="_Toc118909628"/>
      <w:bookmarkStart w:id="711" w:name="_Toc205190453"/>
      <w:r>
        <w:t>Planned Outage</w:t>
      </w:r>
      <w:bookmarkEnd w:id="708"/>
      <w:bookmarkEnd w:id="709"/>
      <w:bookmarkEnd w:id="710"/>
      <w:bookmarkEnd w:id="711"/>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12" w:name="_Toc97957528"/>
      <w:bookmarkStart w:id="713" w:name="_Toc118224561"/>
      <w:bookmarkStart w:id="714" w:name="_Toc118909629"/>
      <w:bookmarkStart w:id="715" w:name="_Toc205190454"/>
      <w:r>
        <w:lastRenderedPageBreak/>
        <w:t>Simple Transmission Outage</w:t>
      </w:r>
      <w:bookmarkEnd w:id="712"/>
      <w:bookmarkEnd w:id="713"/>
      <w:bookmarkEnd w:id="714"/>
      <w:bookmarkEnd w:id="715"/>
    </w:p>
    <w:p w14:paraId="0D8B1E41" w14:textId="77777777" w:rsidR="005D1947" w:rsidRDefault="00A442A0">
      <w:pPr>
        <w:pStyle w:val="BodyTextIndent"/>
        <w:ind w:left="360"/>
        <w:rPr>
          <w:b/>
        </w:rPr>
      </w:pPr>
      <w:bookmarkStart w:id="716"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16"/>
      <w:r>
        <w:t xml:space="preserve">  </w:t>
      </w:r>
    </w:p>
    <w:p w14:paraId="34E8B7A5" w14:textId="77777777" w:rsidR="002C0A55" w:rsidRPr="00F057BA" w:rsidRDefault="002C0A55" w:rsidP="002C0A55">
      <w:pPr>
        <w:pStyle w:val="BodyText"/>
        <w:spacing w:before="240"/>
        <w:rPr>
          <w:b/>
        </w:rPr>
      </w:pPr>
      <w:bookmarkStart w:id="717" w:name="_Toc73847896"/>
      <w:bookmarkStart w:id="718" w:name="_Toc80425684"/>
      <w:bookmarkStart w:id="719" w:name="_Toc118224563"/>
      <w:bookmarkStart w:id="720" w:name="_Toc118909631"/>
      <w:bookmarkStart w:id="721" w:name="_Toc205190456"/>
      <w:bookmarkEnd w:id="694"/>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lastRenderedPageBreak/>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lastRenderedPageBreak/>
        <w:t>Output Schedule</w:t>
      </w:r>
      <w:bookmarkEnd w:id="717"/>
      <w:bookmarkEnd w:id="718"/>
      <w:bookmarkEnd w:id="719"/>
      <w:bookmarkEnd w:id="720"/>
      <w:bookmarkEnd w:id="721"/>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22" w:name="P"/>
      <w:bookmarkEnd w:id="722"/>
    </w:p>
    <w:p w14:paraId="44945531" w14:textId="77777777" w:rsidR="003F0F8C" w:rsidRDefault="00E81E00" w:rsidP="003F0F8C">
      <w:pPr>
        <w:pStyle w:val="ListIntroduction"/>
        <w:keepNext w:val="0"/>
        <w:rPr>
          <w:rStyle w:val="Hyperlink"/>
        </w:rPr>
      </w:pPr>
      <w:hyperlink w:anchor="_DEFINITIONS" w:history="1">
        <w:r w:rsidR="00842B9A">
          <w:rPr>
            <w:rStyle w:val="Hyperlink"/>
          </w:rPr>
          <w:t>[Back to Top]</w:t>
        </w:r>
      </w:hyperlink>
      <w:bookmarkStart w:id="723" w:name="_Toc205190457"/>
      <w:bookmarkStart w:id="724" w:name="_Toc80425685"/>
      <w:bookmarkStart w:id="725" w:name="_Toc118224564"/>
      <w:bookmarkStart w:id="726" w:name="_Toc118909632"/>
      <w:bookmarkStart w:id="727"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w:t>
      </w:r>
      <w:proofErr w:type="gramStart"/>
      <w:r>
        <w:t>as a result of</w:t>
      </w:r>
      <w:proofErr w:type="gramEnd"/>
      <w:r>
        <w:t xml:space="preserve">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lastRenderedPageBreak/>
        <w:t>Physical Responsive Capability (PRC)</w:t>
      </w:r>
      <w:bookmarkEnd w:id="723"/>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8"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24"/>
      </w:hyperlink>
      <w:r w:rsidR="00927819" w:rsidRPr="004222A1">
        <w:rPr>
          <w:b/>
        </w:rPr>
        <w:t>)</w:t>
      </w:r>
      <w:bookmarkEnd w:id="725"/>
      <w:bookmarkEnd w:id="726"/>
      <w:bookmarkEnd w:id="728"/>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9" w:name="_Toc118224565"/>
            <w:bookmarkStart w:id="730" w:name="_Toc118909633"/>
            <w:bookmarkStart w:id="731" w:name="_Toc205190459"/>
            <w:bookmarkEnd w:id="727"/>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lastRenderedPageBreak/>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lastRenderedPageBreak/>
        <w:t>Power System Stabilizer</w:t>
      </w:r>
      <w:bookmarkEnd w:id="729"/>
      <w:bookmarkEnd w:id="730"/>
      <w:bookmarkEnd w:id="731"/>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32" w:name="_Toc73847901"/>
      <w:bookmarkStart w:id="733" w:name="_Toc118224566"/>
      <w:bookmarkStart w:id="734" w:name="_Toc118909634"/>
      <w:bookmarkStart w:id="735"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32"/>
      <w:bookmarkEnd w:id="733"/>
      <w:bookmarkEnd w:id="734"/>
      <w:bookmarkEnd w:id="735"/>
    </w:p>
    <w:p w14:paraId="4195A6AD" w14:textId="77777777" w:rsidR="005D1947" w:rsidRDefault="00A442A0">
      <w:pPr>
        <w:pStyle w:val="BodyText"/>
      </w:pPr>
      <w:bookmarkStart w:id="736"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w:t>
      </w:r>
      <w:proofErr w:type="gramStart"/>
      <w:r>
        <w:rPr>
          <w:color w:val="000000"/>
        </w:rPr>
        <w:t>in order to</w:t>
      </w:r>
      <w:proofErr w:type="gramEnd"/>
      <w:r>
        <w:rPr>
          <w:color w:val="000000"/>
        </w:rPr>
        <w:t xml:space="preserve">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3F26825D"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r w:rsidR="00FC5B22">
        <w:t xml:space="preserve">Energy Storage Resources (ESRs), </w:t>
      </w:r>
      <w:r w:rsidRPr="002E42F0">
        <w:t>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5786E8C5" w:rsidR="00C51B65" w:rsidRPr="004B32CF" w:rsidRDefault="00C51B65" w:rsidP="00A321F9">
            <w:pPr>
              <w:spacing w:before="120" w:after="240"/>
              <w:rPr>
                <w:b/>
                <w:i/>
                <w:iCs/>
              </w:rPr>
            </w:pPr>
            <w:bookmarkStart w:id="737" w:name="_Toc80425694"/>
            <w:bookmarkStart w:id="738" w:name="_Toc118224567"/>
            <w:bookmarkStart w:id="739" w:name="_Toc118909635"/>
            <w:bookmarkStart w:id="740" w:name="_Toc205190463"/>
            <w:bookmarkStart w:id="741" w:name="_Toc73847905"/>
            <w:bookmarkEnd w:id="736"/>
            <w:r>
              <w:rPr>
                <w:b/>
                <w:i/>
                <w:iCs/>
              </w:rPr>
              <w:t>[</w:t>
            </w:r>
            <w:r w:rsidR="00DE2B51">
              <w:rPr>
                <w:b/>
                <w:i/>
                <w:iCs/>
              </w:rPr>
              <w:t>NPRR995</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 xml:space="preserve">Generation Resources, Energy Storage Resources (ESRs), Controllable Load Resources, and the natural </w:t>
            </w:r>
            <w:r w:rsidRPr="00C51B65">
              <w:rPr>
                <w:szCs w:val="24"/>
              </w:rPr>
              <w:lastRenderedPageBreak/>
              <w:t>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lastRenderedPageBreak/>
        <w:t>Prior Agreement</w:t>
      </w:r>
      <w:bookmarkEnd w:id="737"/>
      <w:bookmarkEnd w:id="738"/>
      <w:bookmarkEnd w:id="739"/>
      <w:bookmarkEnd w:id="740"/>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42" w:name="_Toc205190464"/>
      <w:bookmarkStart w:id="743" w:name="_Toc73847906"/>
      <w:bookmarkStart w:id="744" w:name="_Toc80425696"/>
      <w:bookmarkStart w:id="745" w:name="_Toc118224568"/>
      <w:bookmarkStart w:id="746" w:name="_Toc118909636"/>
      <w:bookmarkStart w:id="747" w:name="_Toc73847907"/>
      <w:bookmarkEnd w:id="741"/>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42"/>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8" w:name="_Toc205190465"/>
      <w:r w:rsidRPr="004222A1">
        <w:rPr>
          <w:b/>
        </w:rPr>
        <w:t>Program Administrator</w:t>
      </w:r>
      <w:bookmarkEnd w:id="743"/>
      <w:bookmarkEnd w:id="744"/>
      <w:bookmarkEnd w:id="745"/>
      <w:bookmarkEnd w:id="746"/>
      <w:bookmarkEnd w:id="748"/>
    </w:p>
    <w:p w14:paraId="5B9715E4" w14:textId="38176964"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9" w:name="_Toc80425699"/>
      <w:bookmarkStart w:id="750" w:name="_Toc118224569"/>
      <w:bookmarkStart w:id="751" w:name="_Toc118909637"/>
      <w:bookmarkStart w:id="752" w:name="_Toc205190466"/>
      <w:bookmarkEnd w:id="747"/>
      <w:r w:rsidRPr="004222A1">
        <w:rPr>
          <w:b/>
        </w:rPr>
        <w:t>Protected Information</w:t>
      </w:r>
      <w:bookmarkEnd w:id="749"/>
      <w:bookmarkEnd w:id="750"/>
      <w:bookmarkEnd w:id="751"/>
      <w:bookmarkEnd w:id="752"/>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53" w:name="_Toc73847911"/>
      <w:bookmarkStart w:id="754" w:name="_Toc80425701"/>
      <w:bookmarkStart w:id="755" w:name="_Toc118224570"/>
      <w:bookmarkStart w:id="756" w:name="_Toc118909638"/>
      <w:bookmarkStart w:id="757" w:name="_Toc205190467"/>
      <w:r w:rsidRPr="004222A1">
        <w:rPr>
          <w:b/>
        </w:rPr>
        <w:t>Provider of Last Resort (POLR)</w:t>
      </w:r>
      <w:bookmarkEnd w:id="753"/>
      <w:bookmarkEnd w:id="754"/>
      <w:bookmarkEnd w:id="755"/>
      <w:bookmarkEnd w:id="756"/>
      <w:bookmarkEnd w:id="757"/>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8" w:name="Q"/>
      <w:bookmarkEnd w:id="758"/>
    </w:p>
    <w:p w14:paraId="2B2B3413" w14:textId="77777777" w:rsidR="00B75513" w:rsidRDefault="00E81E00">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9" w:name="_Toc73847913"/>
      <w:bookmarkStart w:id="760" w:name="_Toc80425706"/>
      <w:bookmarkStart w:id="761" w:name="_Toc118224573"/>
      <w:bookmarkStart w:id="762" w:name="_Toc118909641"/>
      <w:bookmarkStart w:id="763" w:name="_Toc205190470"/>
      <w:bookmarkStart w:id="764" w:name="QSE"/>
      <w:r w:rsidRPr="004222A1">
        <w:rPr>
          <w:b/>
        </w:rPr>
        <w:lastRenderedPageBreak/>
        <w:t>Qualified Scheduling Entity (QSE)</w:t>
      </w:r>
      <w:bookmarkEnd w:id="759"/>
      <w:bookmarkEnd w:id="760"/>
      <w:bookmarkEnd w:id="761"/>
      <w:bookmarkEnd w:id="762"/>
      <w:bookmarkEnd w:id="763"/>
      <w:bookmarkEnd w:id="764"/>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65" w:name="_Toc73847914"/>
      <w:bookmarkStart w:id="766" w:name="_Toc80425707"/>
      <w:bookmarkStart w:id="767" w:name="_Toc118224574"/>
      <w:bookmarkStart w:id="768" w:name="_Toc118909642"/>
      <w:bookmarkStart w:id="769"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 xml:space="preserve">Qualified Scheduling Entity (QSE) </w:t>
            </w:r>
            <w:proofErr w:type="spellStart"/>
            <w:r w:rsidRPr="004C64EB">
              <w:rPr>
                <w:lang w:val="en-US" w:eastAsia="en-US"/>
              </w:rPr>
              <w:t>Clawback</w:t>
            </w:r>
            <w:proofErr w:type="spellEnd"/>
            <w:r w:rsidRPr="004C64EB">
              <w:rPr>
                <w:lang w:val="en-US" w:eastAsia="en-US"/>
              </w:rPr>
              <w:t xml:space="preserve">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w:t>
            </w:r>
            <w:proofErr w:type="spellStart"/>
            <w:r w:rsidRPr="00F56FDD">
              <w:rPr>
                <w:b/>
                <w:iCs/>
              </w:rPr>
              <w:t>Clawback</w:t>
            </w:r>
            <w:proofErr w:type="spellEnd"/>
            <w:r w:rsidRPr="00F56FDD">
              <w:rPr>
                <w:b/>
                <w:iCs/>
              </w:rPr>
              <w:t xml:space="preserve">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lastRenderedPageBreak/>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lastRenderedPageBreak/>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65"/>
      <w:r w:rsidRPr="004222A1">
        <w:rPr>
          <w:b/>
        </w:rPr>
        <w:t xml:space="preserve"> (QF)</w:t>
      </w:r>
      <w:bookmarkEnd w:id="766"/>
      <w:bookmarkEnd w:id="767"/>
      <w:bookmarkEnd w:id="768"/>
      <w:bookmarkEnd w:id="769"/>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lastRenderedPageBreak/>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70" w:name="R"/>
      <w:bookmarkEnd w:id="770"/>
    </w:p>
    <w:p w14:paraId="29A2C034" w14:textId="77777777" w:rsidR="00B75513" w:rsidRDefault="00E81E00">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71" w:name="_Toc118224575"/>
      <w:bookmarkStart w:id="772" w:name="_Toc118909643"/>
      <w:bookmarkStart w:id="773" w:name="_Toc205190472"/>
      <w:bookmarkStart w:id="774" w:name="Ratings"/>
      <w:bookmarkStart w:id="775" w:name="_Toc73847915"/>
      <w:r w:rsidRPr="004222A1">
        <w:rPr>
          <w:b/>
        </w:rPr>
        <w:t>Rating</w:t>
      </w:r>
      <w:bookmarkEnd w:id="771"/>
      <w:bookmarkEnd w:id="772"/>
      <w:bookmarkEnd w:id="773"/>
      <w:bookmarkEnd w:id="774"/>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6" w:name="_Toc118224576"/>
      <w:bookmarkStart w:id="777" w:name="_Toc118909644"/>
      <w:bookmarkStart w:id="778" w:name="_Toc205190473"/>
      <w:r>
        <w:t>Emergency Rating</w:t>
      </w:r>
      <w:bookmarkEnd w:id="776"/>
      <w:bookmarkEnd w:id="777"/>
      <w:bookmarkEnd w:id="778"/>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9" w:name="_Toc118224577"/>
      <w:bookmarkStart w:id="780" w:name="_Toc118909645"/>
      <w:bookmarkStart w:id="781" w:name="_Toc205190474"/>
      <w:r>
        <w:t>15-Minute Rating</w:t>
      </w:r>
      <w:bookmarkEnd w:id="779"/>
      <w:bookmarkEnd w:id="780"/>
      <w:bookmarkEnd w:id="781"/>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82" w:name="_Toc118224578"/>
      <w:bookmarkStart w:id="783" w:name="_Toc118909646"/>
      <w:bookmarkStart w:id="784" w:name="_Toc205190475"/>
      <w:r>
        <w:t>Normal Rating</w:t>
      </w:r>
      <w:bookmarkEnd w:id="782"/>
      <w:bookmarkEnd w:id="783"/>
      <w:bookmarkEnd w:id="784"/>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5" w:name="_Toc118224579"/>
      <w:bookmarkStart w:id="786" w:name="_Toc118909647"/>
      <w:bookmarkStart w:id="787" w:name="_Toc205190476"/>
      <w:r>
        <w:lastRenderedPageBreak/>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5"/>
      <w:bookmarkEnd w:id="785"/>
      <w:bookmarkEnd w:id="786"/>
      <w:bookmarkEnd w:id="787"/>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8" w:name="_Toc73847918"/>
      <w:bookmarkStart w:id="789" w:name="_Toc118224580"/>
      <w:bookmarkStart w:id="790" w:name="_Toc118909648"/>
      <w:bookmarkStart w:id="791" w:name="_Toc205190477"/>
      <w:r w:rsidRPr="004222A1">
        <w:rPr>
          <w:b/>
        </w:rPr>
        <w:t>Real-Time</w:t>
      </w:r>
      <w:bookmarkEnd w:id="788"/>
      <w:bookmarkEnd w:id="789"/>
      <w:bookmarkEnd w:id="790"/>
      <w:bookmarkEnd w:id="791"/>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lastRenderedPageBreak/>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lastRenderedPageBreak/>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lastRenderedPageBreak/>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lastRenderedPageBreak/>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92" w:name="_Toc73847924"/>
      <w:bookmarkStart w:id="793" w:name="_Toc118224582"/>
      <w:bookmarkStart w:id="794" w:name="_Toc118909650"/>
      <w:bookmarkStart w:id="795" w:name="_Toc205190481"/>
      <w:r w:rsidRPr="004222A1">
        <w:rPr>
          <w:b/>
          <w:iCs/>
        </w:rPr>
        <w:t>Regulation</w:t>
      </w:r>
      <w:r w:rsidRPr="004222A1">
        <w:rPr>
          <w:b/>
        </w:rPr>
        <w:t xml:space="preserve"> Down Service (Reg-Down)</w:t>
      </w:r>
      <w:bookmarkEnd w:id="792"/>
      <w:bookmarkEnd w:id="793"/>
      <w:bookmarkEnd w:id="794"/>
      <w:bookmarkEnd w:id="795"/>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6" w:name="_Toc73847925"/>
      <w:bookmarkStart w:id="797" w:name="_Toc118224583"/>
      <w:bookmarkStart w:id="798" w:name="_Toc118909651"/>
      <w:bookmarkStart w:id="799" w:name="_Toc205190482"/>
      <w:r w:rsidRPr="004222A1">
        <w:rPr>
          <w:b/>
        </w:rPr>
        <w:t>Regulation Service</w:t>
      </w:r>
      <w:bookmarkEnd w:id="796"/>
      <w:bookmarkEnd w:id="797"/>
      <w:bookmarkEnd w:id="798"/>
      <w:bookmarkEnd w:id="799"/>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w:t>
      </w:r>
      <w:r>
        <w:lastRenderedPageBreak/>
        <w:t xml:space="preserve">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w:t>
      </w:r>
      <w:r w:rsidRPr="00425796">
        <w:rPr>
          <w:iCs w:val="0"/>
        </w:rPr>
        <w:lastRenderedPageBreak/>
        <w:t xml:space="preserve">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800" w:name="_Toc73847926"/>
            <w:bookmarkStart w:id="801" w:name="_Toc118224584"/>
            <w:bookmarkStart w:id="802" w:name="_Toc118909652"/>
            <w:bookmarkStart w:id="803"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800"/>
      <w:bookmarkEnd w:id="801"/>
      <w:bookmarkEnd w:id="802"/>
      <w:bookmarkEnd w:id="803"/>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804" w:name="_Toc80425722"/>
      <w:bookmarkStart w:id="805" w:name="_Toc118224585"/>
      <w:bookmarkStart w:id="806" w:name="_Toc118909653"/>
      <w:bookmarkStart w:id="807" w:name="_Toc205190484"/>
      <w:bookmarkStart w:id="808"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804"/>
      <w:bookmarkEnd w:id="805"/>
      <w:bookmarkEnd w:id="806"/>
      <w:bookmarkEnd w:id="807"/>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9" w:name="_Toc73847929"/>
      <w:bookmarkStart w:id="810" w:name="_Toc118224586"/>
      <w:bookmarkStart w:id="811" w:name="_Toc118909654"/>
      <w:bookmarkStart w:id="812" w:name="_Toc205190485"/>
      <w:bookmarkEnd w:id="808"/>
      <w:r w:rsidRPr="004222A1">
        <w:rPr>
          <w:b/>
        </w:rPr>
        <w:t>Reliability Must-Run (RMR) Unit</w:t>
      </w:r>
      <w:bookmarkEnd w:id="809"/>
      <w:bookmarkEnd w:id="810"/>
      <w:bookmarkEnd w:id="811"/>
      <w:bookmarkEnd w:id="812"/>
    </w:p>
    <w:p w14:paraId="6316A9B2" w14:textId="77777777" w:rsidR="005D1947" w:rsidRDefault="00A442A0">
      <w:pPr>
        <w:pStyle w:val="BodyText"/>
      </w:pPr>
      <w:bookmarkStart w:id="813" w:name="_Toc80425724"/>
      <w:bookmarkStart w:id="814"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5" w:name="_Toc118224587"/>
      <w:bookmarkStart w:id="816" w:name="_Toc118909655"/>
      <w:bookmarkStart w:id="817" w:name="_Toc205190486"/>
      <w:r w:rsidRPr="004222A1">
        <w:rPr>
          <w:b/>
        </w:rPr>
        <w:t>Reliability Unit Commitment (RUC)</w:t>
      </w:r>
      <w:bookmarkEnd w:id="813"/>
      <w:bookmarkEnd w:id="815"/>
      <w:bookmarkEnd w:id="816"/>
      <w:bookmarkEnd w:id="817"/>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818" w:name="_Toc73847931"/>
      <w:bookmarkStart w:id="819" w:name="_Toc118224588"/>
      <w:bookmarkStart w:id="820" w:name="_Toc118909656"/>
      <w:bookmarkStart w:id="821" w:name="_Toc205190487"/>
      <w:bookmarkEnd w:id="814"/>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lastRenderedPageBreak/>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8"/>
      <w:bookmarkEnd w:id="819"/>
      <w:bookmarkEnd w:id="820"/>
      <w:bookmarkEnd w:id="821"/>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22" w:name="Remedial"/>
      <w:bookmarkStart w:id="823" w:name="_Toc205190488"/>
      <w:bookmarkStart w:id="824" w:name="_Toc73847932"/>
      <w:bookmarkStart w:id="825" w:name="_Toc118224589"/>
      <w:bookmarkStart w:id="826" w:name="_Toc118909657"/>
      <w:bookmarkEnd w:id="822"/>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lastRenderedPageBreak/>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23"/>
    </w:p>
    <w:p w14:paraId="5B701E73" w14:textId="77777777" w:rsidR="005D1947" w:rsidRDefault="00A442A0">
      <w:pPr>
        <w:pStyle w:val="BodyText"/>
      </w:pPr>
      <w:r>
        <w:t xml:space="preserve">A tradable instrument that represents </w:t>
      </w:r>
      <w:proofErr w:type="gramStart"/>
      <w:r>
        <w:t>all of</w:t>
      </w:r>
      <w:proofErr w:type="gramEnd"/>
      <w:r>
        <w:t xml:space="preserve"> the renewable attributes associated with one MWh of production from a certified renewable generator.  </w:t>
      </w:r>
    </w:p>
    <w:p w14:paraId="774CF685" w14:textId="77777777" w:rsidR="00425796" w:rsidRPr="004222A1" w:rsidRDefault="00425796" w:rsidP="00425796">
      <w:pPr>
        <w:pStyle w:val="H2"/>
        <w:rPr>
          <w:b/>
        </w:rPr>
      </w:pPr>
      <w:bookmarkStart w:id="827"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22892A69" w14:textId="1ED4E7CE" w:rsidR="005D1947" w:rsidRDefault="00425796" w:rsidP="009A2C57">
      <w:pPr>
        <w:pStyle w:val="BodyText"/>
      </w:pPr>
      <w:r>
        <w:t xml:space="preserve">The </w:t>
      </w:r>
      <w:r w:rsidR="00084BDE">
        <w:t>REC</w:t>
      </w:r>
      <w:r>
        <w:t xml:space="preserve"> Trading </w:t>
      </w:r>
      <w:r w:rsidR="00553485">
        <w:t>P</w:t>
      </w:r>
      <w:r>
        <w:t>rogram, as described in Section 14, State of Texas Renewable Energy Credit Trading Program, and P.U.C. S</w:t>
      </w:r>
      <w:r>
        <w:rPr>
          <w:smallCaps/>
        </w:rPr>
        <w:t>ubst</w:t>
      </w:r>
      <w:r>
        <w:t>. R. 25.173, Renewable Energy</w:t>
      </w:r>
      <w:r w:rsidR="00F36D71">
        <w:t xml:space="preserve"> Credit Program</w:t>
      </w:r>
      <w:r>
        <w:t>.</w:t>
      </w:r>
      <w:bookmarkEnd w:id="827"/>
    </w:p>
    <w:p w14:paraId="032CC8DA" w14:textId="77777777" w:rsidR="005D1947" w:rsidRPr="004222A1" w:rsidRDefault="00A442A0" w:rsidP="00E81E00">
      <w:pPr>
        <w:pStyle w:val="H2"/>
        <w:rPr>
          <w:b/>
        </w:rPr>
      </w:pPr>
      <w:bookmarkStart w:id="828" w:name="_Toc205190490"/>
      <w:r w:rsidRPr="004222A1">
        <w:rPr>
          <w:b/>
        </w:rPr>
        <w:t>Renewable Production Potential</w:t>
      </w:r>
      <w:bookmarkEnd w:id="824"/>
      <w:r w:rsidRPr="004222A1">
        <w:rPr>
          <w:b/>
        </w:rPr>
        <w:t xml:space="preserve"> (RPP)</w:t>
      </w:r>
      <w:bookmarkEnd w:id="825"/>
      <w:bookmarkEnd w:id="826"/>
      <w:bookmarkEnd w:id="828"/>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9" w:name="_Toc205190491"/>
      <w:bookmarkStart w:id="830" w:name="_Toc73847937"/>
      <w:bookmarkStart w:id="831" w:name="_Toc118224590"/>
      <w:bookmarkStart w:id="832" w:name="_Toc118909658"/>
      <w:r w:rsidRPr="004222A1">
        <w:rPr>
          <w:b/>
        </w:rPr>
        <w:t>Repowered Facility</w:t>
      </w:r>
      <w:bookmarkEnd w:id="829"/>
    </w:p>
    <w:p w14:paraId="29472191" w14:textId="4B57A7D6"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R. 25.173, Renewable Energy</w:t>
      </w:r>
      <w:r w:rsidR="00F36D71">
        <w:t xml:space="preserve"> Credit Program</w:t>
      </w:r>
      <w:r>
        <w:t xml:space="preserve">.  </w:t>
      </w:r>
    </w:p>
    <w:p w14:paraId="28DF8F45" w14:textId="77777777" w:rsidR="00DC57A6" w:rsidRPr="0040712E" w:rsidRDefault="00DC57A6" w:rsidP="00DC57A6">
      <w:pPr>
        <w:pStyle w:val="BodyTextIndent"/>
        <w:spacing w:before="240"/>
        <w:ind w:left="0"/>
        <w:rPr>
          <w:b/>
        </w:rPr>
      </w:pPr>
      <w:bookmarkStart w:id="833"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lastRenderedPageBreak/>
        <w:t>Reserve Discount Factor (RDF)</w:t>
      </w:r>
      <w:bookmarkEnd w:id="833"/>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34" w:name="_Toc205190493"/>
      <w:r w:rsidRPr="004222A1">
        <w:rPr>
          <w:b/>
        </w:rPr>
        <w:t>Resource</w:t>
      </w:r>
      <w:bookmarkStart w:id="835" w:name="Resource"/>
      <w:bookmarkEnd w:id="830"/>
      <w:bookmarkEnd w:id="831"/>
      <w:bookmarkEnd w:id="832"/>
      <w:bookmarkEnd w:id="834"/>
      <w:bookmarkEnd w:id="835"/>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lastRenderedPageBreak/>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lastRenderedPageBreak/>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57ED02E5" w:rsidR="00701996" w:rsidRPr="00701996" w:rsidRDefault="00701996" w:rsidP="00701996">
      <w:pPr>
        <w:pStyle w:val="BodyText"/>
        <w:ind w:left="720"/>
      </w:pPr>
      <w:r w:rsidRPr="00701996">
        <w:t>A</w:t>
      </w:r>
      <w:r w:rsidR="005D6C50">
        <w:t xml:space="preserve"> Controllable</w:t>
      </w:r>
      <w:r w:rsidRPr="00701996">
        <w:t xml:space="preserve">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201392">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w:t>
      </w:r>
      <w:proofErr w:type="gramStart"/>
      <w:r w:rsidRPr="0026415E">
        <w:rPr>
          <w:iCs w:val="0"/>
        </w:rPr>
        <w:t>is capable of providing</w:t>
      </w:r>
      <w:proofErr w:type="gramEnd"/>
      <w:r w:rsidRPr="0026415E">
        <w:rPr>
          <w:iCs w:val="0"/>
        </w:rPr>
        <w:t xml:space="preserve">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07DC9256" w:rsidR="00CC0A31" w:rsidRPr="00402446" w:rsidRDefault="00F06978" w:rsidP="00CC0A31">
      <w:pPr>
        <w:spacing w:after="240"/>
        <w:ind w:left="360"/>
        <w:rPr>
          <w:iCs/>
        </w:rPr>
      </w:pPr>
      <w:r w:rsidRPr="00402446">
        <w:rPr>
          <w:iCs/>
        </w:rPr>
        <w:t xml:space="preserve">A Generation Resource that is an aggregation of generators, </w:t>
      </w:r>
      <w:proofErr w:type="gramStart"/>
      <w:r w:rsidRPr="00402446">
        <w:rPr>
          <w:iCs/>
        </w:rPr>
        <w:t>with the exception of</w:t>
      </w:r>
      <w:proofErr w:type="gramEnd"/>
      <w:r w:rsidRPr="00402446">
        <w:rPr>
          <w:iCs/>
        </w:rPr>
        <w:t xml:space="preserve">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lastRenderedPageBreak/>
        <w:t>Combined Cycle Train</w:t>
      </w:r>
    </w:p>
    <w:p w14:paraId="298C4E0C" w14:textId="77777777" w:rsidR="00835AE7" w:rsidRDefault="00835AE7" w:rsidP="00835AE7">
      <w:pPr>
        <w:keepNext/>
        <w:widowControl w:val="0"/>
        <w:tabs>
          <w:tab w:val="left" w:pos="1260"/>
        </w:tabs>
        <w:spacing w:after="240"/>
        <w:ind w:left="360"/>
        <w:outlineLvl w:val="3"/>
      </w:pPr>
      <w:r w:rsidRPr="00EB5819">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w:t>
      </w:r>
      <w:proofErr w:type="gramStart"/>
      <w:r w:rsidRPr="00EB5819">
        <w:t>for the production of</w:t>
      </w:r>
      <w:proofErr w:type="gramEnd"/>
      <w:r w:rsidRPr="00EB5819">
        <w:t xml:space="preserve">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lastRenderedPageBreak/>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lastRenderedPageBreak/>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6" w:name="ResourceCategory"/>
      <w:bookmarkStart w:id="837" w:name="_Toc73847941"/>
      <w:bookmarkStart w:id="838" w:name="_Toc118224596"/>
      <w:bookmarkStart w:id="839" w:name="_Toc118909664"/>
      <w:bookmarkStart w:id="840" w:name="_Toc205190503"/>
      <w:bookmarkEnd w:id="836"/>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lastRenderedPageBreak/>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t>PhotoVoltaic</w:t>
      </w:r>
      <w:proofErr w:type="spellEnd"/>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7"/>
      <w:bookmarkEnd w:id="838"/>
      <w:bookmarkEnd w:id="839"/>
      <w:bookmarkEnd w:id="840"/>
    </w:p>
    <w:p w14:paraId="41CD42B4" w14:textId="3921D85D" w:rsidR="005D1947" w:rsidRDefault="0020238E">
      <w:pPr>
        <w:pStyle w:val="BodyText"/>
      </w:pPr>
      <w:bookmarkStart w:id="841" w:name="_Toc73847942"/>
      <w:r w:rsidRPr="009E4B89">
        <w:rPr>
          <w:iCs w:val="0"/>
        </w:rPr>
        <w:t xml:space="preserve">An Entity that owns or controls a </w:t>
      </w:r>
      <w:r>
        <w:rPr>
          <w:iCs w:val="0"/>
        </w:rPr>
        <w:t>Generation Resource</w:t>
      </w:r>
      <w:r w:rsidR="00616A36" w:rsidRPr="00C51B65">
        <w:rPr>
          <w:szCs w:val="24"/>
        </w:rPr>
        <w:t>, an Energy Storage Resource (ESR)</w:t>
      </w:r>
      <w:r>
        <w:rPr>
          <w:iCs w:val="0"/>
        </w:rPr>
        <w:t>,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3B105380" w:rsidR="00C51B65" w:rsidRPr="004B32CF" w:rsidRDefault="00C51B65" w:rsidP="00A321F9">
            <w:pPr>
              <w:spacing w:before="120" w:after="240"/>
              <w:rPr>
                <w:b/>
                <w:i/>
                <w:iCs/>
              </w:rPr>
            </w:pPr>
            <w:bookmarkStart w:id="842" w:name="_Toc118224597"/>
            <w:bookmarkStart w:id="843" w:name="_Toc118909665"/>
            <w:bookmarkStart w:id="844" w:name="_Toc205190504"/>
            <w:r>
              <w:rPr>
                <w:b/>
                <w:i/>
                <w:iCs/>
              </w:rPr>
              <w:t>[</w:t>
            </w:r>
            <w:r w:rsidR="006D5B74">
              <w:rPr>
                <w:b/>
                <w:i/>
                <w:iCs/>
              </w:rPr>
              <w:t>NPRR995</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lastRenderedPageBreak/>
        <w:t>Resource ID</w:t>
      </w:r>
      <w:bookmarkEnd w:id="841"/>
      <w:r w:rsidRPr="004222A1">
        <w:rPr>
          <w:b/>
        </w:rPr>
        <w:t xml:space="preserve"> (RID)</w:t>
      </w:r>
      <w:bookmarkEnd w:id="842"/>
      <w:bookmarkEnd w:id="843"/>
      <w:bookmarkEnd w:id="844"/>
    </w:p>
    <w:p w14:paraId="23D40550" w14:textId="080C8CBE" w:rsidR="005D1947" w:rsidRDefault="00A442A0">
      <w:pPr>
        <w:pStyle w:val="BodyText"/>
      </w:pPr>
      <w:r>
        <w:t xml:space="preserve">A unique identifier assigned to each </w:t>
      </w:r>
      <w:r w:rsidR="001E0358">
        <w:t>ERCOT-Polled Settlement (EPS) Meter or Settlement Only Generator (SOG) meter.  The RID for a SOG meter may be identical to the SOG’s Electric Service Identifier (ESI ID)</w:t>
      </w:r>
      <w:r>
        <w:t>.</w:t>
      </w:r>
    </w:p>
    <w:p w14:paraId="17DCA5A8" w14:textId="77777777" w:rsidR="005D1947" w:rsidRPr="004222A1" w:rsidRDefault="00A442A0">
      <w:pPr>
        <w:pStyle w:val="H2"/>
        <w:rPr>
          <w:b/>
        </w:rPr>
      </w:pPr>
      <w:bookmarkStart w:id="845" w:name="_Toc118224598"/>
      <w:bookmarkStart w:id="846" w:name="_Toc118909666"/>
      <w:bookmarkStart w:id="847" w:name="_Toc205190505"/>
      <w:bookmarkStart w:id="848" w:name="_Toc73847943"/>
      <w:bookmarkStart w:id="849" w:name="_Toc80425740"/>
      <w:bookmarkStart w:id="850" w:name="_Toc73847944"/>
      <w:r w:rsidRPr="004222A1">
        <w:rPr>
          <w:b/>
        </w:rPr>
        <w:t>Resource Node</w:t>
      </w:r>
      <w:bookmarkEnd w:id="845"/>
      <w:bookmarkEnd w:id="846"/>
      <w:bookmarkEnd w:id="847"/>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51" w:name="_Toc118224599"/>
      <w:bookmarkStart w:id="852" w:name="_Toc118909667"/>
      <w:bookmarkStart w:id="853" w:name="_Toc205190506"/>
      <w:bookmarkEnd w:id="848"/>
      <w:bookmarkEnd w:id="849"/>
      <w:bookmarkEnd w:id="850"/>
      <w:r w:rsidRPr="004222A1">
        <w:rPr>
          <w:b/>
        </w:rPr>
        <w:t>Resource Parameter</w:t>
      </w:r>
      <w:bookmarkEnd w:id="851"/>
      <w:bookmarkEnd w:id="852"/>
      <w:bookmarkEnd w:id="853"/>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4" w:name="_Toc118224600"/>
      <w:bookmarkStart w:id="855" w:name="_Toc118909668"/>
      <w:bookmarkStart w:id="856"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54"/>
      <w:bookmarkEnd w:id="855"/>
      <w:bookmarkEnd w:id="856"/>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7" w:name="_Toc73847946"/>
      <w:bookmarkStart w:id="858" w:name="_Toc118224601"/>
      <w:bookmarkStart w:id="859" w:name="_Toc118909669"/>
      <w:bookmarkStart w:id="860" w:name="_Toc205190508"/>
      <w:r w:rsidRPr="004222A1">
        <w:rPr>
          <w:b/>
        </w:rPr>
        <w:lastRenderedPageBreak/>
        <w:t>Responsive Reserve</w:t>
      </w:r>
      <w:bookmarkEnd w:id="857"/>
      <w:bookmarkEnd w:id="858"/>
      <w:bookmarkEnd w:id="859"/>
      <w:bookmarkEnd w:id="860"/>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61" w:name="_Toc205190509"/>
      <w:bookmarkStart w:id="862" w:name="_Toc73847948"/>
      <w:bookmarkStart w:id="863" w:name="_Toc118224602"/>
      <w:bookmarkStart w:id="864"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61"/>
    </w:p>
    <w:p w14:paraId="450F530F" w14:textId="77777777" w:rsidR="005D1947" w:rsidRPr="004222A1" w:rsidRDefault="00A442A0">
      <w:pPr>
        <w:pStyle w:val="H2"/>
        <w:spacing w:before="360"/>
        <w:ind w:left="907" w:hanging="907"/>
        <w:rPr>
          <w:b/>
        </w:rPr>
      </w:pPr>
      <w:bookmarkStart w:id="865"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62"/>
      <w:r w:rsidRPr="004222A1">
        <w:rPr>
          <w:b/>
        </w:rPr>
        <w:t xml:space="preserve"> (REP)</w:t>
      </w:r>
      <w:bookmarkEnd w:id="863"/>
      <w:bookmarkEnd w:id="864"/>
      <w:bookmarkEnd w:id="865"/>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6" w:name="_Toc205190511"/>
      <w:bookmarkStart w:id="867" w:name="_Toc73847949"/>
      <w:bookmarkStart w:id="868" w:name="_Toc118224603"/>
      <w:bookmarkStart w:id="869" w:name="_Toc118909671"/>
      <w:r w:rsidRPr="004222A1">
        <w:rPr>
          <w:b/>
        </w:rPr>
        <w:t>Retail Entity</w:t>
      </w:r>
      <w:bookmarkEnd w:id="866"/>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70" w:name="_Toc205190512"/>
      <w:r w:rsidRPr="00585E54">
        <w:rPr>
          <w:b/>
        </w:rPr>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67"/>
      <w:bookmarkEnd w:id="868"/>
      <w:bookmarkEnd w:id="869"/>
      <w:bookmarkEnd w:id="870"/>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78328F" w14:paraId="2DFD06A1" w14:textId="77777777" w:rsidTr="0078328F">
        <w:trPr>
          <w:trHeight w:val="476"/>
        </w:trPr>
        <w:tc>
          <w:tcPr>
            <w:tcW w:w="9445" w:type="dxa"/>
            <w:shd w:val="clear" w:color="auto" w:fill="E0E0E0"/>
          </w:tcPr>
          <w:p w14:paraId="6C425A77" w14:textId="468C607F" w:rsidR="0078328F" w:rsidRPr="00625E9F" w:rsidRDefault="0078328F" w:rsidP="00FE6580">
            <w:pPr>
              <w:pStyle w:val="Instructions"/>
              <w:spacing w:before="120"/>
              <w:rPr>
                <w:lang w:val="en-US" w:eastAsia="en-US"/>
              </w:rPr>
            </w:pPr>
            <w:r>
              <w:rPr>
                <w:lang w:val="en-US" w:eastAsia="en-US"/>
              </w:rPr>
              <w:lastRenderedPageBreak/>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Round Trip Efficiency</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3D79D86" w14:textId="77777777" w:rsidR="0078328F" w:rsidRPr="0078328F" w:rsidRDefault="0078328F" w:rsidP="0078328F">
            <w:pPr>
              <w:keepNext/>
              <w:tabs>
                <w:tab w:val="left" w:pos="900"/>
              </w:tabs>
              <w:spacing w:after="240"/>
              <w:ind w:left="900" w:hanging="900"/>
              <w:outlineLvl w:val="1"/>
              <w:rPr>
                <w:b/>
              </w:rPr>
            </w:pPr>
            <w:r w:rsidRPr="0078328F">
              <w:rPr>
                <w:b/>
              </w:rPr>
              <w:t>Round Trip Efficiency</w:t>
            </w:r>
          </w:p>
          <w:p w14:paraId="2C009912" w14:textId="56DA231B" w:rsidR="0078328F" w:rsidRPr="0078328F" w:rsidRDefault="0078328F" w:rsidP="0078328F">
            <w:pPr>
              <w:pStyle w:val="BodyText"/>
              <w:rPr>
                <w:iCs w:val="0"/>
                <w:szCs w:val="24"/>
              </w:rPr>
            </w:pPr>
            <w:r w:rsidRPr="0078328F">
              <w:rPr>
                <w:szCs w:val="24"/>
              </w:rPr>
              <w:t xml:space="preserve">The percentage of electrical energy consumed by an Energy Storage Resource (ESR) (i.e., charging) that is later </w:t>
            </w:r>
            <w:proofErr w:type="gramStart"/>
            <w:r w:rsidRPr="0078328F">
              <w:rPr>
                <w:szCs w:val="24"/>
              </w:rPr>
              <w:t>returned back</w:t>
            </w:r>
            <w:proofErr w:type="gramEnd"/>
            <w:r w:rsidRPr="0078328F">
              <w:rPr>
                <w:szCs w:val="24"/>
              </w:rPr>
              <w:t xml:space="preserve"> to the grid (i.e., discharging).  The energy consumed by an </w:t>
            </w:r>
            <w:proofErr w:type="gramStart"/>
            <w:r w:rsidRPr="0078328F">
              <w:rPr>
                <w:szCs w:val="24"/>
              </w:rPr>
              <w:t>ESR</w:t>
            </w:r>
            <w:proofErr w:type="gramEnd"/>
            <w:r w:rsidRPr="0078328F">
              <w:rPr>
                <w:szCs w:val="24"/>
              </w:rPr>
              <w:t xml:space="preserve"> and </w:t>
            </w:r>
            <w:r w:rsidRPr="0078328F">
              <w:t>energy</w:t>
            </w:r>
            <w:r w:rsidRPr="0078328F">
              <w:rPr>
                <w:szCs w:val="24"/>
              </w:rPr>
              <w:t xml:space="preserve"> returned back to the grid are measured at the Point of Interconnection (POI) or Point of Common Coupling (POCC).  The charging and discharging energy </w:t>
            </w:r>
            <w:proofErr w:type="gramStart"/>
            <w:r w:rsidRPr="0078328F">
              <w:rPr>
                <w:szCs w:val="24"/>
              </w:rPr>
              <w:t>does</w:t>
            </w:r>
            <w:proofErr w:type="gramEnd"/>
            <w:r w:rsidRPr="0078328F">
              <w:rPr>
                <w:szCs w:val="24"/>
              </w:rPr>
              <w:t xml:space="preserve"> not include the energy consumed by the auxiliary Load of the ESR.</w:t>
            </w:r>
          </w:p>
        </w:tc>
      </w:tr>
    </w:tbl>
    <w:p w14:paraId="7E6806E3" w14:textId="77777777" w:rsidR="005D1947" w:rsidRDefault="00A442A0" w:rsidP="0078328F">
      <w:pPr>
        <w:pStyle w:val="BodyText"/>
        <w:spacing w:before="240"/>
        <w:rPr>
          <w:b/>
          <w:sz w:val="40"/>
          <w:szCs w:val="40"/>
        </w:rPr>
      </w:pPr>
      <w:r>
        <w:rPr>
          <w:b/>
          <w:sz w:val="40"/>
          <w:szCs w:val="40"/>
        </w:rPr>
        <w:t>S</w:t>
      </w:r>
      <w:bookmarkStart w:id="871" w:name="S"/>
      <w:bookmarkEnd w:id="871"/>
    </w:p>
    <w:p w14:paraId="77DD348A" w14:textId="77777777" w:rsidR="00B75513" w:rsidRDefault="00E81E00">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72" w:name="_Toc118224607"/>
      <w:bookmarkStart w:id="873"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74" w:name="_Toc205190516"/>
      <w:r w:rsidRPr="004222A1">
        <w:rPr>
          <w:b/>
        </w:rPr>
        <w:t>Scheduled Power Consumption Snapshot</w:t>
      </w:r>
      <w:bookmarkEnd w:id="874"/>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5" w:name="_Toc205190517"/>
      <w:r w:rsidRPr="004222A1">
        <w:rPr>
          <w:b/>
        </w:rPr>
        <w:t>Season</w:t>
      </w:r>
      <w:bookmarkEnd w:id="875"/>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7A5C1C41" w14:textId="77777777" w:rsidR="00D377D8" w:rsidRPr="00D377D8" w:rsidRDefault="00D377D8" w:rsidP="00D377D8">
      <w:pPr>
        <w:pStyle w:val="H2"/>
        <w:rPr>
          <w:b/>
        </w:rPr>
      </w:pPr>
      <w:bookmarkStart w:id="876" w:name="_Hlk117499314"/>
      <w:bookmarkStart w:id="877" w:name="_Hlk147911310"/>
      <w:bookmarkStart w:id="878" w:name="_Hlk85616131"/>
      <w:bookmarkStart w:id="879" w:name="_Toc205190518"/>
      <w:r w:rsidRPr="00D377D8">
        <w:rPr>
          <w:b/>
        </w:rPr>
        <w:lastRenderedPageBreak/>
        <w:t>Secure Private Network (SPN)</w:t>
      </w:r>
      <w:bookmarkEnd w:id="876"/>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77"/>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80"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80"/>
      <w:r w:rsidRPr="00ED3498">
        <w:rPr>
          <w:bCs/>
        </w:rPr>
        <w:t xml:space="preserve"> (PUCT), but which may not exceed $800 million. </w:t>
      </w:r>
    </w:p>
    <w:p w14:paraId="635F4E53" w14:textId="77777777" w:rsidR="00E83DC9" w:rsidRPr="00E83DC9" w:rsidRDefault="00E83DC9" w:rsidP="00E83DC9">
      <w:pPr>
        <w:pStyle w:val="H2"/>
        <w:rPr>
          <w:b/>
        </w:rPr>
      </w:pPr>
      <w:bookmarkStart w:id="881" w:name="_Hlk83969962"/>
      <w:r w:rsidRPr="00E83DC9">
        <w:rPr>
          <w:b/>
        </w:rPr>
        <w:t>Securitization Default Charge</w:t>
      </w:r>
    </w:p>
    <w:bookmarkEnd w:id="881"/>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82" w:name="_Hlk90630914"/>
      <w:bookmarkEnd w:id="878"/>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83" w:name="_Hlk90036153"/>
      <w:r w:rsidRPr="00ED3498">
        <w:rPr>
          <w:bCs/>
        </w:rPr>
        <w:t>Public Utility Commission of Texas (PUCT)</w:t>
      </w:r>
      <w:bookmarkEnd w:id="883"/>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 xml:space="preserve">Securitization Uplift </w:t>
      </w:r>
      <w:r w:rsidR="003B158C" w:rsidRPr="00585D57">
        <w:lastRenderedPageBreak/>
        <w:t>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w:t>
      </w:r>
      <w:proofErr w:type="spellStart"/>
      <w:r w:rsidR="003B158C">
        <w:t>Opt</w:t>
      </w:r>
      <w:proofErr w:type="spellEnd"/>
      <w:r w:rsidR="003B158C">
        <w:t xml:space="preserve">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82"/>
    <w:p w14:paraId="14CD0A46" w14:textId="49F0C2B9" w:rsidR="005D1947" w:rsidRPr="004222A1" w:rsidRDefault="00A442A0" w:rsidP="00537A50">
      <w:pPr>
        <w:pStyle w:val="H2"/>
        <w:rPr>
          <w:b/>
        </w:rPr>
      </w:pPr>
      <w:r w:rsidRPr="004222A1">
        <w:rPr>
          <w:b/>
        </w:rPr>
        <w:t>Security-Constrained Economic Dispatch (SCED)</w:t>
      </w:r>
      <w:bookmarkEnd w:id="872"/>
      <w:bookmarkEnd w:id="873"/>
      <w:bookmarkEnd w:id="879"/>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84" w:name="_Toc80425757"/>
            <w:bookmarkStart w:id="885" w:name="_Toc118224608"/>
            <w:bookmarkStart w:id="886" w:name="_Toc118909676"/>
            <w:bookmarkStart w:id="887" w:name="_Toc205190519"/>
            <w:bookmarkStart w:id="888"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t>Self-Arranged Ancillary Service</w:t>
      </w:r>
      <w:bookmarkEnd w:id="884"/>
      <w:r w:rsidRPr="004222A1">
        <w:rPr>
          <w:b/>
        </w:rPr>
        <w:t xml:space="preserve"> Quantity</w:t>
      </w:r>
      <w:bookmarkEnd w:id="885"/>
      <w:bookmarkEnd w:id="886"/>
      <w:bookmarkEnd w:id="887"/>
    </w:p>
    <w:p w14:paraId="10E34D96" w14:textId="6628C545" w:rsidR="005D1947" w:rsidRDefault="00A442A0">
      <w:pPr>
        <w:pStyle w:val="BodyText"/>
      </w:pPr>
      <w:bookmarkStart w:id="889" w:name="_Toc80425758"/>
      <w:bookmarkStart w:id="890" w:name="_Toc73847959"/>
      <w:bookmarkEnd w:id="888"/>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91" w:name="_Toc118224609"/>
            <w:bookmarkStart w:id="892" w:name="_Toc118909677"/>
            <w:bookmarkStart w:id="893" w:name="_Toc205190520"/>
            <w:bookmarkStart w:id="894" w:name="_Toc80425760"/>
            <w:bookmarkStart w:id="895" w:name="_Toc73847963"/>
            <w:bookmarkEnd w:id="889"/>
            <w:bookmarkEnd w:id="89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lastRenderedPageBreak/>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lastRenderedPageBreak/>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91"/>
      <w:bookmarkEnd w:id="892"/>
      <w:bookmarkEnd w:id="893"/>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6" w:name="_Toc205190521"/>
      <w:bookmarkStart w:id="897" w:name="_Toc118224610"/>
      <w:bookmarkStart w:id="898" w:name="_Toc118909678"/>
      <w:r w:rsidRPr="004222A1">
        <w:rPr>
          <w:b/>
        </w:rPr>
        <w:t>Service Address</w:t>
      </w:r>
      <w:bookmarkEnd w:id="896"/>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9" w:name="_Toc205190522"/>
      <w:r w:rsidRPr="004222A1">
        <w:rPr>
          <w:b/>
        </w:rPr>
        <w:t>Service Delivery Point</w:t>
      </w:r>
      <w:bookmarkEnd w:id="894"/>
      <w:bookmarkEnd w:id="897"/>
      <w:bookmarkEnd w:id="898"/>
      <w:bookmarkEnd w:id="899"/>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900" w:name="_Toc118224611"/>
      <w:bookmarkStart w:id="901" w:name="_Toc118909679"/>
      <w:bookmarkStart w:id="902" w:name="_Toc205190523"/>
      <w:bookmarkStart w:id="903" w:name="_Toc73847964"/>
      <w:bookmarkStart w:id="904" w:name="_Toc80425764"/>
      <w:bookmarkStart w:id="905" w:name="_Toc73847967"/>
      <w:bookmarkEnd w:id="895"/>
      <w:r w:rsidRPr="004222A1">
        <w:rPr>
          <w:b/>
        </w:rPr>
        <w:lastRenderedPageBreak/>
        <w:t>Settlement</w:t>
      </w:r>
      <w:bookmarkEnd w:id="900"/>
      <w:bookmarkEnd w:id="901"/>
      <w:bookmarkEnd w:id="902"/>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6" w:name="_Toc205190524"/>
      <w:bookmarkStart w:id="907" w:name="_Toc118224612"/>
      <w:bookmarkStart w:id="908" w:name="_Toc118909680"/>
      <w:r w:rsidRPr="004222A1">
        <w:rPr>
          <w:b/>
        </w:rPr>
        <w:t>Settlement Calendar</w:t>
      </w:r>
      <w:bookmarkEnd w:id="906"/>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9" w:name="_Toc205190525"/>
      <w:r w:rsidRPr="004222A1">
        <w:rPr>
          <w:b/>
        </w:rPr>
        <w:t>Settlement Interval</w:t>
      </w:r>
      <w:bookmarkEnd w:id="903"/>
      <w:bookmarkEnd w:id="904"/>
      <w:bookmarkEnd w:id="907"/>
      <w:bookmarkEnd w:id="908"/>
      <w:bookmarkEnd w:id="909"/>
    </w:p>
    <w:p w14:paraId="11EDD1CC" w14:textId="77777777" w:rsidR="005D1947" w:rsidRDefault="00A442A0">
      <w:pPr>
        <w:pStyle w:val="BodyText"/>
      </w:pPr>
      <w:r>
        <w:t xml:space="preserve">The </w:t>
      </w:r>
      <w:proofErr w:type="gramStart"/>
      <w:r>
        <w:t>time period</w:t>
      </w:r>
      <w:proofErr w:type="gramEnd"/>
      <w:r>
        <w:t xml:space="preserve"> for which markets are settled. </w:t>
      </w:r>
    </w:p>
    <w:p w14:paraId="6B963E6C" w14:textId="77777777" w:rsidR="00EF4BE7" w:rsidRPr="004222A1" w:rsidRDefault="00EF4BE7" w:rsidP="00EF4BE7">
      <w:pPr>
        <w:pStyle w:val="H2"/>
        <w:rPr>
          <w:b/>
        </w:rPr>
      </w:pPr>
      <w:bookmarkStart w:id="910" w:name="_Toc73847966"/>
      <w:bookmarkStart w:id="911" w:name="_Toc80425766"/>
      <w:bookmarkStart w:id="912" w:name="_Toc118224613"/>
      <w:bookmarkStart w:id="913" w:name="_Toc118909681"/>
      <w:bookmarkStart w:id="914"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10"/>
      <w:bookmarkEnd w:id="911"/>
      <w:bookmarkEnd w:id="912"/>
      <w:bookmarkEnd w:id="913"/>
      <w:bookmarkEnd w:id="914"/>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5" w:name="_Toc80425767"/>
            <w:bookmarkStart w:id="916" w:name="_Toc118224614"/>
            <w:bookmarkStart w:id="917" w:name="_Toc118909682"/>
            <w:bookmarkStart w:id="918" w:name="_Toc205190527"/>
            <w:bookmarkEnd w:id="905"/>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9"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lastRenderedPageBreak/>
              <w:t>(2)</w:t>
            </w:r>
            <w:r w:rsidRPr="00BC7AC1">
              <w:tab/>
              <w:t xml:space="preserve">Greater than one and up to ten MW that </w:t>
            </w:r>
            <w:proofErr w:type="gramStart"/>
            <w:r w:rsidRPr="00BC7AC1">
              <w:t>is capable of providing</w:t>
            </w:r>
            <w:proofErr w:type="gramEnd"/>
            <w:r w:rsidRPr="00BC7AC1">
              <w:t xml:space="preserve">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9"/>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20"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w:t>
            </w:r>
            <w:proofErr w:type="gramStart"/>
            <w:r w:rsidRPr="0026415E">
              <w:t>is capable of providing</w:t>
            </w:r>
            <w:proofErr w:type="gramEnd"/>
            <w:r w:rsidRPr="0026415E">
              <w:t xml:space="preserve">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lastRenderedPageBreak/>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20"/>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15"/>
      <w:bookmarkEnd w:id="916"/>
      <w:bookmarkEnd w:id="917"/>
      <w:bookmarkEnd w:id="918"/>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21" w:name="_Toc80425768"/>
      <w:bookmarkStart w:id="922" w:name="_Toc118224615"/>
      <w:bookmarkStart w:id="923" w:name="_Toc118909683"/>
      <w:bookmarkStart w:id="924" w:name="_Toc205190528"/>
      <w:r w:rsidRPr="004222A1">
        <w:rPr>
          <w:b/>
        </w:rPr>
        <w:t>Settlement Point Price</w:t>
      </w:r>
      <w:bookmarkEnd w:id="921"/>
      <w:bookmarkEnd w:id="922"/>
      <w:bookmarkEnd w:id="923"/>
      <w:bookmarkEnd w:id="924"/>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5" w:name="_Toc118224616"/>
      <w:bookmarkStart w:id="926" w:name="_Toc118909684"/>
      <w:bookmarkStart w:id="927" w:name="_Toc205190529"/>
      <w:r w:rsidRPr="004222A1">
        <w:rPr>
          <w:b/>
        </w:rPr>
        <w:t>Settlement Quality Meter Data</w:t>
      </w:r>
      <w:bookmarkEnd w:id="925"/>
      <w:bookmarkEnd w:id="926"/>
      <w:bookmarkEnd w:id="927"/>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28" w:name="_Toc73847972"/>
      <w:bookmarkStart w:id="929" w:name="_Toc118224617"/>
      <w:bookmarkStart w:id="930" w:name="_Toc118909685"/>
      <w:bookmarkStart w:id="931" w:name="_Toc205190530"/>
      <w:r w:rsidRPr="004222A1">
        <w:rPr>
          <w:b/>
        </w:rPr>
        <w:t>Settlement Statement</w:t>
      </w:r>
      <w:bookmarkStart w:id="932" w:name="Settlementstatement"/>
      <w:bookmarkEnd w:id="932"/>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lastRenderedPageBreak/>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28"/>
      <w:bookmarkEnd w:id="929"/>
      <w:bookmarkEnd w:id="930"/>
      <w:bookmarkEnd w:id="931"/>
    </w:p>
    <w:p w14:paraId="51E37754" w14:textId="77777777" w:rsidR="005D1947" w:rsidRDefault="00A442A0">
      <w:pPr>
        <w:pStyle w:val="BodyText"/>
      </w:pPr>
      <w:bookmarkStart w:id="933"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34" w:name="_Toc118224618"/>
      <w:bookmarkStart w:id="935" w:name="_Toc118909686"/>
      <w:bookmarkStart w:id="936" w:name="_Toc205190531"/>
      <w:r w:rsidRPr="004222A1">
        <w:rPr>
          <w:b/>
        </w:rPr>
        <w:t>Shift Factor</w:t>
      </w:r>
      <w:bookmarkEnd w:id="933"/>
      <w:bookmarkEnd w:id="934"/>
      <w:bookmarkEnd w:id="935"/>
      <w:bookmarkEnd w:id="936"/>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lastRenderedPageBreak/>
        <w:t xml:space="preserve">Short-Term </w:t>
      </w:r>
      <w:proofErr w:type="spellStart"/>
      <w:r>
        <w:rPr>
          <w:b/>
        </w:rPr>
        <w:t>PhotoVoltaic</w:t>
      </w:r>
      <w:proofErr w:type="spellEnd"/>
      <w:r>
        <w:rPr>
          <w:b/>
        </w:rPr>
        <w:t xml:space="preserve"> Power Forecast (STPPF)</w:t>
      </w:r>
    </w:p>
    <w:p w14:paraId="36F6C994" w14:textId="38C89516"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37" w:name="_Toc118224619"/>
      <w:bookmarkStart w:id="938" w:name="_Toc118909687"/>
      <w:bookmarkStart w:id="939" w:name="_Toc205190532"/>
      <w:bookmarkStart w:id="940" w:name="_Toc73847975"/>
      <w:bookmarkStart w:id="941" w:name="_Toc80425774"/>
      <w:bookmarkStart w:id="942" w:name="_Toc73847976"/>
      <w:r w:rsidRPr="004222A1">
        <w:rPr>
          <w:b/>
        </w:rPr>
        <w:t>Short-Term Wind Power Forecast</w:t>
      </w:r>
      <w:bookmarkEnd w:id="937"/>
      <w:bookmarkEnd w:id="938"/>
      <w:bookmarkEnd w:id="939"/>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rPr>
          <w:b/>
        </w:rPr>
      </w:pPr>
      <w:bookmarkStart w:id="943" w:name="_Toc118224620"/>
      <w:bookmarkStart w:id="944" w:name="_Toc118909688"/>
      <w:bookmarkStart w:id="945" w:name="_Toc205190533"/>
      <w:bookmarkEnd w:id="940"/>
      <w:bookmarkEnd w:id="941"/>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43"/>
      <w:bookmarkEnd w:id="944"/>
      <w:bookmarkEnd w:id="945"/>
    </w:p>
    <w:p w14:paraId="26A04AE3" w14:textId="77777777" w:rsidR="00240918" w:rsidRPr="0058795B" w:rsidRDefault="00240918" w:rsidP="00240918">
      <w:pPr>
        <w:keepNext/>
        <w:tabs>
          <w:tab w:val="left" w:pos="900"/>
        </w:tabs>
        <w:spacing w:before="240" w:after="240"/>
        <w:ind w:left="900" w:hanging="900"/>
        <w:outlineLvl w:val="1"/>
      </w:pPr>
      <w:r w:rsidRPr="0058795B">
        <w:rPr>
          <w:b/>
          <w:bCs/>
        </w:rPr>
        <w:t xml:space="preserve">Solar </w:t>
      </w:r>
      <w:r w:rsidRPr="0058795B">
        <w:rPr>
          <w:b/>
        </w:rPr>
        <w:t>Renewable Energy Credit (</w:t>
      </w:r>
      <w:r w:rsidRPr="0058795B">
        <w:rPr>
          <w:b/>
          <w:bCs/>
        </w:rPr>
        <w:t>S</w:t>
      </w:r>
      <w:r w:rsidRPr="0058795B">
        <w:rPr>
          <w:b/>
        </w:rPr>
        <w:t>REC)</w:t>
      </w:r>
    </w:p>
    <w:p w14:paraId="11717C80" w14:textId="6E65AB9F" w:rsidR="00240918" w:rsidRPr="00240918" w:rsidRDefault="00240918" w:rsidP="00240918">
      <w:pPr>
        <w:pStyle w:val="BodyText"/>
      </w:pPr>
      <w:r w:rsidRPr="0058795B">
        <w:rPr>
          <w:szCs w:val="24"/>
        </w:rPr>
        <w:t xml:space="preserve">A tradable instrument that represents </w:t>
      </w:r>
      <w:proofErr w:type="gramStart"/>
      <w:r w:rsidRPr="0058795B">
        <w:rPr>
          <w:szCs w:val="24"/>
        </w:rPr>
        <w:t>all of</w:t>
      </w:r>
      <w:proofErr w:type="gramEnd"/>
      <w:r w:rsidRPr="0058795B">
        <w:rPr>
          <w:szCs w:val="24"/>
        </w:rPr>
        <w:t xml:space="preserve"> the renewable attributes associated with one MWh of production from a certified solar renewable generator.</w:t>
      </w:r>
    </w:p>
    <w:p w14:paraId="41D57FB2" w14:textId="1AC4389E" w:rsidR="009A2C57" w:rsidRPr="004222A1" w:rsidRDefault="009A2C57" w:rsidP="009A2C57">
      <w:pPr>
        <w:pStyle w:val="H2"/>
        <w:rPr>
          <w:b/>
        </w:rPr>
      </w:pPr>
      <w:bookmarkStart w:id="946" w:name="_Toc118224622"/>
      <w:bookmarkStart w:id="947" w:name="_Toc118909690"/>
      <w:bookmarkStart w:id="948" w:name="_Toc205190535"/>
      <w:bookmarkStart w:id="949" w:name="_Toc80425775"/>
      <w:bookmarkEnd w:id="942"/>
      <w:r>
        <w:rPr>
          <w:b/>
        </w:rPr>
        <w:t xml:space="preserve">Solar </w:t>
      </w:r>
      <w:r w:rsidRPr="004222A1">
        <w:rPr>
          <w:b/>
        </w:rPr>
        <w:t>Renewable Portfolio Standard (</w:t>
      </w:r>
      <w:r>
        <w:rPr>
          <w:b/>
        </w:rPr>
        <w:t>S</w:t>
      </w:r>
      <w:r w:rsidRPr="004222A1">
        <w:rPr>
          <w:b/>
        </w:rPr>
        <w:t>RPS)</w:t>
      </w:r>
    </w:p>
    <w:p w14:paraId="4B039888" w14:textId="3690B485" w:rsidR="009A2C57" w:rsidRDefault="009A2C57" w:rsidP="00E81E00">
      <w:pPr>
        <w:pStyle w:val="H2"/>
        <w:keepNext w:val="0"/>
        <w:spacing w:before="0"/>
        <w:ind w:left="0" w:firstLine="0"/>
        <w:outlineLvl w:val="9"/>
        <w:rPr>
          <w:b/>
        </w:rPr>
      </w:pPr>
      <w:r w:rsidRPr="00F36D71">
        <w:rPr>
          <w:szCs w:val="24"/>
        </w:rPr>
        <w:t xml:space="preserve">The amount of solar capacity required to meet the requirements of </w:t>
      </w:r>
      <w:r>
        <w:rPr>
          <w:szCs w:val="24"/>
        </w:rPr>
        <w:t xml:space="preserve">subsection (f) of </w:t>
      </w:r>
      <w:r w:rsidRPr="00F36D71">
        <w:rPr>
          <w:szCs w:val="24"/>
        </w:rPr>
        <w:t>P.U.C. S</w:t>
      </w:r>
      <w:r w:rsidRPr="00F36D71">
        <w:rPr>
          <w:smallCaps/>
          <w:szCs w:val="24"/>
        </w:rPr>
        <w:t>ubst</w:t>
      </w:r>
      <w:r w:rsidRPr="00F36D71">
        <w:rPr>
          <w:szCs w:val="24"/>
        </w:rPr>
        <w:t>. R. 25.173</w:t>
      </w:r>
      <w:r>
        <w:rPr>
          <w:szCs w:val="24"/>
        </w:rPr>
        <w:t>, Renewable Energy Credit Program</w:t>
      </w:r>
      <w:r w:rsidRPr="00F36D71">
        <w:rPr>
          <w:szCs w:val="24"/>
        </w:rPr>
        <w:t>.</w:t>
      </w:r>
    </w:p>
    <w:p w14:paraId="317995E0" w14:textId="3242E2CD" w:rsidR="00B75513" w:rsidRPr="004222A1" w:rsidRDefault="00A442A0" w:rsidP="00E81E00">
      <w:pPr>
        <w:pStyle w:val="H2"/>
        <w:keepNext w:val="0"/>
        <w:ind w:left="907" w:hanging="907"/>
        <w:rPr>
          <w:b/>
        </w:rPr>
      </w:pPr>
      <w:r w:rsidRPr="004222A1">
        <w:rPr>
          <w:b/>
        </w:rPr>
        <w:t>Split Generation Resource</w:t>
      </w:r>
      <w:bookmarkEnd w:id="946"/>
      <w:bookmarkEnd w:id="947"/>
      <w:bookmarkEnd w:id="948"/>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50" w:name="_Toc118224623"/>
      <w:bookmarkStart w:id="951" w:name="_Toc118909691"/>
      <w:bookmarkStart w:id="952" w:name="_Toc205190536"/>
      <w:r w:rsidRPr="004222A1">
        <w:rPr>
          <w:b/>
        </w:rPr>
        <w:t>Startup Cost</w:t>
      </w:r>
      <w:bookmarkEnd w:id="950"/>
      <w:bookmarkEnd w:id="951"/>
      <w:bookmarkEnd w:id="952"/>
      <w:r w:rsidRPr="004222A1">
        <w:rPr>
          <w:b/>
        </w:rPr>
        <w:t xml:space="preserve"> </w:t>
      </w:r>
      <w:bookmarkEnd w:id="949"/>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53" w:name="_Toc80425776"/>
      <w:bookmarkStart w:id="954" w:name="_Toc118224624"/>
      <w:bookmarkStart w:id="955" w:name="_Toc118909692"/>
      <w:bookmarkStart w:id="956" w:name="_Toc205190537"/>
      <w:bookmarkStart w:id="957" w:name="_Toc73847977"/>
      <w:r w:rsidRPr="004222A1">
        <w:rPr>
          <w:b/>
        </w:rPr>
        <w:lastRenderedPageBreak/>
        <w:t>Startup Offer</w:t>
      </w:r>
      <w:bookmarkEnd w:id="953"/>
      <w:bookmarkEnd w:id="954"/>
      <w:bookmarkEnd w:id="955"/>
      <w:bookmarkEnd w:id="956"/>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58" w:name="_Toc118224625"/>
      <w:bookmarkStart w:id="959" w:name="_Toc118909693"/>
      <w:bookmarkStart w:id="960" w:name="_Toc205190538"/>
      <w:r w:rsidRPr="004222A1">
        <w:rPr>
          <w:b/>
        </w:rPr>
        <w:t>State Estimator</w:t>
      </w:r>
      <w:bookmarkEnd w:id="957"/>
      <w:bookmarkEnd w:id="958"/>
      <w:bookmarkEnd w:id="959"/>
      <w:bookmarkEnd w:id="960"/>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 xml:space="preserve">’s output is a description of the network and </w:t>
      </w:r>
      <w:proofErr w:type="gramStart"/>
      <w:r>
        <w:t>all of</w:t>
      </w:r>
      <w:proofErr w:type="gramEnd"/>
      <w:r>
        <w:t xml:space="preserve">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542E8032" w14:textId="77777777" w:rsidR="008975B3" w:rsidRPr="00966633" w:rsidRDefault="008975B3" w:rsidP="008975B3">
      <w:pPr>
        <w:keepNext/>
        <w:tabs>
          <w:tab w:val="left" w:pos="900"/>
        </w:tabs>
        <w:spacing w:before="240" w:after="240"/>
        <w:ind w:left="900" w:hanging="900"/>
        <w:outlineLvl w:val="1"/>
        <w:rPr>
          <w:b/>
        </w:rPr>
      </w:pPr>
      <w:r w:rsidRPr="00966633">
        <w:rPr>
          <w:b/>
        </w:rPr>
        <w:t>State of Charge (SOC)</w:t>
      </w:r>
    </w:p>
    <w:p w14:paraId="16F8D9BB" w14:textId="77777777" w:rsidR="008975B3" w:rsidRPr="00966633" w:rsidRDefault="008975B3" w:rsidP="008975B3">
      <w:pPr>
        <w:spacing w:after="240"/>
        <w:rPr>
          <w:bCs/>
        </w:rPr>
      </w:pPr>
      <w:r w:rsidRPr="00966633">
        <w:rPr>
          <w:bCs/>
        </w:rPr>
        <w:t xml:space="preserve">The stored energy in MWh, of an </w:t>
      </w:r>
      <w:r>
        <w:rPr>
          <w:bCs/>
        </w:rPr>
        <w:t>Energy Storage Resource (</w:t>
      </w:r>
      <w:r w:rsidRPr="00966633">
        <w:rPr>
          <w:bCs/>
        </w:rPr>
        <w:t>ESR</w:t>
      </w:r>
      <w:r>
        <w:rPr>
          <w:bCs/>
        </w:rPr>
        <w:t>)</w:t>
      </w:r>
      <w:r w:rsidRPr="00966633">
        <w:rPr>
          <w:bCs/>
        </w:rPr>
        <w:t>, that can be injected into the grid at the Point of Interconnection (POI) or Point of Common Coupling (POCC).</w:t>
      </w:r>
    </w:p>
    <w:p w14:paraId="63C58D0F" w14:textId="77777777" w:rsidR="008975B3" w:rsidRDefault="008975B3" w:rsidP="00612C7B">
      <w:pPr>
        <w:keepNext/>
        <w:spacing w:before="240" w:after="120"/>
        <w:ind w:left="360"/>
        <w:outlineLvl w:val="2"/>
        <w:rPr>
          <w:b/>
          <w:bCs/>
          <w:i/>
          <w:lang w:val="x-none" w:eastAsia="x-none"/>
        </w:rPr>
      </w:pPr>
      <w:r w:rsidRPr="00966633">
        <w:rPr>
          <w:b/>
          <w:bCs/>
          <w:i/>
          <w:lang w:val="x-none" w:eastAsia="x-none"/>
        </w:rPr>
        <w:t>Hour Beginning Planned SOC</w:t>
      </w:r>
    </w:p>
    <w:p w14:paraId="2CC16625" w14:textId="77777777" w:rsidR="008975B3" w:rsidRPr="002E7AC3" w:rsidRDefault="008975B3" w:rsidP="002E7AC3">
      <w:pPr>
        <w:pStyle w:val="BodyText"/>
        <w:ind w:left="360"/>
      </w:pPr>
      <w:r w:rsidRPr="002E7AC3">
        <w:rPr>
          <w:iCs w:val="0"/>
        </w:rPr>
        <w:t>The planned State of Charge, in MWh, at the beginning of an hour, as communicated to ERCOT by the Qualified Scheduling Entity (QSE) for the Resource.</w:t>
      </w:r>
    </w:p>
    <w:p w14:paraId="12787049" w14:textId="77777777" w:rsidR="008975B3" w:rsidRPr="00966633" w:rsidRDefault="008975B3" w:rsidP="008975B3">
      <w:pPr>
        <w:keepNext/>
        <w:spacing w:before="240" w:after="120"/>
        <w:ind w:left="360"/>
        <w:outlineLvl w:val="2"/>
        <w:rPr>
          <w:b/>
          <w:bCs/>
          <w:i/>
          <w:lang w:val="x-none" w:eastAsia="x-none"/>
        </w:rPr>
      </w:pPr>
      <w:r w:rsidRPr="00966633">
        <w:rPr>
          <w:b/>
          <w:bCs/>
          <w:i/>
          <w:lang w:val="x-none" w:eastAsia="x-none"/>
        </w:rPr>
        <w:t>Maximum State of Charge (</w:t>
      </w:r>
      <w:proofErr w:type="spellStart"/>
      <w:r w:rsidRPr="00966633">
        <w:rPr>
          <w:b/>
          <w:bCs/>
          <w:i/>
          <w:lang w:val="x-none" w:eastAsia="x-none"/>
        </w:rPr>
        <w:t>MaxSOC</w:t>
      </w:r>
      <w:proofErr w:type="spellEnd"/>
      <w:r w:rsidRPr="00966633">
        <w:rPr>
          <w:b/>
          <w:bCs/>
          <w:i/>
          <w:lang w:val="x-none" w:eastAsia="x-none"/>
        </w:rPr>
        <w:t>)</w:t>
      </w:r>
    </w:p>
    <w:p w14:paraId="31786801" w14:textId="77777777" w:rsidR="008975B3" w:rsidRPr="002E7AC3" w:rsidRDefault="008975B3" w:rsidP="002E7AC3">
      <w:pPr>
        <w:pStyle w:val="BodyText"/>
        <w:ind w:left="360"/>
      </w:pPr>
      <w:r w:rsidRPr="002E7AC3">
        <w:rPr>
          <w:iCs w:val="0"/>
        </w:rPr>
        <w:t>The maximum amount of State of Charge, in MWh, of an ESR.</w:t>
      </w:r>
    </w:p>
    <w:p w14:paraId="733AACC7" w14:textId="77777777" w:rsidR="008975B3" w:rsidRPr="00966633" w:rsidRDefault="008975B3" w:rsidP="008975B3">
      <w:pPr>
        <w:keepNext/>
        <w:spacing w:before="240" w:after="120"/>
        <w:ind w:left="360"/>
        <w:outlineLvl w:val="2"/>
        <w:rPr>
          <w:bCs/>
          <w:i/>
        </w:rPr>
      </w:pPr>
      <w:r w:rsidRPr="00966633">
        <w:rPr>
          <w:b/>
          <w:bCs/>
          <w:i/>
          <w:lang w:val="x-none" w:eastAsia="x-none"/>
        </w:rPr>
        <w:t>Minimum State of Charge (</w:t>
      </w:r>
      <w:proofErr w:type="spellStart"/>
      <w:r w:rsidRPr="00966633">
        <w:rPr>
          <w:b/>
          <w:bCs/>
          <w:i/>
          <w:lang w:val="x-none" w:eastAsia="x-none"/>
        </w:rPr>
        <w:t>MinSOC</w:t>
      </w:r>
      <w:proofErr w:type="spellEnd"/>
      <w:r w:rsidRPr="00966633">
        <w:rPr>
          <w:b/>
          <w:bCs/>
          <w:i/>
          <w:lang w:val="x-none" w:eastAsia="x-none"/>
        </w:rPr>
        <w:t>)</w:t>
      </w:r>
    </w:p>
    <w:p w14:paraId="1735C29C" w14:textId="2D0333E6" w:rsidR="008975B3" w:rsidRPr="002402C2" w:rsidRDefault="008975B3" w:rsidP="002E7AC3">
      <w:pPr>
        <w:pStyle w:val="BodyText"/>
        <w:ind w:left="360"/>
      </w:pPr>
      <w:r w:rsidRPr="002E7AC3">
        <w:rPr>
          <w:iCs w:val="0"/>
        </w:rPr>
        <w:t>The minimum amount of State of Charge, in MWh, of an ESR.</w:t>
      </w:r>
    </w:p>
    <w:p w14:paraId="79647ACA" w14:textId="77777777" w:rsidR="00111F31" w:rsidRDefault="00111F31" w:rsidP="002E7AC3">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lastRenderedPageBreak/>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w:t>
      </w:r>
      <w:proofErr w:type="gramStart"/>
      <w:r w:rsidRPr="00936C15">
        <w:rPr>
          <w:szCs w:val="24"/>
        </w:rPr>
        <w:t>electrical phenomena</w:t>
      </w:r>
      <w:proofErr w:type="gramEnd"/>
      <w:r w:rsidRPr="00936C15">
        <w:rPr>
          <w:szCs w:val="24"/>
        </w:rPr>
        <w:t xml:space="preserve">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lastRenderedPageBreak/>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bookmarkStart w:id="961" w:name="_Hlk178063135"/>
      <w:r w:rsidRPr="004222A1">
        <w:rPr>
          <w:b/>
        </w:rPr>
        <w:t>Sustained Response Period</w:t>
      </w:r>
    </w:p>
    <w:p w14:paraId="7DC526E7" w14:textId="7DA40809" w:rsidR="00EC043C" w:rsidRDefault="00FE4FDD">
      <w:pPr>
        <w:pStyle w:val="BodyText"/>
      </w:pPr>
      <w:r w:rsidRPr="00500837">
        <w:rPr>
          <w:iCs w:val="0"/>
        </w:rPr>
        <w:t xml:space="preserve">The </w:t>
      </w:r>
      <w:proofErr w:type="gramStart"/>
      <w:r w:rsidRPr="00500837">
        <w:rPr>
          <w:iCs w:val="0"/>
        </w:rPr>
        <w:t>period of time</w:t>
      </w:r>
      <w:proofErr w:type="gramEnd"/>
      <w:r w:rsidRPr="00500837">
        <w:rPr>
          <w:iCs w:val="0"/>
        </w:rPr>
        <w:t xml:space="preserve"> beginning ten minutes after </w:t>
      </w:r>
      <w:r w:rsidR="00133BEE">
        <w:t>the deployment time instructed within the</w:t>
      </w:r>
      <w:r w:rsidR="00133BEE" w:rsidRPr="00500837">
        <w:rPr>
          <w:iCs w:val="0"/>
        </w:rPr>
        <w:t xml:space="preserve"> </w:t>
      </w:r>
      <w:r w:rsidRPr="00500837">
        <w:rPr>
          <w:iCs w:val="0"/>
        </w:rPr>
        <w:t xml:space="preserve">ERCOT </w:t>
      </w:r>
      <w:r w:rsidR="00133BEE">
        <w:t>Extensible Markup Language (XML) message</w:t>
      </w:r>
      <w:r w:rsidRPr="00500837">
        <w:rPr>
          <w:iCs w:val="0"/>
        </w:rPr>
        <w:t xml:space="preserve"> deploying </w:t>
      </w:r>
      <w:r w:rsidR="00C30BAC">
        <w:rPr>
          <w:iCs w:val="0"/>
        </w:rPr>
        <w:t>Emergency Response Service (</w:t>
      </w:r>
      <w:r w:rsidRPr="00500837">
        <w:rPr>
          <w:iCs w:val="0"/>
        </w:rPr>
        <w:t>ERS</w:t>
      </w:r>
      <w:r w:rsidR="00C30BAC">
        <w:rPr>
          <w:iCs w:val="0"/>
        </w:rPr>
        <w:t>)</w:t>
      </w:r>
      <w:r w:rsidRPr="00500837">
        <w:t xml:space="preserve">-10 or 30 minutes after </w:t>
      </w:r>
      <w:r w:rsidR="00133BEE">
        <w:t xml:space="preserve">the deployment time instructed within the </w:t>
      </w:r>
      <w:r w:rsidRPr="00500837">
        <w:t xml:space="preserve">ERCOT </w:t>
      </w:r>
      <w:r w:rsidR="00133BEE">
        <w:t>XML message</w:t>
      </w:r>
      <w:r w:rsidRPr="00500837">
        <w:t xml:space="preserve"> deploying ERS-30</w:t>
      </w:r>
      <w:r w:rsidR="00572778">
        <w:t>,</w:t>
      </w:r>
      <w:r w:rsidRPr="00500837">
        <w:rPr>
          <w:iCs w:val="0"/>
        </w:rPr>
        <w:t xml:space="preserve"> and ending with </w:t>
      </w:r>
      <w:r w:rsidR="00133BEE">
        <w:t>the recall time instructed within the</w:t>
      </w:r>
      <w:r w:rsidR="00133BEE" w:rsidRPr="00500837">
        <w:t xml:space="preserve"> </w:t>
      </w:r>
      <w:r w:rsidRPr="00500837">
        <w:rPr>
          <w:iCs w:val="0"/>
        </w:rPr>
        <w:t xml:space="preserve">ERCOT </w:t>
      </w:r>
      <w:r w:rsidR="00133BEE">
        <w:t>XML message</w:t>
      </w:r>
      <w:r w:rsidR="008F6E08">
        <w:t xml:space="preserve"> recalling</w:t>
      </w:r>
      <w:r w:rsidRPr="00500837">
        <w:rPr>
          <w:iCs w:val="0"/>
        </w:rPr>
        <w:t xml:space="preserve"> ERS Resources from the deployment.</w:t>
      </w:r>
    </w:p>
    <w:p w14:paraId="0F725F50" w14:textId="77777777" w:rsidR="009C65F0" w:rsidRDefault="00A442A0" w:rsidP="00C07145">
      <w:pPr>
        <w:pStyle w:val="H2"/>
        <w:ind w:left="907" w:hanging="907"/>
        <w:rPr>
          <w:b/>
        </w:rPr>
      </w:pPr>
      <w:bookmarkStart w:id="962" w:name="_Toc205190539"/>
      <w:bookmarkStart w:id="963" w:name="_Toc73847983"/>
      <w:bookmarkStart w:id="964" w:name="_Toc118224626"/>
      <w:bookmarkStart w:id="965" w:name="_Toc118909694"/>
      <w:bookmarkEnd w:id="961"/>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t>A piece of equipment that is used to monitor voltage waveforms from the two sides of an open circuit breaker or disconnect switch to ensure that the voltage magnitude, frequency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lastRenderedPageBreak/>
        <w:t>System Operator</w:t>
      </w:r>
      <w:bookmarkEnd w:id="962"/>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66" w:name="_Toc205190540"/>
      <w:r w:rsidRPr="004222A1">
        <w:rPr>
          <w:b/>
        </w:rPr>
        <w:t>System-Wide Offer Cap (SWC</w:t>
      </w:r>
      <w:r w:rsidR="00EF4BE7" w:rsidRPr="004222A1">
        <w:rPr>
          <w:b/>
        </w:rPr>
        <w:t>A</w:t>
      </w:r>
      <w:r w:rsidRPr="004222A1">
        <w:rPr>
          <w:b/>
        </w:rPr>
        <w:t>P)</w:t>
      </w:r>
      <w:bookmarkEnd w:id="966"/>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63"/>
          <w:bookmarkEnd w:id="964"/>
          <w:bookmarkEnd w:id="965"/>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67" w:name="T"/>
      <w:bookmarkEnd w:id="967"/>
    </w:p>
    <w:p w14:paraId="76806BF3" w14:textId="77777777" w:rsidR="00B75513" w:rsidRDefault="00E81E00">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68" w:name="_Toc73847986"/>
      <w:bookmarkStart w:id="969" w:name="_Toc118224627"/>
      <w:bookmarkStart w:id="970" w:name="_Toc118909695"/>
      <w:bookmarkStart w:id="971" w:name="_Toc205190541"/>
      <w:r w:rsidRPr="004222A1">
        <w:rPr>
          <w:b/>
        </w:rPr>
        <w:t>T</w:t>
      </w:r>
      <w:r w:rsidR="00EF4BE7" w:rsidRPr="004222A1">
        <w:rPr>
          <w:b/>
        </w:rPr>
        <w:t xml:space="preserve">SP and </w:t>
      </w:r>
      <w:r w:rsidRPr="004222A1">
        <w:rPr>
          <w:b/>
        </w:rPr>
        <w:t>DSP Metered Entity</w:t>
      </w:r>
      <w:bookmarkEnd w:id="968"/>
      <w:bookmarkEnd w:id="969"/>
      <w:bookmarkEnd w:id="970"/>
      <w:bookmarkEnd w:id="971"/>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72" w:name="_Toc80425787"/>
      <w:bookmarkStart w:id="973" w:name="_Toc118224629"/>
      <w:bookmarkStart w:id="974" w:name="_Toc118909697"/>
      <w:bookmarkStart w:id="975" w:name="_Toc205190543"/>
      <w:bookmarkStart w:id="976"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72"/>
      <w:bookmarkEnd w:id="973"/>
      <w:bookmarkEnd w:id="974"/>
      <w:bookmarkEnd w:id="975"/>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77" w:name="_Toc118224630"/>
      <w:bookmarkStart w:id="978" w:name="_Toc118909698"/>
      <w:bookmarkStart w:id="979" w:name="_Toc205190544"/>
      <w:r w:rsidRPr="004222A1">
        <w:rPr>
          <w:b/>
        </w:rPr>
        <w:t xml:space="preserve">Texas </w:t>
      </w:r>
      <w:r w:rsidR="00EF4BE7" w:rsidRPr="004222A1">
        <w:rPr>
          <w:b/>
        </w:rPr>
        <w:t xml:space="preserve">Standard Electronic Transaction (TX </w:t>
      </w:r>
      <w:r w:rsidRPr="004222A1">
        <w:rPr>
          <w:b/>
        </w:rPr>
        <w:t>SET</w:t>
      </w:r>
      <w:bookmarkEnd w:id="976"/>
      <w:bookmarkEnd w:id="977"/>
      <w:bookmarkEnd w:id="978"/>
      <w:bookmarkEnd w:id="979"/>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lastRenderedPageBreak/>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80" w:name="_Toc118224631"/>
      <w:bookmarkStart w:id="981" w:name="_Toc118909699"/>
      <w:bookmarkStart w:id="982" w:name="_Toc205190545"/>
      <w:bookmarkStart w:id="983" w:name="_Toc80425796"/>
      <w:r w:rsidRPr="004222A1">
        <w:rPr>
          <w:b/>
        </w:rPr>
        <w:t>Three-Part Supply Offer</w:t>
      </w:r>
      <w:bookmarkEnd w:id="980"/>
      <w:bookmarkEnd w:id="981"/>
      <w:bookmarkEnd w:id="982"/>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84" w:name="_Toc118224632"/>
      <w:bookmarkStart w:id="985" w:name="_Toc118909700"/>
      <w:bookmarkStart w:id="986"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83"/>
      <w:bookmarkEnd w:id="984"/>
      <w:bookmarkEnd w:id="985"/>
      <w:bookmarkEnd w:id="986"/>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87" w:name="_Toc73848000"/>
      <w:bookmarkStart w:id="988" w:name="_Toc118224633"/>
      <w:bookmarkStart w:id="989" w:name="_Toc118909701"/>
      <w:bookmarkStart w:id="990" w:name="_Toc205190547"/>
      <w:r w:rsidRPr="004222A1">
        <w:rPr>
          <w:b/>
        </w:rPr>
        <w:t>Transmission and/or Distribution Service Provider (TDSP)</w:t>
      </w:r>
      <w:bookmarkEnd w:id="987"/>
      <w:bookmarkEnd w:id="988"/>
      <w:bookmarkEnd w:id="989"/>
      <w:bookmarkEnd w:id="990"/>
    </w:p>
    <w:p w14:paraId="0F29D92C" w14:textId="77777777" w:rsidR="0011691A" w:rsidRDefault="0011691A" w:rsidP="0011691A">
      <w:pPr>
        <w:pStyle w:val="BodyText"/>
      </w:pPr>
      <w:bookmarkStart w:id="991" w:name="_Toc118224634"/>
      <w:bookmarkStart w:id="992" w:name="_Toc118909702"/>
      <w:bookmarkStart w:id="993"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94" w:name="TransmissionElement"/>
      <w:r>
        <w:rPr>
          <w:b/>
        </w:rPr>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91"/>
      <w:bookmarkEnd w:id="992"/>
      <w:bookmarkEnd w:id="993"/>
    </w:p>
    <w:bookmarkEnd w:id="994"/>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95" w:name="_Toc80425802"/>
      <w:bookmarkStart w:id="996" w:name="_Toc118224635"/>
      <w:bookmarkStart w:id="997" w:name="_Toc118909703"/>
      <w:bookmarkStart w:id="998" w:name="_Toc205190549"/>
      <w:bookmarkStart w:id="999" w:name="_Toc73848001"/>
      <w:r w:rsidRPr="004222A1">
        <w:rPr>
          <w:b/>
        </w:rPr>
        <w:lastRenderedPageBreak/>
        <w:t>Transmission Facilities</w:t>
      </w:r>
      <w:bookmarkEnd w:id="995"/>
      <w:bookmarkEnd w:id="996"/>
      <w:bookmarkEnd w:id="997"/>
      <w:bookmarkEnd w:id="998"/>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1000" w:name="_Toc80425803"/>
            <w:bookmarkStart w:id="1001" w:name="_Toc118224636"/>
            <w:bookmarkStart w:id="1002" w:name="_Toc118909704"/>
            <w:bookmarkStart w:id="1003" w:name="_Toc205190550"/>
            <w:bookmarkStart w:id="1004" w:name="_Toc73848002"/>
            <w:bookmarkEnd w:id="999"/>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1000"/>
      <w:bookmarkEnd w:id="1001"/>
      <w:bookmarkEnd w:id="1002"/>
      <w:bookmarkEnd w:id="1003"/>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D243A" w:rsidRPr="004B32CF" w14:paraId="27AA633D" w14:textId="77777777" w:rsidTr="008713B8">
        <w:trPr>
          <w:trHeight w:val="386"/>
        </w:trPr>
        <w:tc>
          <w:tcPr>
            <w:tcW w:w="9350" w:type="dxa"/>
            <w:shd w:val="pct12" w:color="auto" w:fill="auto"/>
          </w:tcPr>
          <w:p w14:paraId="7D1CD4F1" w14:textId="77777777" w:rsidR="004D243A" w:rsidRPr="004B32CF" w:rsidRDefault="004D243A" w:rsidP="008713B8">
            <w:pPr>
              <w:spacing w:before="120" w:after="240"/>
              <w:rPr>
                <w:b/>
                <w:i/>
                <w:iCs/>
              </w:rPr>
            </w:pPr>
            <w:bookmarkStart w:id="1005" w:name="_Toc73848003"/>
            <w:bookmarkStart w:id="1006" w:name="_Toc80425804"/>
            <w:bookmarkStart w:id="1007" w:name="_Toc118224637"/>
            <w:bookmarkStart w:id="1008" w:name="_Toc118909705"/>
            <w:bookmarkStart w:id="1009" w:name="_Toc205190551"/>
            <w:bookmarkStart w:id="1010" w:name="_Toc73848004"/>
            <w:bookmarkEnd w:id="1004"/>
            <w:r>
              <w:rPr>
                <w:b/>
                <w:i/>
                <w:iCs/>
              </w:rPr>
              <w:t>[NPRR1145</w:t>
            </w:r>
            <w:r w:rsidRPr="004B32CF">
              <w:rPr>
                <w:b/>
                <w:i/>
                <w:iCs/>
              </w:rPr>
              <w:t>:  Replace the above definition “</w:t>
            </w:r>
            <w:r w:rsidRPr="00A822BC">
              <w:rPr>
                <w:b/>
                <w:i/>
                <w:iCs/>
              </w:rPr>
              <w:t>Transmission Loss Factor (TLF</w:t>
            </w:r>
            <w:r>
              <w:rPr>
                <w:b/>
                <w:i/>
                <w:iCs/>
              </w:rPr>
              <w:t>)</w:t>
            </w:r>
            <w:r w:rsidRPr="004B32CF">
              <w:rPr>
                <w:b/>
                <w:i/>
                <w:iCs/>
              </w:rPr>
              <w:t>” with the following upon system implementation:]</w:t>
            </w:r>
          </w:p>
          <w:p w14:paraId="56221ADC" w14:textId="77777777" w:rsidR="004D243A" w:rsidRPr="00A822BC" w:rsidRDefault="004D243A" w:rsidP="008713B8">
            <w:pPr>
              <w:pStyle w:val="H2"/>
              <w:spacing w:before="0"/>
              <w:rPr>
                <w:b/>
              </w:rPr>
            </w:pPr>
            <w:r w:rsidRPr="00A822BC">
              <w:rPr>
                <w:b/>
              </w:rPr>
              <w:t>Transmission Loss Factor (TLF)</w:t>
            </w:r>
          </w:p>
          <w:p w14:paraId="756D46C1" w14:textId="77777777" w:rsidR="004D243A" w:rsidRDefault="004D243A" w:rsidP="008713B8">
            <w:pPr>
              <w:pStyle w:val="BodyText"/>
            </w:pPr>
            <w:r>
              <w:t>The fraction of ERCOT Load (forecast or actual) that is considered to constitute the ERCOT Transmission Grid losses in a Settlement Interval.</w:t>
            </w:r>
          </w:p>
          <w:p w14:paraId="7C405C56" w14:textId="77777777" w:rsidR="004D243A" w:rsidRPr="004066AE"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Actual Transmission Loss Factor</w:t>
            </w:r>
            <w:r>
              <w:rPr>
                <w:rFonts w:ascii="Times New Roman" w:hAnsi="Times New Roman" w:cs="Times New Roman"/>
                <w:b/>
                <w:bCs/>
                <w:sz w:val="24"/>
                <w:szCs w:val="24"/>
              </w:rPr>
              <w:t xml:space="preserve"> (TLF)</w:t>
            </w:r>
          </w:p>
          <w:p w14:paraId="4C2343C1" w14:textId="77777777" w:rsidR="004D243A" w:rsidRPr="004F7397" w:rsidRDefault="004D243A" w:rsidP="008713B8">
            <w:pPr>
              <w:pStyle w:val="xmsonormal"/>
              <w:spacing w:after="240"/>
              <w:ind w:left="720"/>
              <w:rPr>
                <w:rFonts w:ascii="Times New Roman" w:hAnsi="Times New Roman" w:cs="Times New Roman"/>
                <w:sz w:val="24"/>
                <w:szCs w:val="24"/>
              </w:rPr>
            </w:pPr>
            <w:r w:rsidRPr="00AF3507">
              <w:rPr>
                <w:rFonts w:ascii="Times New Roman" w:hAnsi="Times New Roman" w:cs="Times New Roman"/>
                <w:sz w:val="24"/>
                <w:szCs w:val="24"/>
              </w:rPr>
              <w:t xml:space="preserve">Actual Transmission Loss Factor for each </w:t>
            </w:r>
            <w:r>
              <w:rPr>
                <w:rFonts w:ascii="Times New Roman" w:hAnsi="Times New Roman" w:cs="Times New Roman"/>
                <w:sz w:val="24"/>
                <w:szCs w:val="24"/>
              </w:rPr>
              <w:t xml:space="preserve">Settlement Interval </w:t>
            </w:r>
            <w:r w:rsidRPr="00AF3507">
              <w:rPr>
                <w:rFonts w:ascii="Times New Roman" w:hAnsi="Times New Roman" w:cs="Times New Roman"/>
                <w:sz w:val="24"/>
                <w:szCs w:val="24"/>
              </w:rPr>
              <w:t xml:space="preserve">in the Operating </w:t>
            </w:r>
            <w:r>
              <w:rPr>
                <w:rFonts w:ascii="Times New Roman" w:hAnsi="Times New Roman" w:cs="Times New Roman"/>
                <w:sz w:val="24"/>
                <w:szCs w:val="24"/>
              </w:rPr>
              <w:t>D</w:t>
            </w:r>
            <w:r w:rsidRPr="00AF3507">
              <w:rPr>
                <w:rFonts w:ascii="Times New Roman" w:hAnsi="Times New Roman" w:cs="Times New Roman"/>
                <w:sz w:val="24"/>
                <w:szCs w:val="24"/>
              </w:rPr>
              <w:t xml:space="preserve">ay is determined by </w:t>
            </w:r>
            <w:r w:rsidRPr="0087284D">
              <w:rPr>
                <w:rFonts w:ascii="Times New Roman" w:hAnsi="Times New Roman" w:cs="Times New Roman"/>
                <w:sz w:val="24"/>
                <w:szCs w:val="24"/>
              </w:rPr>
              <w:t xml:space="preserve">dividing the sum of line and transformer MW losses by the total ERCOT </w:t>
            </w:r>
            <w:r>
              <w:rPr>
                <w:rFonts w:ascii="Times New Roman" w:hAnsi="Times New Roman" w:cs="Times New Roman"/>
                <w:sz w:val="24"/>
                <w:szCs w:val="24"/>
              </w:rPr>
              <w:t>L</w:t>
            </w:r>
            <w:r w:rsidRPr="0087284D">
              <w:rPr>
                <w:rFonts w:ascii="Times New Roman" w:hAnsi="Times New Roman" w:cs="Times New Roman"/>
                <w:sz w:val="24"/>
                <w:szCs w:val="24"/>
              </w:rPr>
              <w:t xml:space="preserve">oad as determined by the State Estimator in </w:t>
            </w:r>
            <w:r w:rsidRPr="00906B73">
              <w:rPr>
                <w:rFonts w:ascii="Times New Roman" w:hAnsi="Times New Roman" w:cs="Times New Roman"/>
                <w:sz w:val="24"/>
                <w:szCs w:val="24"/>
              </w:rPr>
              <w:t>the</w:t>
            </w:r>
            <w:r>
              <w:rPr>
                <w:rFonts w:ascii="Times New Roman" w:hAnsi="Times New Roman" w:cs="Times New Roman"/>
                <w:sz w:val="24"/>
                <w:szCs w:val="24"/>
              </w:rPr>
              <w:t xml:space="preserve"> </w:t>
            </w:r>
            <w:r w:rsidRPr="0087284D">
              <w:rPr>
                <w:rFonts w:ascii="Times New Roman" w:hAnsi="Times New Roman" w:cs="Times New Roman"/>
                <w:sz w:val="24"/>
                <w:szCs w:val="24"/>
              </w:rPr>
              <w:t>Energy Management System (EMS).</w:t>
            </w:r>
          </w:p>
          <w:p w14:paraId="7FEB2E55" w14:textId="77777777" w:rsidR="004D243A" w:rsidRPr="00AF3507"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Seasonal On-Peak and Off-Peak Transmission Loss Factor</w:t>
            </w:r>
            <w:r>
              <w:rPr>
                <w:rFonts w:ascii="Times New Roman" w:hAnsi="Times New Roman" w:cs="Times New Roman"/>
                <w:b/>
                <w:bCs/>
                <w:sz w:val="24"/>
                <w:szCs w:val="24"/>
              </w:rPr>
              <w:t xml:space="preserve"> (TLF)</w:t>
            </w:r>
          </w:p>
          <w:p w14:paraId="7C5D704E" w14:textId="77777777" w:rsidR="004D243A" w:rsidRPr="00A822BC" w:rsidRDefault="004D243A" w:rsidP="008713B8">
            <w:pPr>
              <w:pStyle w:val="BodyText"/>
              <w:ind w:left="720"/>
            </w:pPr>
            <w:r w:rsidRPr="00AF3507">
              <w:lastRenderedPageBreak/>
              <w:t xml:space="preserve">Seasonal </w:t>
            </w:r>
            <w:r>
              <w:t>O</w:t>
            </w:r>
            <w:r w:rsidRPr="00AF3507">
              <w:t xml:space="preserve">n-Peak and Off-Peak Transmission Loss Factor, as may be applied to determine </w:t>
            </w:r>
            <w:r w:rsidRPr="00872E20">
              <w:t>forecasted ERCOT-wide</w:t>
            </w:r>
            <w:r w:rsidRPr="00AF3507">
              <w:rPr>
                <w:color w:val="FF0000"/>
              </w:rPr>
              <w:t xml:space="preserve"> </w:t>
            </w:r>
            <w:r w:rsidRPr="00AF3507">
              <w:t xml:space="preserve">or deemed actual Transmission </w:t>
            </w:r>
            <w:r>
              <w:t>L</w:t>
            </w:r>
            <w:r w:rsidRPr="00AF3507">
              <w:t>osses for Non</w:t>
            </w:r>
            <w:r>
              <w:t>-</w:t>
            </w:r>
            <w:r w:rsidRPr="00AF3507">
              <w:t>Opt-</w:t>
            </w:r>
            <w:r>
              <w:t>I</w:t>
            </w:r>
            <w:r w:rsidRPr="00AF3507">
              <w:t>n Entities (NOIE</w:t>
            </w:r>
            <w:r>
              <w:t>s</w:t>
            </w:r>
            <w:r w:rsidRPr="00AF3507">
              <w:t>), is based on the use of a linear interpolation or extrapolation of the calculated losses in the off-peak and on-peak seasonal ERCOT base cases.</w:t>
            </w:r>
          </w:p>
        </w:tc>
      </w:tr>
    </w:tbl>
    <w:p w14:paraId="2AC5C5DE" w14:textId="77777777" w:rsidR="005D1947" w:rsidRPr="004222A1" w:rsidRDefault="00A442A0" w:rsidP="004D243A">
      <w:pPr>
        <w:pStyle w:val="H2"/>
        <w:spacing w:before="480"/>
        <w:rPr>
          <w:b/>
        </w:rPr>
      </w:pPr>
      <w:r w:rsidRPr="004222A1">
        <w:rPr>
          <w:b/>
        </w:rPr>
        <w:lastRenderedPageBreak/>
        <w:t>Transmission Losses</w:t>
      </w:r>
      <w:bookmarkEnd w:id="1005"/>
      <w:bookmarkEnd w:id="1006"/>
      <w:bookmarkEnd w:id="1007"/>
      <w:bookmarkEnd w:id="1008"/>
      <w:bookmarkEnd w:id="1009"/>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11" w:name="_Toc118224638"/>
      <w:bookmarkStart w:id="1012" w:name="_Toc118909706"/>
      <w:bookmarkStart w:id="1013"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10"/>
      <w:bookmarkEnd w:id="1011"/>
      <w:bookmarkEnd w:id="1012"/>
      <w:bookmarkEnd w:id="1013"/>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14" w:name="_Toc73848005"/>
      <w:bookmarkStart w:id="1015" w:name="_Toc118224639"/>
      <w:bookmarkStart w:id="1016" w:name="_Toc118909707"/>
      <w:bookmarkStart w:id="1017" w:name="_Toc205190553"/>
      <w:r w:rsidRPr="004222A1">
        <w:rPr>
          <w:b/>
        </w:rPr>
        <w:t>Transmission Service Provider</w:t>
      </w:r>
      <w:bookmarkEnd w:id="1014"/>
      <w:r w:rsidRPr="004222A1">
        <w:rPr>
          <w:b/>
        </w:rPr>
        <w:t xml:space="preserve"> (TSP)</w:t>
      </w:r>
      <w:bookmarkEnd w:id="1015"/>
      <w:bookmarkEnd w:id="1016"/>
      <w:bookmarkEnd w:id="1017"/>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18" w:name="U"/>
      <w:bookmarkEnd w:id="1018"/>
    </w:p>
    <w:p w14:paraId="1E3F674E" w14:textId="77777777" w:rsidR="00B75513" w:rsidRDefault="00E81E00">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19" w:name="_Toc73848008"/>
      <w:bookmarkStart w:id="1020" w:name="_Toc80425809"/>
      <w:bookmarkStart w:id="1021" w:name="_Toc118224640"/>
      <w:bookmarkStart w:id="1022" w:name="_Toc118909708"/>
      <w:bookmarkStart w:id="1023" w:name="_Toc205190554"/>
      <w:bookmarkStart w:id="1024" w:name="_Toc73848010"/>
      <w:r w:rsidRPr="004222A1">
        <w:rPr>
          <w:b/>
        </w:rPr>
        <w:lastRenderedPageBreak/>
        <w:t>Unaccounted for Energy (UFE)</w:t>
      </w:r>
      <w:bookmarkEnd w:id="1019"/>
      <w:bookmarkEnd w:id="1020"/>
      <w:bookmarkEnd w:id="1021"/>
      <w:bookmarkEnd w:id="1022"/>
      <w:bookmarkEnd w:id="1023"/>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25" w:name="_Toc118224641"/>
      <w:bookmarkStart w:id="1026" w:name="_Toc118909709"/>
      <w:bookmarkStart w:id="1027" w:name="_Toc205190555"/>
      <w:bookmarkStart w:id="1028" w:name="_Toc73848014"/>
      <w:bookmarkEnd w:id="1024"/>
      <w:r w:rsidRPr="004222A1">
        <w:rPr>
          <w:b/>
        </w:rPr>
        <w:t>Unit Reactive Limit</w:t>
      </w:r>
      <w:bookmarkEnd w:id="1025"/>
      <w:bookmarkEnd w:id="1026"/>
      <w:bookmarkEnd w:id="1027"/>
      <w:r w:rsidR="00831914" w:rsidRPr="004222A1">
        <w:rPr>
          <w:b/>
        </w:rPr>
        <w:t xml:space="preserve"> (URL)</w:t>
      </w:r>
    </w:p>
    <w:p w14:paraId="6877A72C" w14:textId="77777777" w:rsidR="005D1947" w:rsidRDefault="00A442A0">
      <w:pPr>
        <w:pStyle w:val="BodyText"/>
      </w:pPr>
      <w:r>
        <w:t xml:space="preserve">The maximum quantity of Reactive Power that a Generation Resource </w:t>
      </w:r>
      <w:proofErr w:type="gramStart"/>
      <w:r>
        <w:t>is capable of providing</w:t>
      </w:r>
      <w:proofErr w:type="gramEnd"/>
      <w:r>
        <w:t xml:space="preserve"> at a 0.95 power factor at its maximum real power capability.</w:t>
      </w:r>
    </w:p>
    <w:p w14:paraId="51553E51" w14:textId="77777777" w:rsidR="005D1947" w:rsidRPr="004222A1" w:rsidRDefault="00A442A0">
      <w:pPr>
        <w:pStyle w:val="H2"/>
        <w:rPr>
          <w:b/>
        </w:rPr>
      </w:pPr>
      <w:bookmarkStart w:id="1029" w:name="_Toc205190556"/>
      <w:bookmarkStart w:id="1030" w:name="_Toc118224642"/>
      <w:bookmarkStart w:id="1031" w:name="_Toc118909710"/>
      <w:r w:rsidRPr="004222A1">
        <w:rPr>
          <w:b/>
        </w:rPr>
        <w:t>Updated Desired Base Point</w:t>
      </w:r>
      <w:bookmarkEnd w:id="1029"/>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32"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30"/>
      <w:bookmarkEnd w:id="1031"/>
      <w:bookmarkEnd w:id="1032"/>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28"/>
    <w:p w14:paraId="2421C9E7" w14:textId="77777777" w:rsidR="005D1947" w:rsidRDefault="00A442A0">
      <w:pPr>
        <w:pStyle w:val="BodyText"/>
        <w:keepNext/>
        <w:rPr>
          <w:b/>
          <w:sz w:val="40"/>
          <w:szCs w:val="40"/>
        </w:rPr>
      </w:pPr>
      <w:r>
        <w:rPr>
          <w:b/>
          <w:sz w:val="40"/>
          <w:szCs w:val="40"/>
        </w:rPr>
        <w:t>V</w:t>
      </w:r>
      <w:bookmarkStart w:id="1033" w:name="V"/>
      <w:bookmarkEnd w:id="1033"/>
    </w:p>
    <w:p w14:paraId="3F4B6B86" w14:textId="77777777" w:rsidR="00B75513" w:rsidRDefault="00E81E00">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34" w:name="_Toc80425818"/>
      <w:bookmarkStart w:id="1035" w:name="_Toc118224645"/>
      <w:bookmarkStart w:id="1036" w:name="_Toc118909713"/>
      <w:bookmarkStart w:id="1037" w:name="_Toc205190560"/>
      <w:r w:rsidRPr="004222A1">
        <w:rPr>
          <w:b/>
        </w:rPr>
        <w:t>Verbal Dispatch Instruction (VDI)</w:t>
      </w:r>
      <w:bookmarkEnd w:id="1034"/>
      <w:bookmarkEnd w:id="1035"/>
      <w:bookmarkEnd w:id="1036"/>
      <w:bookmarkEnd w:id="1037"/>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38" w:name="_Toc205190561"/>
      <w:bookmarkStart w:id="1039" w:name="_Toc73848017"/>
      <w:bookmarkStart w:id="1040" w:name="_Toc118224646"/>
      <w:bookmarkStart w:id="1041" w:name="_Toc118909714"/>
      <w:r w:rsidRPr="004222A1">
        <w:rPr>
          <w:b/>
        </w:rPr>
        <w:t>Voltage Profile</w:t>
      </w:r>
      <w:bookmarkEnd w:id="1038"/>
    </w:p>
    <w:p w14:paraId="60E5B836" w14:textId="1B14737D"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 xml:space="preserve">Voltage Set Points for those Generation Resources </w:t>
      </w:r>
      <w:r w:rsidR="00616A36">
        <w:t xml:space="preserve">or Energy Storage Resources (ESRs) </w:t>
      </w:r>
      <w:r w:rsidR="00E131AD" w:rsidRPr="00031F2B">
        <w:t>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42" w:name="_Toc205190562"/>
      <w:r w:rsidRPr="00B20862">
        <w:rPr>
          <w:b/>
        </w:rPr>
        <w:lastRenderedPageBreak/>
        <w:t>Voltage Set Point</w:t>
      </w:r>
    </w:p>
    <w:p w14:paraId="03B53F22" w14:textId="7734F635" w:rsidR="00031F2B" w:rsidRDefault="00E131AD" w:rsidP="00E131AD">
      <w:pPr>
        <w:spacing w:after="240"/>
      </w:pPr>
      <w:r>
        <w:rPr>
          <w:iCs/>
        </w:rPr>
        <w:t xml:space="preserve">The voltage that a Generation Resource </w:t>
      </w:r>
      <w:r w:rsidR="00616A36">
        <w:rPr>
          <w:iCs/>
        </w:rPr>
        <w:t>or</w:t>
      </w:r>
      <w:r w:rsidR="00616A36">
        <w:t xml:space="preserve"> Energy Storage Resource (ESR) </w:t>
      </w:r>
      <w:r>
        <w:rPr>
          <w:iCs/>
        </w:rPr>
        <w:t xml:space="preserve">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5E2192F5" w:rsidR="005D1947" w:rsidRPr="004222A1" w:rsidRDefault="00A442A0">
      <w:pPr>
        <w:pStyle w:val="H2"/>
        <w:rPr>
          <w:b/>
        </w:rPr>
      </w:pPr>
      <w:r w:rsidRPr="004222A1">
        <w:rPr>
          <w:b/>
        </w:rPr>
        <w:t>Voltage Support Service</w:t>
      </w:r>
      <w:bookmarkEnd w:id="1039"/>
      <w:bookmarkEnd w:id="1040"/>
      <w:bookmarkEnd w:id="1041"/>
      <w:bookmarkEnd w:id="1042"/>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43" w:name="W"/>
      <w:bookmarkEnd w:id="1043"/>
    </w:p>
    <w:p w14:paraId="79345C73" w14:textId="77777777" w:rsidR="00B75513" w:rsidRDefault="00E81E00">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44" w:name="_Toc73848019"/>
      <w:bookmarkStart w:id="1045" w:name="_Toc118224647"/>
      <w:bookmarkStart w:id="1046" w:name="_Toc118909715"/>
      <w:bookmarkStart w:id="1047"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44"/>
      <w:bookmarkEnd w:id="1045"/>
      <w:bookmarkEnd w:id="1046"/>
      <w:bookmarkEnd w:id="1047"/>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48" w:name="_Toc73848020"/>
      <w:bookmarkStart w:id="1049" w:name="_Toc80425825"/>
      <w:bookmarkStart w:id="1050" w:name="_Toc118224648"/>
      <w:bookmarkStart w:id="1051" w:name="_Toc118909716"/>
      <w:bookmarkStart w:id="1052" w:name="_Toc205190564"/>
      <w:r w:rsidRPr="004222A1">
        <w:rPr>
          <w:b/>
        </w:rPr>
        <w:t>Wholesale Customer</w:t>
      </w:r>
      <w:bookmarkEnd w:id="1048"/>
      <w:bookmarkEnd w:id="1049"/>
      <w:bookmarkEnd w:id="1050"/>
      <w:bookmarkEnd w:id="1051"/>
      <w:bookmarkEnd w:id="1052"/>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53"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54" w:name="_Hlk147911289"/>
      <w:r w:rsidRPr="00801B6B">
        <w:rPr>
          <w:b/>
        </w:rPr>
        <w:lastRenderedPageBreak/>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54"/>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53"/>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55" w:name="_Toc205190566"/>
      <w:r w:rsidRPr="004222A1">
        <w:rPr>
          <w:b/>
        </w:rPr>
        <w:t>Wind-powered Generation Resource Production Potential (WGRPP)</w:t>
      </w:r>
      <w:bookmarkEnd w:id="1055"/>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56" w:name="X"/>
      <w:bookmarkEnd w:id="1056"/>
    </w:p>
    <w:p w14:paraId="14574AFC" w14:textId="77777777" w:rsidR="00B75513" w:rsidRDefault="00E81E00">
      <w:pPr>
        <w:pStyle w:val="ListIntroduction"/>
        <w:keepNext w:val="0"/>
      </w:pPr>
      <w:hyperlink w:anchor="_DEFINITIONS" w:history="1">
        <w:r w:rsidR="00842B9A">
          <w:rPr>
            <w:rStyle w:val="Hyperlink"/>
          </w:rPr>
          <w:t>[Back to Top]</w:t>
        </w:r>
      </w:hyperlink>
    </w:p>
    <w:p w14:paraId="73E46C47" w14:textId="77777777" w:rsidR="005D1947" w:rsidRDefault="00E81E00">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57" w:name="Y"/>
      <w:bookmarkEnd w:id="1057"/>
    </w:p>
    <w:p w14:paraId="28022E90" w14:textId="77777777" w:rsidR="00B75513" w:rsidRDefault="00E81E00">
      <w:pPr>
        <w:pStyle w:val="ListIntroduction"/>
        <w:keepNext w:val="0"/>
      </w:pPr>
      <w:hyperlink w:anchor="_DEFINITIONS" w:history="1">
        <w:r w:rsidR="00842B9A">
          <w:rPr>
            <w:rStyle w:val="Hyperlink"/>
          </w:rPr>
          <w:t>[Back to Top]</w:t>
        </w:r>
      </w:hyperlink>
    </w:p>
    <w:p w14:paraId="76C10CB2" w14:textId="77777777" w:rsidR="005D1947" w:rsidRDefault="00E81E00">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E81E00">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58" w:name="_ACRONYMS_AND_ABBREVIATIONS"/>
      <w:bookmarkStart w:id="1059" w:name="_Toc118224650"/>
      <w:bookmarkStart w:id="1060" w:name="_Toc118909718"/>
      <w:bookmarkStart w:id="1061" w:name="_Toc205190567"/>
      <w:bookmarkEnd w:id="1058"/>
      <w:r>
        <w:t>2.2</w:t>
      </w:r>
      <w:r>
        <w:tab/>
      </w:r>
      <w:r w:rsidR="00A442A0">
        <w:t>ACRONYMS AND ABBREVIATIONS</w:t>
      </w:r>
      <w:bookmarkEnd w:id="1059"/>
      <w:bookmarkEnd w:id="1060"/>
      <w:bookmarkEnd w:id="1061"/>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3CB5FDE5" w:rsidR="002C6BF9" w:rsidRDefault="002C6BF9" w:rsidP="002C6BF9">
      <w:pPr>
        <w:pStyle w:val="Acronym"/>
        <w:tabs>
          <w:tab w:val="clear" w:pos="1440"/>
          <w:tab w:val="left" w:pos="2160"/>
        </w:tabs>
      </w:pPr>
      <w:r w:rsidRPr="00B4380F">
        <w:rPr>
          <w:b/>
        </w:rPr>
        <w:t>ARR</w:t>
      </w:r>
      <w:r>
        <w:tab/>
        <w:t xml:space="preserve">Adjusted </w:t>
      </w:r>
      <w:r w:rsidR="0058795B">
        <w:t>S</w:t>
      </w:r>
      <w:r>
        <w:t>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4805ED01" w14:textId="1C2315AB" w:rsidR="00A41F86" w:rsidRDefault="00A41F86" w:rsidP="00831914">
      <w:pPr>
        <w:tabs>
          <w:tab w:val="left" w:pos="2160"/>
        </w:tabs>
      </w:pPr>
      <w:r w:rsidRPr="00A41F86">
        <w:rPr>
          <w:b/>
          <w:bCs/>
        </w:rPr>
        <w:t>CDR</w:t>
      </w:r>
      <w:r>
        <w:tab/>
      </w:r>
      <w:r w:rsidRPr="00FA70E3">
        <w:t>Report on Capacity, Demand and Reserves in the ERCOT Region</w:t>
      </w:r>
    </w:p>
    <w:p w14:paraId="2487E654" w14:textId="77777777" w:rsidR="002506F6" w:rsidRPr="00AC0350" w:rsidRDefault="002506F6" w:rsidP="002506F6">
      <w:pPr>
        <w:tabs>
          <w:tab w:val="left" w:pos="2160"/>
        </w:tabs>
      </w:pPr>
      <w:r w:rsidRPr="00AC0350">
        <w:rPr>
          <w:b/>
          <w:bCs/>
        </w:rPr>
        <w:t>CEGE</w:t>
      </w:r>
      <w:r w:rsidRPr="00AC0350">
        <w:tab/>
        <w:t>Critical Electric Grid Equipment</w:t>
      </w:r>
    </w:p>
    <w:p w14:paraId="0C9BF1B2" w14:textId="77777777" w:rsidR="002506F6" w:rsidRPr="00AC0350" w:rsidRDefault="002506F6" w:rsidP="002506F6">
      <w:pPr>
        <w:tabs>
          <w:tab w:val="left" w:pos="2160"/>
        </w:tabs>
      </w:pPr>
      <w:r w:rsidRPr="00AC0350">
        <w:rPr>
          <w:b/>
          <w:bCs/>
        </w:rPr>
        <w:t>CEGS</w:t>
      </w:r>
      <w:r w:rsidRPr="00AC0350">
        <w:tab/>
        <w:t>Critical Electric Grid Services</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lastRenderedPageBreak/>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pPr>
      <w:r>
        <w:rPr>
          <w:b/>
        </w:rPr>
        <w:t>EC</w:t>
      </w:r>
      <w:r>
        <w:rPr>
          <w:b/>
        </w:rPr>
        <w:tab/>
      </w:r>
      <w:r>
        <w:t>Electric Cooperative</w:t>
      </w:r>
    </w:p>
    <w:p w14:paraId="37CEB0DD" w14:textId="6D7BC46C" w:rsidR="00A3049A" w:rsidRDefault="00A3049A" w:rsidP="00831914">
      <w:pPr>
        <w:tabs>
          <w:tab w:val="left" w:pos="2160"/>
        </w:tabs>
        <w:rPr>
          <w:b/>
        </w:rPr>
      </w:pPr>
      <w:r w:rsidRPr="00A3049A">
        <w:rPr>
          <w:b/>
          <w:bCs/>
        </w:rPr>
        <w:t>ECAP</w:t>
      </w:r>
      <w:r>
        <w:tab/>
        <w:t>Emergency Offer Cap</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lastRenderedPageBreak/>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55FB4355" w14:textId="5D17DDA9" w:rsidR="0023178C" w:rsidRDefault="0023178C" w:rsidP="00F8575A">
      <w:pPr>
        <w:tabs>
          <w:tab w:val="left" w:pos="2160"/>
        </w:tabs>
        <w:rPr>
          <w:b/>
        </w:rPr>
      </w:pPr>
      <w:r>
        <w:rPr>
          <w:b/>
        </w:rPr>
        <w:t>ELCC</w:t>
      </w:r>
      <w:r>
        <w:rPr>
          <w:b/>
        </w:rPr>
        <w:tab/>
      </w:r>
      <w:r w:rsidRPr="00336A98">
        <w:rPr>
          <w:bCs/>
        </w:rPr>
        <w:t>Effective Load Carrying Capability</w:t>
      </w:r>
    </w:p>
    <w:p w14:paraId="718ADAD3" w14:textId="2886C9DF"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0CE0E05A" w14:textId="13914BC4" w:rsidR="00A3049A" w:rsidRDefault="00A3049A" w:rsidP="00831914">
      <w:pPr>
        <w:tabs>
          <w:tab w:val="left" w:pos="2160"/>
        </w:tabs>
        <w:rPr>
          <w:b/>
        </w:rPr>
      </w:pPr>
      <w:r>
        <w:rPr>
          <w:b/>
        </w:rPr>
        <w:t>EPP</w:t>
      </w:r>
      <w:r w:rsidRPr="00A3049A">
        <w:rPr>
          <w:bCs/>
        </w:rPr>
        <w:tab/>
        <w:t>Emergency Pricing Program</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313D4D19" w14:textId="77777777" w:rsidR="0058795B" w:rsidRDefault="0058795B" w:rsidP="0058795B">
      <w:pPr>
        <w:pStyle w:val="Acronym"/>
        <w:tabs>
          <w:tab w:val="clear" w:pos="1440"/>
          <w:tab w:val="left" w:pos="2160"/>
        </w:tabs>
        <w:spacing w:before="240"/>
      </w:pPr>
      <w:r w:rsidRPr="00B4380F">
        <w:rPr>
          <w:b/>
        </w:rPr>
        <w:t>F</w:t>
      </w:r>
      <w:r>
        <w:rPr>
          <w:b/>
        </w:rPr>
        <w:t>S</w:t>
      </w:r>
      <w:r w:rsidRPr="00B4380F">
        <w:rPr>
          <w:b/>
        </w:rPr>
        <w:t>RR</w:t>
      </w:r>
      <w:r>
        <w:tab/>
        <w:t>Final SRPS Requirement</w:t>
      </w:r>
    </w:p>
    <w:p w14:paraId="3464E700" w14:textId="77777777" w:rsidR="0058795B" w:rsidRDefault="0058795B">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lastRenderedPageBreak/>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r>
      <w:proofErr w:type="gramStart"/>
      <w:r>
        <w:t>Investor Owned</w:t>
      </w:r>
      <w:proofErr w:type="gramEnd"/>
      <w:r>
        <w:t xml:space="preserve">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proofErr w:type="spellStart"/>
      <w:r>
        <w:rPr>
          <w:b/>
        </w:rPr>
        <w:t>kVAr</w:t>
      </w:r>
      <w:proofErr w:type="spellEnd"/>
      <w:r>
        <w:tab/>
        <w:t>Kilovolt-Ampere reactive</w:t>
      </w:r>
    </w:p>
    <w:p w14:paraId="734A1A7D" w14:textId="77777777" w:rsidR="00831914" w:rsidRDefault="00831914" w:rsidP="00831914">
      <w:pPr>
        <w:tabs>
          <w:tab w:val="left" w:pos="2160"/>
        </w:tabs>
        <w:rPr>
          <w:b/>
        </w:rPr>
      </w:pPr>
      <w:proofErr w:type="spellStart"/>
      <w:r>
        <w:rPr>
          <w:b/>
        </w:rPr>
        <w:t>kVArh</w:t>
      </w:r>
      <w:proofErr w:type="spellEnd"/>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118DA8CF" w14:textId="05D08E3E" w:rsidR="008015E8" w:rsidRPr="00336A98" w:rsidRDefault="008015E8">
      <w:pPr>
        <w:tabs>
          <w:tab w:val="left" w:pos="2160"/>
        </w:tabs>
        <w:rPr>
          <w:b/>
          <w:bCs/>
        </w:rPr>
      </w:pPr>
      <w:r w:rsidRPr="00336A98">
        <w:rPr>
          <w:b/>
          <w:bCs/>
        </w:rPr>
        <w:t>LOLE</w:t>
      </w:r>
      <w:r>
        <w:rPr>
          <w:b/>
          <w:bCs/>
        </w:rPr>
        <w:tab/>
      </w:r>
      <w:r w:rsidRPr="00336A98">
        <w:t>Loss of Load Expectation</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7A727524" w14:textId="77777777" w:rsidR="002506F6" w:rsidRDefault="002506F6">
      <w:pPr>
        <w:tabs>
          <w:tab w:val="left" w:pos="2160"/>
        </w:tabs>
        <w:rPr>
          <w:b/>
        </w:rPr>
      </w:pPr>
      <w:r w:rsidRPr="00AC0350">
        <w:rPr>
          <w:b/>
          <w:bCs/>
        </w:rPr>
        <w:t>LSIPA</w:t>
      </w:r>
      <w:r w:rsidRPr="00AC0350">
        <w:tab/>
        <w:t>Lone Star Infrastructure Protection Act</w:t>
      </w:r>
    </w:p>
    <w:p w14:paraId="3A9BBFCE" w14:textId="4E38F742"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543449DF" w14:textId="77777777" w:rsidR="00966633" w:rsidRDefault="00966633" w:rsidP="00966633">
      <w:pPr>
        <w:tabs>
          <w:tab w:val="left" w:pos="2160"/>
        </w:tabs>
      </w:pPr>
      <w:proofErr w:type="spellStart"/>
      <w:r w:rsidRPr="00F06E8E">
        <w:rPr>
          <w:b/>
          <w:bCs/>
        </w:rPr>
        <w:t>MaxSOC</w:t>
      </w:r>
      <w:proofErr w:type="spellEnd"/>
      <w:r w:rsidRPr="00F06E8E">
        <w:tab/>
        <w:t>Maximum State of Charge</w:t>
      </w: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665C4DE3" w14:textId="30BCC98D" w:rsidR="00F5649F" w:rsidRDefault="00F5649F">
      <w:pPr>
        <w:tabs>
          <w:tab w:val="left" w:pos="2160"/>
        </w:tabs>
      </w:pPr>
      <w:proofErr w:type="spellStart"/>
      <w:r w:rsidRPr="00F06E8E">
        <w:rPr>
          <w:b/>
          <w:bCs/>
        </w:rPr>
        <w:t>MinSOC</w:t>
      </w:r>
      <w:proofErr w:type="spellEnd"/>
      <w:r w:rsidRPr="00F06E8E">
        <w:tab/>
        <w:t>Minimum State of Charge</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60CCE669" w14:textId="52C90DFE" w:rsidR="00966633" w:rsidRDefault="00966633" w:rsidP="00966633">
      <w:pPr>
        <w:tabs>
          <w:tab w:val="left" w:pos="2160"/>
        </w:tabs>
      </w:pPr>
      <w:proofErr w:type="spellStart"/>
      <w:r>
        <w:rPr>
          <w:b/>
        </w:rPr>
        <w:t>MWhh</w:t>
      </w:r>
      <w:proofErr w:type="spellEnd"/>
      <w:r>
        <w:tab/>
        <w:t xml:space="preserve">Megawatt Hour </w:t>
      </w:r>
      <w:proofErr w:type="spellStart"/>
      <w:r>
        <w:t>Hour</w:t>
      </w:r>
      <w:proofErr w:type="spellEnd"/>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lastRenderedPageBreak/>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lastRenderedPageBreak/>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231B60C" w14:textId="77777777" w:rsidR="00966633" w:rsidRPr="00F06E8E" w:rsidRDefault="00966633" w:rsidP="00966633">
      <w:pPr>
        <w:tabs>
          <w:tab w:val="left" w:pos="2160"/>
        </w:tabs>
      </w:pPr>
      <w:r w:rsidRPr="00F06E8E">
        <w:rPr>
          <w:b/>
          <w:bCs/>
        </w:rPr>
        <w:t>SOC</w:t>
      </w:r>
      <w:r w:rsidRPr="00F06E8E">
        <w:tab/>
        <w:t>State of Charge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00522B7E" w14:textId="77777777" w:rsidR="00C73B04" w:rsidRPr="0058795B" w:rsidRDefault="00C73B04" w:rsidP="00C73B04">
      <w:pPr>
        <w:tabs>
          <w:tab w:val="left" w:pos="2160"/>
        </w:tabs>
      </w:pPr>
      <w:r w:rsidRPr="0058795B">
        <w:rPr>
          <w:b/>
          <w:bCs/>
        </w:rPr>
        <w:t>SREC</w:t>
      </w:r>
      <w:r>
        <w:tab/>
        <w:t>Solar Renewable Energy Credit</w:t>
      </w:r>
    </w:p>
    <w:p w14:paraId="075A4E8F" w14:textId="626E59EB" w:rsidR="0058795B" w:rsidRDefault="0058795B" w:rsidP="0058795B">
      <w:pPr>
        <w:tabs>
          <w:tab w:val="left" w:pos="2160"/>
        </w:tabs>
      </w:pPr>
      <w:r>
        <w:rPr>
          <w:b/>
        </w:rPr>
        <w:t>SRPS</w:t>
      </w:r>
      <w:r>
        <w:tab/>
        <w:t>Solar Renewable Portfolio Standard</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62C2A414" w14:textId="27E0310C" w:rsidR="0058795B" w:rsidRDefault="0058795B" w:rsidP="0058795B">
      <w:pPr>
        <w:tabs>
          <w:tab w:val="left" w:pos="2160"/>
        </w:tabs>
      </w:pPr>
      <w:r w:rsidRPr="00B4380F">
        <w:rPr>
          <w:b/>
        </w:rPr>
        <w:t>S</w:t>
      </w:r>
      <w:r>
        <w:rPr>
          <w:b/>
        </w:rPr>
        <w:t>S</w:t>
      </w:r>
      <w:r w:rsidRPr="00B4380F">
        <w:rPr>
          <w:b/>
        </w:rPr>
        <w:t>RR</w:t>
      </w:r>
      <w:r>
        <w:tab/>
        <w:t>Statewide SRPS Requirement</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lastRenderedPageBreak/>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15D8A890" w:rsidR="003109F8" w:rsidRPr="00F909A2" w:rsidRDefault="003109F8">
    <w:pPr>
      <w:pStyle w:val="Footer"/>
      <w:tabs>
        <w:tab w:val="clear" w:pos="4680"/>
      </w:tabs>
      <w:spacing w:before="0" w:after="0"/>
    </w:pPr>
    <w:r w:rsidRPr="00F909A2">
      <w:t>ERCOT Nodal Protocols –</w:t>
    </w:r>
    <w:r w:rsidR="007A6E43">
      <w:t xml:space="preserve"> </w:t>
    </w:r>
    <w:r w:rsidR="00240918">
      <w:t>November</w:t>
    </w:r>
    <w:r w:rsidR="00C35A18">
      <w:t xml:space="preserve"> 1</w:t>
    </w:r>
    <w:r>
      <w:t xml:space="preserve">, </w:t>
    </w:r>
    <w:proofErr w:type="gramStart"/>
    <w:r>
      <w:t>202</w:t>
    </w:r>
    <w:r w:rsidR="00831DAE">
      <w:t>4</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94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2D50"/>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4C9"/>
    <w:rsid w:val="0007582F"/>
    <w:rsid w:val="00077756"/>
    <w:rsid w:val="000812CF"/>
    <w:rsid w:val="000819B3"/>
    <w:rsid w:val="00083C56"/>
    <w:rsid w:val="00084BDE"/>
    <w:rsid w:val="00084C11"/>
    <w:rsid w:val="00087419"/>
    <w:rsid w:val="00087C63"/>
    <w:rsid w:val="00087DFE"/>
    <w:rsid w:val="000914BB"/>
    <w:rsid w:val="00091E5F"/>
    <w:rsid w:val="0009533C"/>
    <w:rsid w:val="00095648"/>
    <w:rsid w:val="00096C22"/>
    <w:rsid w:val="000A0E7E"/>
    <w:rsid w:val="000A20F6"/>
    <w:rsid w:val="000A2B97"/>
    <w:rsid w:val="000A3EC6"/>
    <w:rsid w:val="000A57F4"/>
    <w:rsid w:val="000A63E1"/>
    <w:rsid w:val="000A6540"/>
    <w:rsid w:val="000A6B6E"/>
    <w:rsid w:val="000A7A2A"/>
    <w:rsid w:val="000A7A9D"/>
    <w:rsid w:val="000B0F37"/>
    <w:rsid w:val="000B280E"/>
    <w:rsid w:val="000B3B0E"/>
    <w:rsid w:val="000B501C"/>
    <w:rsid w:val="000B6171"/>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39E2"/>
    <w:rsid w:val="00123B8F"/>
    <w:rsid w:val="00124F3C"/>
    <w:rsid w:val="00125B10"/>
    <w:rsid w:val="001262AE"/>
    <w:rsid w:val="00130C21"/>
    <w:rsid w:val="00131012"/>
    <w:rsid w:val="001325DD"/>
    <w:rsid w:val="00133BEE"/>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67F63"/>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5E82"/>
    <w:rsid w:val="001A6B36"/>
    <w:rsid w:val="001A755E"/>
    <w:rsid w:val="001A7879"/>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1EFC"/>
    <w:rsid w:val="001D3473"/>
    <w:rsid w:val="001D44A0"/>
    <w:rsid w:val="001D50FB"/>
    <w:rsid w:val="001D6435"/>
    <w:rsid w:val="001D65AC"/>
    <w:rsid w:val="001D7A0F"/>
    <w:rsid w:val="001D7E5E"/>
    <w:rsid w:val="001D7F82"/>
    <w:rsid w:val="001E0358"/>
    <w:rsid w:val="001E21AB"/>
    <w:rsid w:val="001E3E65"/>
    <w:rsid w:val="001E4107"/>
    <w:rsid w:val="001E598F"/>
    <w:rsid w:val="001F1F97"/>
    <w:rsid w:val="001F28A1"/>
    <w:rsid w:val="001F3D58"/>
    <w:rsid w:val="001F69E5"/>
    <w:rsid w:val="001F79A3"/>
    <w:rsid w:val="0020064A"/>
    <w:rsid w:val="00200C33"/>
    <w:rsid w:val="00201392"/>
    <w:rsid w:val="0020238E"/>
    <w:rsid w:val="0020251A"/>
    <w:rsid w:val="00202F0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7864"/>
    <w:rsid w:val="0023178C"/>
    <w:rsid w:val="00231A2B"/>
    <w:rsid w:val="00232EDE"/>
    <w:rsid w:val="00233BDC"/>
    <w:rsid w:val="0023512C"/>
    <w:rsid w:val="00236070"/>
    <w:rsid w:val="002373C8"/>
    <w:rsid w:val="00237DCB"/>
    <w:rsid w:val="002402C2"/>
    <w:rsid w:val="00240918"/>
    <w:rsid w:val="00242D43"/>
    <w:rsid w:val="00243E63"/>
    <w:rsid w:val="0024584E"/>
    <w:rsid w:val="00245956"/>
    <w:rsid w:val="00247AAB"/>
    <w:rsid w:val="002506F6"/>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37D2"/>
    <w:rsid w:val="0027577D"/>
    <w:rsid w:val="00276794"/>
    <w:rsid w:val="00277DAD"/>
    <w:rsid w:val="00281BF8"/>
    <w:rsid w:val="00285F1E"/>
    <w:rsid w:val="00286EDD"/>
    <w:rsid w:val="00287194"/>
    <w:rsid w:val="00290754"/>
    <w:rsid w:val="0029204D"/>
    <w:rsid w:val="00292747"/>
    <w:rsid w:val="002946F4"/>
    <w:rsid w:val="00295B5E"/>
    <w:rsid w:val="00296421"/>
    <w:rsid w:val="002965B0"/>
    <w:rsid w:val="002A03F1"/>
    <w:rsid w:val="002A3B6B"/>
    <w:rsid w:val="002A3E63"/>
    <w:rsid w:val="002B12A6"/>
    <w:rsid w:val="002B2AF8"/>
    <w:rsid w:val="002B5E29"/>
    <w:rsid w:val="002B5F28"/>
    <w:rsid w:val="002B7145"/>
    <w:rsid w:val="002B7814"/>
    <w:rsid w:val="002C099B"/>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E64C7"/>
    <w:rsid w:val="002E7AC3"/>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9C5"/>
    <w:rsid w:val="00322ADC"/>
    <w:rsid w:val="003239B4"/>
    <w:rsid w:val="00323D61"/>
    <w:rsid w:val="0032438E"/>
    <w:rsid w:val="003245CD"/>
    <w:rsid w:val="00327B43"/>
    <w:rsid w:val="00327D98"/>
    <w:rsid w:val="00330C1C"/>
    <w:rsid w:val="00331756"/>
    <w:rsid w:val="003321CF"/>
    <w:rsid w:val="00334390"/>
    <w:rsid w:val="00334786"/>
    <w:rsid w:val="00334C9A"/>
    <w:rsid w:val="00334D97"/>
    <w:rsid w:val="003350AF"/>
    <w:rsid w:val="00335A44"/>
    <w:rsid w:val="00336A98"/>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20F"/>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6A4B"/>
    <w:rsid w:val="003D736D"/>
    <w:rsid w:val="003E2081"/>
    <w:rsid w:val="003E31CF"/>
    <w:rsid w:val="003E51A2"/>
    <w:rsid w:val="003E60C6"/>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348D"/>
    <w:rsid w:val="00405748"/>
    <w:rsid w:val="004059A7"/>
    <w:rsid w:val="00406B6D"/>
    <w:rsid w:val="00410E65"/>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5F3"/>
    <w:rsid w:val="00472743"/>
    <w:rsid w:val="004727E1"/>
    <w:rsid w:val="00472824"/>
    <w:rsid w:val="00472C8C"/>
    <w:rsid w:val="0047389E"/>
    <w:rsid w:val="004741B5"/>
    <w:rsid w:val="004746D9"/>
    <w:rsid w:val="004757FD"/>
    <w:rsid w:val="00475BE9"/>
    <w:rsid w:val="00476AFB"/>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C7AE0"/>
    <w:rsid w:val="004D243A"/>
    <w:rsid w:val="004D2CF9"/>
    <w:rsid w:val="004D3243"/>
    <w:rsid w:val="004D3E41"/>
    <w:rsid w:val="004D4E12"/>
    <w:rsid w:val="004E0CD6"/>
    <w:rsid w:val="004E21E1"/>
    <w:rsid w:val="004E245D"/>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485"/>
    <w:rsid w:val="00553A71"/>
    <w:rsid w:val="00555B7C"/>
    <w:rsid w:val="00557F8A"/>
    <w:rsid w:val="0056083A"/>
    <w:rsid w:val="00560F0B"/>
    <w:rsid w:val="005626AB"/>
    <w:rsid w:val="00565A5A"/>
    <w:rsid w:val="005673F9"/>
    <w:rsid w:val="005676C8"/>
    <w:rsid w:val="00567C13"/>
    <w:rsid w:val="005726D8"/>
    <w:rsid w:val="0057277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8795B"/>
    <w:rsid w:val="00590133"/>
    <w:rsid w:val="00590D29"/>
    <w:rsid w:val="00593A83"/>
    <w:rsid w:val="0059523D"/>
    <w:rsid w:val="00595E4D"/>
    <w:rsid w:val="00596357"/>
    <w:rsid w:val="00596550"/>
    <w:rsid w:val="00596878"/>
    <w:rsid w:val="005A230B"/>
    <w:rsid w:val="005A261C"/>
    <w:rsid w:val="005A3523"/>
    <w:rsid w:val="005A37F7"/>
    <w:rsid w:val="005A3E06"/>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1DA"/>
    <w:rsid w:val="005D6575"/>
    <w:rsid w:val="005D6C50"/>
    <w:rsid w:val="005D7C27"/>
    <w:rsid w:val="005E0178"/>
    <w:rsid w:val="005E1295"/>
    <w:rsid w:val="005E166B"/>
    <w:rsid w:val="005E1CD4"/>
    <w:rsid w:val="005E25EC"/>
    <w:rsid w:val="005E3A14"/>
    <w:rsid w:val="005E529D"/>
    <w:rsid w:val="005F1042"/>
    <w:rsid w:val="005F2251"/>
    <w:rsid w:val="005F2922"/>
    <w:rsid w:val="005F39B1"/>
    <w:rsid w:val="005F5B38"/>
    <w:rsid w:val="005F5E22"/>
    <w:rsid w:val="005F5EF5"/>
    <w:rsid w:val="00600BE1"/>
    <w:rsid w:val="00601C16"/>
    <w:rsid w:val="00602759"/>
    <w:rsid w:val="006037A4"/>
    <w:rsid w:val="00605788"/>
    <w:rsid w:val="0060611F"/>
    <w:rsid w:val="006063CD"/>
    <w:rsid w:val="0060680B"/>
    <w:rsid w:val="0060756B"/>
    <w:rsid w:val="00607853"/>
    <w:rsid w:val="00607DBF"/>
    <w:rsid w:val="006107CE"/>
    <w:rsid w:val="00612C7B"/>
    <w:rsid w:val="00612D6C"/>
    <w:rsid w:val="00613588"/>
    <w:rsid w:val="006141AC"/>
    <w:rsid w:val="00616A36"/>
    <w:rsid w:val="00620A0B"/>
    <w:rsid w:val="00620E0D"/>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2E06"/>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AD5"/>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F278A"/>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1AC0"/>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328F"/>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3B31"/>
    <w:rsid w:val="007F4D7E"/>
    <w:rsid w:val="007F6135"/>
    <w:rsid w:val="007F7876"/>
    <w:rsid w:val="007F7C2F"/>
    <w:rsid w:val="007F7DD9"/>
    <w:rsid w:val="008015E8"/>
    <w:rsid w:val="00801B6E"/>
    <w:rsid w:val="0080249A"/>
    <w:rsid w:val="00803731"/>
    <w:rsid w:val="008038D6"/>
    <w:rsid w:val="00803CD6"/>
    <w:rsid w:val="00803D64"/>
    <w:rsid w:val="0080518C"/>
    <w:rsid w:val="00805395"/>
    <w:rsid w:val="00805990"/>
    <w:rsid w:val="00806E4B"/>
    <w:rsid w:val="00806F78"/>
    <w:rsid w:val="00811BEF"/>
    <w:rsid w:val="00816941"/>
    <w:rsid w:val="0082035E"/>
    <w:rsid w:val="00820F2F"/>
    <w:rsid w:val="008230A0"/>
    <w:rsid w:val="008234DE"/>
    <w:rsid w:val="00823B6E"/>
    <w:rsid w:val="00823BF5"/>
    <w:rsid w:val="0082435C"/>
    <w:rsid w:val="00826EED"/>
    <w:rsid w:val="00831914"/>
    <w:rsid w:val="00831DAE"/>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1E59"/>
    <w:rsid w:val="00862E90"/>
    <w:rsid w:val="00863725"/>
    <w:rsid w:val="00865928"/>
    <w:rsid w:val="00867389"/>
    <w:rsid w:val="0087107B"/>
    <w:rsid w:val="00871795"/>
    <w:rsid w:val="00871B40"/>
    <w:rsid w:val="008720B3"/>
    <w:rsid w:val="008742AB"/>
    <w:rsid w:val="00875A7A"/>
    <w:rsid w:val="00876F91"/>
    <w:rsid w:val="00877DE7"/>
    <w:rsid w:val="00880D80"/>
    <w:rsid w:val="00882987"/>
    <w:rsid w:val="00882CF4"/>
    <w:rsid w:val="008833E6"/>
    <w:rsid w:val="00884DEE"/>
    <w:rsid w:val="00885486"/>
    <w:rsid w:val="0088551D"/>
    <w:rsid w:val="00886516"/>
    <w:rsid w:val="00886749"/>
    <w:rsid w:val="0089065D"/>
    <w:rsid w:val="008906B5"/>
    <w:rsid w:val="00890BEF"/>
    <w:rsid w:val="0089172B"/>
    <w:rsid w:val="00896B39"/>
    <w:rsid w:val="00896E8D"/>
    <w:rsid w:val="00897360"/>
    <w:rsid w:val="008975B3"/>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2A4"/>
    <w:rsid w:val="008C5847"/>
    <w:rsid w:val="008C5D4D"/>
    <w:rsid w:val="008C6A7F"/>
    <w:rsid w:val="008C6CF2"/>
    <w:rsid w:val="008D169C"/>
    <w:rsid w:val="008D2C55"/>
    <w:rsid w:val="008D2FF7"/>
    <w:rsid w:val="008D309D"/>
    <w:rsid w:val="008D30EA"/>
    <w:rsid w:val="008D3E83"/>
    <w:rsid w:val="008D7092"/>
    <w:rsid w:val="008D7289"/>
    <w:rsid w:val="008E0B8B"/>
    <w:rsid w:val="008E1A8A"/>
    <w:rsid w:val="008E28FC"/>
    <w:rsid w:val="008E3EDF"/>
    <w:rsid w:val="008E541E"/>
    <w:rsid w:val="008E601A"/>
    <w:rsid w:val="008F00F8"/>
    <w:rsid w:val="008F0E85"/>
    <w:rsid w:val="008F1267"/>
    <w:rsid w:val="008F2983"/>
    <w:rsid w:val="008F44B7"/>
    <w:rsid w:val="008F4AB7"/>
    <w:rsid w:val="008F5124"/>
    <w:rsid w:val="008F574B"/>
    <w:rsid w:val="008F5D50"/>
    <w:rsid w:val="008F6600"/>
    <w:rsid w:val="008F6722"/>
    <w:rsid w:val="008F6A37"/>
    <w:rsid w:val="008F6E08"/>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633"/>
    <w:rsid w:val="009667C4"/>
    <w:rsid w:val="00966BE5"/>
    <w:rsid w:val="009711FC"/>
    <w:rsid w:val="0097294B"/>
    <w:rsid w:val="009729F7"/>
    <w:rsid w:val="00972D3C"/>
    <w:rsid w:val="00973153"/>
    <w:rsid w:val="00973337"/>
    <w:rsid w:val="009741BD"/>
    <w:rsid w:val="009756D1"/>
    <w:rsid w:val="00975A01"/>
    <w:rsid w:val="00977D0B"/>
    <w:rsid w:val="00977DE0"/>
    <w:rsid w:val="0098023B"/>
    <w:rsid w:val="00982E35"/>
    <w:rsid w:val="00983E76"/>
    <w:rsid w:val="009840A1"/>
    <w:rsid w:val="00985F77"/>
    <w:rsid w:val="009864EF"/>
    <w:rsid w:val="00986AD1"/>
    <w:rsid w:val="00987F52"/>
    <w:rsid w:val="00990D53"/>
    <w:rsid w:val="0099147E"/>
    <w:rsid w:val="0099265E"/>
    <w:rsid w:val="00993EC2"/>
    <w:rsid w:val="00995462"/>
    <w:rsid w:val="009959A6"/>
    <w:rsid w:val="009965C1"/>
    <w:rsid w:val="009A0772"/>
    <w:rsid w:val="009A0B16"/>
    <w:rsid w:val="009A1370"/>
    <w:rsid w:val="009A1BC3"/>
    <w:rsid w:val="009A2C57"/>
    <w:rsid w:val="009A2F3F"/>
    <w:rsid w:val="009A34E8"/>
    <w:rsid w:val="009A497C"/>
    <w:rsid w:val="009A5229"/>
    <w:rsid w:val="009A52E2"/>
    <w:rsid w:val="009A588D"/>
    <w:rsid w:val="009A7BEF"/>
    <w:rsid w:val="009B033A"/>
    <w:rsid w:val="009B1E9E"/>
    <w:rsid w:val="009B5591"/>
    <w:rsid w:val="009B57E7"/>
    <w:rsid w:val="009B58F7"/>
    <w:rsid w:val="009B7909"/>
    <w:rsid w:val="009C030B"/>
    <w:rsid w:val="009C077F"/>
    <w:rsid w:val="009C2397"/>
    <w:rsid w:val="009C4AED"/>
    <w:rsid w:val="009C65F0"/>
    <w:rsid w:val="009C72F7"/>
    <w:rsid w:val="009D0979"/>
    <w:rsid w:val="009D1ADF"/>
    <w:rsid w:val="009D37A9"/>
    <w:rsid w:val="009D4304"/>
    <w:rsid w:val="009D7251"/>
    <w:rsid w:val="009D79A7"/>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049A"/>
    <w:rsid w:val="00A321F9"/>
    <w:rsid w:val="00A32D53"/>
    <w:rsid w:val="00A34B99"/>
    <w:rsid w:val="00A34C73"/>
    <w:rsid w:val="00A3558C"/>
    <w:rsid w:val="00A37BF9"/>
    <w:rsid w:val="00A37FBC"/>
    <w:rsid w:val="00A40B49"/>
    <w:rsid w:val="00A40EAF"/>
    <w:rsid w:val="00A411C6"/>
    <w:rsid w:val="00A41F86"/>
    <w:rsid w:val="00A424D1"/>
    <w:rsid w:val="00A434E2"/>
    <w:rsid w:val="00A439F1"/>
    <w:rsid w:val="00A43C55"/>
    <w:rsid w:val="00A442A0"/>
    <w:rsid w:val="00A46513"/>
    <w:rsid w:val="00A52C8D"/>
    <w:rsid w:val="00A53193"/>
    <w:rsid w:val="00A532F5"/>
    <w:rsid w:val="00A54456"/>
    <w:rsid w:val="00A57C3A"/>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1F16"/>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36CA"/>
    <w:rsid w:val="00AE526D"/>
    <w:rsid w:val="00AE5685"/>
    <w:rsid w:val="00AE5D3E"/>
    <w:rsid w:val="00AE6B0E"/>
    <w:rsid w:val="00AE6DA3"/>
    <w:rsid w:val="00AE7A62"/>
    <w:rsid w:val="00AF10FB"/>
    <w:rsid w:val="00AF1616"/>
    <w:rsid w:val="00AF19D4"/>
    <w:rsid w:val="00AF1BB2"/>
    <w:rsid w:val="00AF2926"/>
    <w:rsid w:val="00AF6DAA"/>
    <w:rsid w:val="00AF70F7"/>
    <w:rsid w:val="00AF7A87"/>
    <w:rsid w:val="00AF7CAF"/>
    <w:rsid w:val="00B00621"/>
    <w:rsid w:val="00B00EA6"/>
    <w:rsid w:val="00B00F80"/>
    <w:rsid w:val="00B016F5"/>
    <w:rsid w:val="00B04A31"/>
    <w:rsid w:val="00B04CFF"/>
    <w:rsid w:val="00B04F73"/>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42A3"/>
    <w:rsid w:val="00B445A4"/>
    <w:rsid w:val="00B468E6"/>
    <w:rsid w:val="00B46C21"/>
    <w:rsid w:val="00B473F2"/>
    <w:rsid w:val="00B5058F"/>
    <w:rsid w:val="00B5168E"/>
    <w:rsid w:val="00B52417"/>
    <w:rsid w:val="00B5334E"/>
    <w:rsid w:val="00B54247"/>
    <w:rsid w:val="00B55C81"/>
    <w:rsid w:val="00B5614D"/>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5875"/>
    <w:rsid w:val="00B9690C"/>
    <w:rsid w:val="00B97A02"/>
    <w:rsid w:val="00BA0838"/>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BB0"/>
    <w:rsid w:val="00BE0C6B"/>
    <w:rsid w:val="00BE1E4C"/>
    <w:rsid w:val="00BE1E8F"/>
    <w:rsid w:val="00BE3AD1"/>
    <w:rsid w:val="00BE3CD9"/>
    <w:rsid w:val="00BE6664"/>
    <w:rsid w:val="00BF0D5A"/>
    <w:rsid w:val="00BF1043"/>
    <w:rsid w:val="00BF2DF3"/>
    <w:rsid w:val="00BF7222"/>
    <w:rsid w:val="00BF75E5"/>
    <w:rsid w:val="00C00650"/>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BAC"/>
    <w:rsid w:val="00C30D8F"/>
    <w:rsid w:val="00C318EE"/>
    <w:rsid w:val="00C347C8"/>
    <w:rsid w:val="00C35510"/>
    <w:rsid w:val="00C35A18"/>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1F5"/>
    <w:rsid w:val="00C64218"/>
    <w:rsid w:val="00C646E9"/>
    <w:rsid w:val="00C65066"/>
    <w:rsid w:val="00C66E2E"/>
    <w:rsid w:val="00C7056A"/>
    <w:rsid w:val="00C72847"/>
    <w:rsid w:val="00C72A85"/>
    <w:rsid w:val="00C73B04"/>
    <w:rsid w:val="00C74251"/>
    <w:rsid w:val="00C7427F"/>
    <w:rsid w:val="00C764DC"/>
    <w:rsid w:val="00C76849"/>
    <w:rsid w:val="00C76D19"/>
    <w:rsid w:val="00C7727A"/>
    <w:rsid w:val="00C811A0"/>
    <w:rsid w:val="00C81A0C"/>
    <w:rsid w:val="00C81CB2"/>
    <w:rsid w:val="00C820E3"/>
    <w:rsid w:val="00C8235B"/>
    <w:rsid w:val="00C84C21"/>
    <w:rsid w:val="00C90877"/>
    <w:rsid w:val="00C925F1"/>
    <w:rsid w:val="00C952F0"/>
    <w:rsid w:val="00C953D0"/>
    <w:rsid w:val="00C96602"/>
    <w:rsid w:val="00C97705"/>
    <w:rsid w:val="00C97F82"/>
    <w:rsid w:val="00CA09FF"/>
    <w:rsid w:val="00CA0DB4"/>
    <w:rsid w:val="00CA1792"/>
    <w:rsid w:val="00CA1A72"/>
    <w:rsid w:val="00CA24B4"/>
    <w:rsid w:val="00CA3760"/>
    <w:rsid w:val="00CA3B4F"/>
    <w:rsid w:val="00CA49B5"/>
    <w:rsid w:val="00CA4E7C"/>
    <w:rsid w:val="00CA50C5"/>
    <w:rsid w:val="00CA628E"/>
    <w:rsid w:val="00CA7066"/>
    <w:rsid w:val="00CB26DA"/>
    <w:rsid w:val="00CB2894"/>
    <w:rsid w:val="00CB311F"/>
    <w:rsid w:val="00CB444F"/>
    <w:rsid w:val="00CB6216"/>
    <w:rsid w:val="00CB7187"/>
    <w:rsid w:val="00CC0A31"/>
    <w:rsid w:val="00CC1AFD"/>
    <w:rsid w:val="00CC2B4C"/>
    <w:rsid w:val="00CC330D"/>
    <w:rsid w:val="00CC3A6D"/>
    <w:rsid w:val="00CC62B7"/>
    <w:rsid w:val="00CC66F6"/>
    <w:rsid w:val="00CC688D"/>
    <w:rsid w:val="00CC74DE"/>
    <w:rsid w:val="00CC7B79"/>
    <w:rsid w:val="00CD0F09"/>
    <w:rsid w:val="00CD20AC"/>
    <w:rsid w:val="00CD2FE3"/>
    <w:rsid w:val="00CD65BC"/>
    <w:rsid w:val="00CD6F70"/>
    <w:rsid w:val="00CD703D"/>
    <w:rsid w:val="00CD7069"/>
    <w:rsid w:val="00CE06CE"/>
    <w:rsid w:val="00CE1951"/>
    <w:rsid w:val="00CE1D32"/>
    <w:rsid w:val="00CE29D6"/>
    <w:rsid w:val="00CE2B2B"/>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6136"/>
    <w:rsid w:val="00D2643D"/>
    <w:rsid w:val="00D2665F"/>
    <w:rsid w:val="00D26FE6"/>
    <w:rsid w:val="00D2755F"/>
    <w:rsid w:val="00D31B68"/>
    <w:rsid w:val="00D32759"/>
    <w:rsid w:val="00D32CC8"/>
    <w:rsid w:val="00D354A4"/>
    <w:rsid w:val="00D35A78"/>
    <w:rsid w:val="00D377D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2A9"/>
    <w:rsid w:val="00DA1584"/>
    <w:rsid w:val="00DA260C"/>
    <w:rsid w:val="00DA283C"/>
    <w:rsid w:val="00DA49FB"/>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5FB"/>
    <w:rsid w:val="00DF0A9D"/>
    <w:rsid w:val="00DF127C"/>
    <w:rsid w:val="00DF1B0C"/>
    <w:rsid w:val="00DF3544"/>
    <w:rsid w:val="00DF3BED"/>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018"/>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3A3A"/>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4738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1E00"/>
    <w:rsid w:val="00E83CCF"/>
    <w:rsid w:val="00E83DC9"/>
    <w:rsid w:val="00E83ED7"/>
    <w:rsid w:val="00E84A1C"/>
    <w:rsid w:val="00E94405"/>
    <w:rsid w:val="00E94D83"/>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953"/>
    <w:rsid w:val="00EE5D7B"/>
    <w:rsid w:val="00EE75A9"/>
    <w:rsid w:val="00EE7889"/>
    <w:rsid w:val="00EE7B76"/>
    <w:rsid w:val="00EE7CAF"/>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D71"/>
    <w:rsid w:val="00F36F62"/>
    <w:rsid w:val="00F37550"/>
    <w:rsid w:val="00F40576"/>
    <w:rsid w:val="00F4117E"/>
    <w:rsid w:val="00F41A44"/>
    <w:rsid w:val="00F43E18"/>
    <w:rsid w:val="00F50142"/>
    <w:rsid w:val="00F50197"/>
    <w:rsid w:val="00F51A20"/>
    <w:rsid w:val="00F51A7F"/>
    <w:rsid w:val="00F559E0"/>
    <w:rsid w:val="00F5649F"/>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581"/>
    <w:rsid w:val="00F83B89"/>
    <w:rsid w:val="00F83E3E"/>
    <w:rsid w:val="00F84E77"/>
    <w:rsid w:val="00F8575A"/>
    <w:rsid w:val="00F85A30"/>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3EDA"/>
    <w:rsid w:val="00FC4BAD"/>
    <w:rsid w:val="00FC4ED8"/>
    <w:rsid w:val="00FC5320"/>
    <w:rsid w:val="00FC5B22"/>
    <w:rsid w:val="00FC5BEA"/>
    <w:rsid w:val="00FC6220"/>
    <w:rsid w:val="00FC6EB3"/>
    <w:rsid w:val="00FD011B"/>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4241"/>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link w:val="H6Char"/>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 w:type="character" w:customStyle="1" w:styleId="H6Char">
    <w:name w:val="H6 Char"/>
    <w:link w:val="H6"/>
    <w:rsid w:val="00BE0BB0"/>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123</Pages>
  <Words>31415</Words>
  <Characters>185675</Characters>
  <Application>Microsoft Office Word</Application>
  <DocSecurity>0</DocSecurity>
  <Lines>1547</Lines>
  <Paragraphs>433</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216657</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2</cp:revision>
  <cp:lastPrinted>2006-04-19T19:09:00Z</cp:lastPrinted>
  <dcterms:created xsi:type="dcterms:W3CDTF">2024-10-24T19:23:00Z</dcterms:created>
  <dcterms:modified xsi:type="dcterms:W3CDTF">2024-10-24T19:23:00Z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