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2698C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566F323E" w:rsidR="00C2698C" w:rsidRDefault="00C2698C" w:rsidP="00C2698C">
            <w:pPr>
              <w:pStyle w:val="Header"/>
            </w:pPr>
            <w:r>
              <w:t>PGRR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5DDC8671" w:rsidR="00C2698C" w:rsidRPr="00595DDC" w:rsidRDefault="00C2698C" w:rsidP="00C2698C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161E3D">
                <w:rPr>
                  <w:rStyle w:val="Hyperlink"/>
                </w:rPr>
                <w:t>122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5D5088A7" w:rsidR="00C2698C" w:rsidRDefault="00C2698C" w:rsidP="00C2698C">
            <w:pPr>
              <w:pStyle w:val="Header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48B6EA09" w:rsidR="00C2698C" w:rsidRPr="009F3D0E" w:rsidRDefault="00C2698C" w:rsidP="00C2698C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Reliability Performance Criteria for Loss of Load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40E9D471" w:rsidR="00FC0BDC" w:rsidRPr="009F3D0E" w:rsidRDefault="00C2698C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11, 2024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00D995F" w14:textId="77777777" w:rsidR="001F0823" w:rsidRDefault="001F0823" w:rsidP="001F082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None.</w:t>
            </w:r>
          </w:p>
          <w:p w14:paraId="5D9A15BB" w14:textId="6852401D" w:rsidR="00124420" w:rsidRDefault="00C25A1F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152F">
              <w:rPr>
                <w:rFonts w:ascii="Arial" w:hAnsi="Arial" w:cs="Arial"/>
              </w:rPr>
              <w:t xml:space="preserve">Annual Recurring Operations and Maintenance (O&amp;M) Budget Cost:  Between </w:t>
            </w:r>
            <w:r>
              <w:rPr>
                <w:rFonts w:ascii="Arial" w:hAnsi="Arial" w:cs="Arial"/>
              </w:rPr>
              <w:t>$</w:t>
            </w:r>
            <w:r w:rsidR="003B77AD">
              <w:rPr>
                <w:rFonts w:ascii="Arial" w:hAnsi="Arial" w:cs="Arial"/>
              </w:rPr>
              <w:t>900</w:t>
            </w:r>
            <w:r>
              <w:rPr>
                <w:rFonts w:ascii="Arial" w:hAnsi="Arial" w:cs="Arial"/>
              </w:rPr>
              <w:t>k</w:t>
            </w:r>
            <w:r w:rsidRPr="00D1152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$</w:t>
            </w:r>
            <w:r w:rsidR="003B77AD">
              <w:rPr>
                <w:rFonts w:ascii="Arial" w:hAnsi="Arial" w:cs="Arial"/>
              </w:rPr>
              <w:t>1.1M</w:t>
            </w:r>
            <w:r w:rsidR="00F814CC">
              <w:rPr>
                <w:rFonts w:ascii="Arial" w:hAnsi="Arial" w:cs="Arial"/>
              </w:rPr>
              <w:t>.</w:t>
            </w:r>
          </w:p>
          <w:p w14:paraId="24EC7B8C" w14:textId="7B409E37" w:rsidR="00C25A1F" w:rsidRPr="00C25A1F" w:rsidRDefault="00C25A1F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152F">
              <w:rPr>
                <w:rFonts w:ascii="Arial" w:hAnsi="Arial" w:cs="Arial"/>
              </w:rPr>
              <w:t>See ERCOT Staffing Impacts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2EB4DC17" w:rsidR="00B17049" w:rsidRPr="00511748" w:rsidRDefault="00741D65" w:rsidP="00C2698C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0B2333">
              <w:t xml:space="preserve">Planning Guide Revision Request </w:t>
            </w:r>
            <w:r>
              <w:rPr>
                <w:rFonts w:cs="Arial"/>
              </w:rPr>
              <w:t>(P</w:t>
            </w:r>
            <w:r w:rsidR="000B2333">
              <w:rPr>
                <w:rFonts w:cs="Arial"/>
              </w:rPr>
              <w:t>G</w:t>
            </w:r>
            <w:r>
              <w:rPr>
                <w:rFonts w:cs="Arial"/>
              </w:rPr>
              <w:t>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B3CB4D7" w14:textId="0599138C" w:rsidR="007E3D43" w:rsidRPr="003B77AD" w:rsidRDefault="007E3D43" w:rsidP="007E3D43">
            <w:pPr>
              <w:pStyle w:val="NormalArial"/>
            </w:pPr>
            <w:r w:rsidRPr="003B77AD">
              <w:t xml:space="preserve">There will be ongoing operational impacts to the following ERCOT departments totaling </w:t>
            </w:r>
            <w:r w:rsidR="003B77AD">
              <w:t>4</w:t>
            </w:r>
            <w:r w:rsidRPr="003B77AD">
              <w:t>.</w:t>
            </w:r>
            <w:r w:rsidR="003B77AD">
              <w:t>9</w:t>
            </w:r>
            <w:r w:rsidRPr="003B77AD">
              <w:t xml:space="preserve"> Full-Time Employees (FTEs) to support this PGRR:</w:t>
            </w:r>
          </w:p>
          <w:p w14:paraId="4BEE3DAA" w14:textId="77777777" w:rsidR="000B2333" w:rsidRPr="003B77AD" w:rsidRDefault="000B2333" w:rsidP="000B2333">
            <w:pPr>
              <w:pStyle w:val="NormalArial"/>
            </w:pPr>
          </w:p>
          <w:p w14:paraId="0DC081D8" w14:textId="1BC29EA9" w:rsidR="000B2333" w:rsidRPr="003B77AD" w:rsidRDefault="000B2333" w:rsidP="000B2333">
            <w:pPr>
              <w:pStyle w:val="NormalArial"/>
            </w:pPr>
            <w:r w:rsidRPr="003B77AD">
              <w:t>• Dynamic Studies (</w:t>
            </w:r>
            <w:r w:rsidR="00C04D27" w:rsidRPr="003B77AD">
              <w:t>2</w:t>
            </w:r>
            <w:r w:rsidRPr="003B77AD">
              <w:t>.</w:t>
            </w:r>
            <w:r w:rsidR="00C04D27" w:rsidRPr="003B77AD">
              <w:t>0</w:t>
            </w:r>
            <w:r w:rsidRPr="003B77AD">
              <w:t xml:space="preserve"> FTEs </w:t>
            </w:r>
            <w:r w:rsidR="00C04D27" w:rsidRPr="003B77AD">
              <w:t>e</w:t>
            </w:r>
            <w:r w:rsidRPr="003B77AD">
              <w:t>ffort)</w:t>
            </w:r>
          </w:p>
          <w:p w14:paraId="7FBA6413" w14:textId="7CB1F203" w:rsidR="000B2333" w:rsidRPr="003B77AD" w:rsidRDefault="000B2333" w:rsidP="000B2333">
            <w:pPr>
              <w:pStyle w:val="NormalArial"/>
            </w:pPr>
            <w:r w:rsidRPr="003B77AD">
              <w:t>• Regional Planning (</w:t>
            </w:r>
            <w:r w:rsidR="00C04D27" w:rsidRPr="003B77AD">
              <w:t>1</w:t>
            </w:r>
            <w:r w:rsidRPr="003B77AD">
              <w:t>.</w:t>
            </w:r>
            <w:r w:rsidR="00C04D27" w:rsidRPr="003B77AD">
              <w:t>8</w:t>
            </w:r>
            <w:r w:rsidRPr="003B77AD">
              <w:t xml:space="preserve"> FTEs </w:t>
            </w:r>
            <w:r w:rsidR="00C04D27" w:rsidRPr="003B77AD">
              <w:t>e</w:t>
            </w:r>
            <w:r w:rsidRPr="003B77AD">
              <w:t>ffort)</w:t>
            </w:r>
          </w:p>
          <w:p w14:paraId="52180EB4" w14:textId="42AD4095" w:rsidR="000B2333" w:rsidRPr="003B77AD" w:rsidRDefault="000B2333" w:rsidP="000B2333">
            <w:pPr>
              <w:pStyle w:val="NormalArial"/>
            </w:pPr>
            <w:r w:rsidRPr="003B77AD">
              <w:t>• Regional Transmission Planning (</w:t>
            </w:r>
            <w:r w:rsidR="00C04D27" w:rsidRPr="003B77AD">
              <w:t>1</w:t>
            </w:r>
            <w:r w:rsidRPr="003B77AD">
              <w:t>.</w:t>
            </w:r>
            <w:r w:rsidR="00C04D27" w:rsidRPr="003B77AD">
              <w:t>1</w:t>
            </w:r>
            <w:r w:rsidRPr="003B77AD">
              <w:t xml:space="preserve"> FTEs </w:t>
            </w:r>
            <w:r w:rsidR="00C04D27" w:rsidRPr="003B77AD">
              <w:t>e</w:t>
            </w:r>
            <w:r w:rsidRPr="003B77AD">
              <w:t>ffort)</w:t>
            </w:r>
          </w:p>
          <w:p w14:paraId="3DED425F" w14:textId="77777777" w:rsidR="000B2333" w:rsidRPr="003B77AD" w:rsidRDefault="000B2333" w:rsidP="000B2333">
            <w:pPr>
              <w:pStyle w:val="NormalArial"/>
            </w:pPr>
          </w:p>
          <w:p w14:paraId="65792086" w14:textId="70243C4B" w:rsidR="00C04D27" w:rsidRPr="003B77AD" w:rsidRDefault="00C04D27" w:rsidP="00C04D27">
            <w:pPr>
              <w:pStyle w:val="NormalArial"/>
            </w:pPr>
            <w:r w:rsidRPr="003B77AD">
              <w:t>ERCOT has assessed its ability to absorb the ongoing efforts of this PGRR with current staff and concluded the need for FTEs in the following departments:</w:t>
            </w:r>
          </w:p>
          <w:p w14:paraId="75A5F34C" w14:textId="77777777" w:rsidR="00C04D27" w:rsidRPr="003B77AD" w:rsidRDefault="00C04D27" w:rsidP="00C04D27">
            <w:pPr>
              <w:pStyle w:val="NormalArial"/>
            </w:pPr>
          </w:p>
          <w:p w14:paraId="4B31618D" w14:textId="066F91E0" w:rsidR="00C04D27" w:rsidRPr="003B77AD" w:rsidRDefault="00C04D27" w:rsidP="00C04D27">
            <w:pPr>
              <w:pStyle w:val="NormalArial"/>
            </w:pPr>
            <w:r w:rsidRPr="003B77AD">
              <w:t xml:space="preserve">• Dynamic Studies department (2 FTEs) </w:t>
            </w:r>
          </w:p>
          <w:p w14:paraId="40784147" w14:textId="7B81BA76" w:rsidR="00C04D27" w:rsidRPr="003B77AD" w:rsidRDefault="00C04D27" w:rsidP="00C04D27">
            <w:pPr>
              <w:pStyle w:val="NormalArial"/>
            </w:pPr>
            <w:r w:rsidRPr="003B77AD">
              <w:t>• Regional Planning department (2 FTEs)</w:t>
            </w:r>
          </w:p>
          <w:p w14:paraId="606D1F93" w14:textId="6F5DB776" w:rsidR="00C04D27" w:rsidRPr="003B77AD" w:rsidRDefault="00C04D27" w:rsidP="00C04D27">
            <w:pPr>
              <w:pStyle w:val="NormalArial"/>
            </w:pPr>
            <w:r w:rsidRPr="003B77AD">
              <w:t xml:space="preserve">• Regional Transmission Planning department (1 FTE) </w:t>
            </w:r>
          </w:p>
          <w:p w14:paraId="431657C1" w14:textId="77777777" w:rsidR="00C04D27" w:rsidRPr="003B77AD" w:rsidRDefault="00C04D27" w:rsidP="00C04D27">
            <w:pPr>
              <w:pStyle w:val="NormalArial"/>
            </w:pPr>
          </w:p>
          <w:p w14:paraId="643B9B94" w14:textId="77777777" w:rsidR="007E3D43" w:rsidRPr="003B77AD" w:rsidRDefault="007E3D43" w:rsidP="000B2333">
            <w:pPr>
              <w:pStyle w:val="NormalArial"/>
            </w:pPr>
          </w:p>
          <w:p w14:paraId="5DCC794C" w14:textId="22343DB7" w:rsidR="007E3D43" w:rsidRPr="003B77AD" w:rsidRDefault="007E3D43" w:rsidP="007E3D43">
            <w:pPr>
              <w:pStyle w:val="NormalArial"/>
            </w:pPr>
            <w:r w:rsidRPr="003B77AD">
              <w:t xml:space="preserve">• Dynamic Studies - </w:t>
            </w:r>
            <w:r w:rsidRPr="00793F89">
              <w:t xml:space="preserve">department requires </w:t>
            </w:r>
            <w:r w:rsidR="00C04D27" w:rsidRPr="00793F89">
              <w:t>two</w:t>
            </w:r>
            <w:r w:rsidRPr="00793F89">
              <w:t xml:space="preserve"> additional FTE</w:t>
            </w:r>
            <w:r w:rsidR="00C04D27" w:rsidRPr="00793F89">
              <w:t>s</w:t>
            </w:r>
            <w:r w:rsidRPr="00793F89">
              <w:t xml:space="preserve"> to </w:t>
            </w:r>
            <w:r w:rsidRPr="008726B3">
              <w:t>support</w:t>
            </w:r>
            <w:r w:rsidR="00C04D27" w:rsidRPr="00793F89">
              <w:t xml:space="preserve"> the </w:t>
            </w:r>
            <w:r w:rsidR="004760B8" w:rsidRPr="00A83620">
              <w:t xml:space="preserve">following work: </w:t>
            </w:r>
          </w:p>
          <w:p w14:paraId="54232086" w14:textId="77777777" w:rsidR="007E3D43" w:rsidRPr="003B77AD" w:rsidRDefault="007E3D43" w:rsidP="000B2333">
            <w:pPr>
              <w:pStyle w:val="NormalArial"/>
            </w:pPr>
          </w:p>
          <w:p w14:paraId="7876B3F6" w14:textId="655635E1" w:rsidR="007E3D43" w:rsidRPr="003B77AD" w:rsidRDefault="00F814CC" w:rsidP="000B2333">
            <w:pPr>
              <w:pStyle w:val="NormalArial"/>
            </w:pPr>
            <w:r w:rsidRPr="003B77AD">
              <w:t xml:space="preserve">  * 3,713 hours</w:t>
            </w:r>
            <w:r>
              <w:t xml:space="preserve"> for </w:t>
            </w:r>
            <w:r w:rsidRPr="00A83620">
              <w:t xml:space="preserve">conducting dynamic stability studies annually to identify contingencies and develop corrective action plans based on the load loss criteria. Furthermore, </w:t>
            </w:r>
            <w:r w:rsidR="00EC7185">
              <w:t>t</w:t>
            </w:r>
            <w:r w:rsidRPr="00A83620">
              <w:t xml:space="preserve">hese FTEs will support and evaluate </w:t>
            </w:r>
            <w:r w:rsidRPr="00506D71">
              <w:t>Regional Planning Group (</w:t>
            </w:r>
            <w:r w:rsidRPr="00A83620">
              <w:t>RPG) project submissions, facilitate internal and external communications, enhance analytical tools, and provide support for both generation and load interconnection studies</w:t>
            </w:r>
            <w:r w:rsidRPr="00506D71">
              <w:t>.</w:t>
            </w:r>
          </w:p>
          <w:p w14:paraId="2633F48D" w14:textId="77777777" w:rsidR="007E3D43" w:rsidRPr="003B77AD" w:rsidRDefault="007E3D43" w:rsidP="000B2333">
            <w:pPr>
              <w:pStyle w:val="NormalArial"/>
            </w:pPr>
          </w:p>
          <w:p w14:paraId="12D1ED21" w14:textId="5AF6404A" w:rsidR="007E3D43" w:rsidRPr="003B77AD" w:rsidRDefault="007E3D43" w:rsidP="007E3D43">
            <w:pPr>
              <w:pStyle w:val="NormalArial"/>
            </w:pPr>
            <w:r w:rsidRPr="003B77AD">
              <w:t xml:space="preserve">• Regional Planning - department requires </w:t>
            </w:r>
            <w:r w:rsidR="00C04D27" w:rsidRPr="003B77AD">
              <w:t>two</w:t>
            </w:r>
            <w:r w:rsidRPr="003B77AD">
              <w:t xml:space="preserve"> additional FTE</w:t>
            </w:r>
            <w:r w:rsidR="00C04D27" w:rsidRPr="003B77AD">
              <w:t>s</w:t>
            </w:r>
            <w:r w:rsidRPr="003B77AD">
              <w:t xml:space="preserve"> to support the</w:t>
            </w:r>
            <w:r w:rsidR="00C04D27" w:rsidRPr="003B77AD">
              <w:t xml:space="preserve"> expected increase in RPG project submissions</w:t>
            </w:r>
            <w:r w:rsidRPr="003B77AD">
              <w:t>:</w:t>
            </w:r>
          </w:p>
          <w:p w14:paraId="717E3C08" w14:textId="77777777" w:rsidR="007E3D43" w:rsidRPr="003B77AD" w:rsidRDefault="007E3D43" w:rsidP="000B2333">
            <w:pPr>
              <w:pStyle w:val="NormalArial"/>
            </w:pPr>
          </w:p>
          <w:p w14:paraId="1B1FF02B" w14:textId="60A5C704" w:rsidR="007E3D43" w:rsidRPr="003B77AD" w:rsidRDefault="007E3D43" w:rsidP="007E3D43">
            <w:pPr>
              <w:pStyle w:val="NormalArial"/>
            </w:pPr>
            <w:r w:rsidRPr="003B77AD">
              <w:lastRenderedPageBreak/>
              <w:t xml:space="preserve">  * </w:t>
            </w:r>
            <w:r w:rsidR="00C04D27" w:rsidRPr="003B77AD">
              <w:t>3,336</w:t>
            </w:r>
            <w:r w:rsidRPr="003B77AD">
              <w:t xml:space="preserve"> hours</w:t>
            </w:r>
            <w:r w:rsidR="00506D71">
              <w:t xml:space="preserve"> </w:t>
            </w:r>
            <w:r w:rsidR="00E14FBC">
              <w:t xml:space="preserve">for performing </w:t>
            </w:r>
            <w:r w:rsidR="00145631">
              <w:t xml:space="preserve">additional </w:t>
            </w:r>
            <w:r w:rsidR="00E14FBC">
              <w:t>Tier 1</w:t>
            </w:r>
            <w:r w:rsidR="006861FF">
              <w:t>,</w:t>
            </w:r>
            <w:r w:rsidR="00145631">
              <w:t xml:space="preserve"> Tier </w:t>
            </w:r>
            <w:r w:rsidR="001956B8">
              <w:t>2,</w:t>
            </w:r>
            <w:r w:rsidR="006861FF">
              <w:t xml:space="preserve"> and</w:t>
            </w:r>
            <w:r w:rsidR="00145631">
              <w:t xml:space="preserve"> Tier </w:t>
            </w:r>
            <w:r w:rsidR="00E14FBC">
              <w:t>3</w:t>
            </w:r>
            <w:r w:rsidR="00145631">
              <w:t xml:space="preserve"> </w:t>
            </w:r>
            <w:r w:rsidR="00E14FBC">
              <w:t xml:space="preserve">RPG project evaluations </w:t>
            </w:r>
            <w:r w:rsidR="00145631">
              <w:t>beyond current levels.</w:t>
            </w:r>
          </w:p>
          <w:p w14:paraId="39AE9FFB" w14:textId="77777777" w:rsidR="007E3D43" w:rsidRPr="003B77AD" w:rsidRDefault="007E3D43" w:rsidP="000B2333">
            <w:pPr>
              <w:pStyle w:val="NormalArial"/>
            </w:pPr>
          </w:p>
          <w:p w14:paraId="756D122A" w14:textId="567CF719" w:rsidR="003B77AD" w:rsidRPr="003B77AD" w:rsidRDefault="007E3D43" w:rsidP="003B77AD">
            <w:pPr>
              <w:pStyle w:val="NormalArial"/>
              <w:rPr>
                <w:highlight w:val="yellow"/>
              </w:rPr>
            </w:pPr>
            <w:r w:rsidRPr="003B77AD">
              <w:t xml:space="preserve">• Regional Transmission Planning - department requires </w:t>
            </w:r>
            <w:r w:rsidR="003B77AD" w:rsidRPr="003B77AD">
              <w:t>one</w:t>
            </w:r>
            <w:r w:rsidRPr="003B77AD">
              <w:t xml:space="preserve"> additional FTE to support</w:t>
            </w:r>
            <w:r w:rsidR="003B77AD" w:rsidRPr="003B77AD">
              <w:t xml:space="preserve"> </w:t>
            </w:r>
            <w:r w:rsidR="006463B9">
              <w:t>the following work:</w:t>
            </w:r>
          </w:p>
          <w:p w14:paraId="6C6E9042" w14:textId="77777777" w:rsidR="007E3D43" w:rsidRPr="003B77AD" w:rsidRDefault="007E3D43" w:rsidP="000B2333">
            <w:pPr>
              <w:pStyle w:val="NormalArial"/>
            </w:pPr>
          </w:p>
          <w:p w14:paraId="37EA1011" w14:textId="1BF774AE" w:rsidR="00F814CC" w:rsidRPr="003B77AD" w:rsidRDefault="00F814CC" w:rsidP="00F814CC">
            <w:pPr>
              <w:pStyle w:val="NormalArial"/>
            </w:pPr>
            <w:r w:rsidRPr="003B77AD">
              <w:t xml:space="preserve">  </w:t>
            </w:r>
            <w:r w:rsidR="002065F5" w:rsidRPr="003B77AD">
              <w:t xml:space="preserve">* </w:t>
            </w:r>
            <w:r w:rsidR="002065F5">
              <w:t>1,992</w:t>
            </w:r>
            <w:r w:rsidR="002065F5" w:rsidRPr="003B77AD">
              <w:t xml:space="preserve"> hours</w:t>
            </w:r>
            <w:r w:rsidR="002065F5">
              <w:t xml:space="preserve"> to </w:t>
            </w:r>
            <w:r w:rsidR="002065F5" w:rsidRPr="006D07A9">
              <w:t xml:space="preserve">support </w:t>
            </w:r>
            <w:r w:rsidR="002065F5">
              <w:t xml:space="preserve">the </w:t>
            </w:r>
            <w:r w:rsidR="002065F5" w:rsidRPr="006D07A9">
              <w:t>develop</w:t>
            </w:r>
            <w:r w:rsidR="002065F5">
              <w:t xml:space="preserve">ment of the </w:t>
            </w:r>
            <w:r w:rsidR="006223AB">
              <w:t>c</w:t>
            </w:r>
            <w:r w:rsidR="002065F5" w:rsidRPr="006D07A9">
              <w:t xml:space="preserve">orrective </w:t>
            </w:r>
            <w:r w:rsidR="006223AB">
              <w:t>a</w:t>
            </w:r>
            <w:r w:rsidR="002065F5" w:rsidRPr="006D07A9">
              <w:t xml:space="preserve">ction </w:t>
            </w:r>
            <w:r w:rsidR="006223AB">
              <w:t>p</w:t>
            </w:r>
            <w:r w:rsidR="002065F5" w:rsidRPr="006D07A9">
              <w:t xml:space="preserve">lans </w:t>
            </w:r>
            <w:r w:rsidR="002065F5">
              <w:t xml:space="preserve">based on the </w:t>
            </w:r>
            <w:r w:rsidR="006223AB">
              <w:t>L</w:t>
            </w:r>
            <w:r w:rsidR="002065F5">
              <w:t>oad loss criteria</w:t>
            </w:r>
            <w:r w:rsidR="002065F5" w:rsidRPr="006463B9">
              <w:t>.</w:t>
            </w:r>
          </w:p>
          <w:p w14:paraId="42DFCB2D" w14:textId="37A2B72E" w:rsidR="007E3D43" w:rsidRPr="00FE71C0" w:rsidRDefault="007E3D43" w:rsidP="000B2333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lastRenderedPageBreak/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82EF" w14:textId="77777777" w:rsidR="00FD6A96" w:rsidRDefault="00FD6A96">
      <w:r>
        <w:separator/>
      </w:r>
    </w:p>
  </w:endnote>
  <w:endnote w:type="continuationSeparator" w:id="0">
    <w:p w14:paraId="1ADB5D9F" w14:textId="77777777" w:rsidR="00FD6A96" w:rsidRDefault="00FD6A96">
      <w:r>
        <w:continuationSeparator/>
      </w:r>
    </w:p>
  </w:endnote>
  <w:endnote w:type="continuationNotice" w:id="1">
    <w:p w14:paraId="5312E5C2" w14:textId="77777777" w:rsidR="00FD6A96" w:rsidRDefault="00FD6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DA72" w14:textId="59CBE5B1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C2698C">
      <w:rPr>
        <w:rFonts w:ascii="Arial" w:hAnsi="Arial"/>
        <w:noProof/>
        <w:sz w:val="18"/>
      </w:rPr>
      <w:t>122PGRR-02 Impact Analysis 111124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D902" w14:textId="77777777" w:rsidR="00FD6A96" w:rsidRDefault="00FD6A96">
      <w:r>
        <w:separator/>
      </w:r>
    </w:p>
  </w:footnote>
  <w:footnote w:type="continuationSeparator" w:id="0">
    <w:p w14:paraId="0026ACDE" w14:textId="77777777" w:rsidR="00FD6A96" w:rsidRDefault="00FD6A96">
      <w:r>
        <w:continuationSeparator/>
      </w:r>
    </w:p>
  </w:footnote>
  <w:footnote w:type="continuationNotice" w:id="1">
    <w:p w14:paraId="4CAE8425" w14:textId="77777777" w:rsidR="00FD6A96" w:rsidRDefault="00FD6A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96B2C"/>
    <w:rsid w:val="000A2646"/>
    <w:rsid w:val="000A3DB5"/>
    <w:rsid w:val="000B0B1C"/>
    <w:rsid w:val="000B2333"/>
    <w:rsid w:val="000B3B55"/>
    <w:rsid w:val="000D3402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5631"/>
    <w:rsid w:val="00147406"/>
    <w:rsid w:val="001503FA"/>
    <w:rsid w:val="001542F8"/>
    <w:rsid w:val="00155C21"/>
    <w:rsid w:val="001616CA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956B8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0823"/>
    <w:rsid w:val="001F4A33"/>
    <w:rsid w:val="00200C73"/>
    <w:rsid w:val="0020134E"/>
    <w:rsid w:val="0020272B"/>
    <w:rsid w:val="002065F5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67B6C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1CAE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B4B9A"/>
    <w:rsid w:val="003B77AD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3F95"/>
    <w:rsid w:val="004760B8"/>
    <w:rsid w:val="0047741B"/>
    <w:rsid w:val="00483998"/>
    <w:rsid w:val="004938B8"/>
    <w:rsid w:val="004B2AA2"/>
    <w:rsid w:val="004B3901"/>
    <w:rsid w:val="004C389D"/>
    <w:rsid w:val="004C47CB"/>
    <w:rsid w:val="004D1EAE"/>
    <w:rsid w:val="004D252E"/>
    <w:rsid w:val="004E7041"/>
    <w:rsid w:val="005059AD"/>
    <w:rsid w:val="00506D71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16EBC"/>
    <w:rsid w:val="006223AB"/>
    <w:rsid w:val="00623EB4"/>
    <w:rsid w:val="00625F0A"/>
    <w:rsid w:val="006302C9"/>
    <w:rsid w:val="00644499"/>
    <w:rsid w:val="006463B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050"/>
    <w:rsid w:val="00677B73"/>
    <w:rsid w:val="00680DA7"/>
    <w:rsid w:val="00683B65"/>
    <w:rsid w:val="00683FB5"/>
    <w:rsid w:val="006861FF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172E8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61105"/>
    <w:rsid w:val="00771453"/>
    <w:rsid w:val="00771D27"/>
    <w:rsid w:val="0077547B"/>
    <w:rsid w:val="00780AB9"/>
    <w:rsid w:val="00782043"/>
    <w:rsid w:val="00791CD8"/>
    <w:rsid w:val="00793F89"/>
    <w:rsid w:val="007A427B"/>
    <w:rsid w:val="007B1349"/>
    <w:rsid w:val="007B2C06"/>
    <w:rsid w:val="007C5E7B"/>
    <w:rsid w:val="007D3E51"/>
    <w:rsid w:val="007E3D43"/>
    <w:rsid w:val="007E5F62"/>
    <w:rsid w:val="007E77E9"/>
    <w:rsid w:val="007F094A"/>
    <w:rsid w:val="007F3E6D"/>
    <w:rsid w:val="007F68BE"/>
    <w:rsid w:val="008013FA"/>
    <w:rsid w:val="0080426E"/>
    <w:rsid w:val="00810901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319C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3620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12AB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67F80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04D27"/>
    <w:rsid w:val="00C11A57"/>
    <w:rsid w:val="00C2321E"/>
    <w:rsid w:val="00C25A1F"/>
    <w:rsid w:val="00C261D9"/>
    <w:rsid w:val="00C2698C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070"/>
    <w:rsid w:val="00DD1282"/>
    <w:rsid w:val="00DD5390"/>
    <w:rsid w:val="00DE239D"/>
    <w:rsid w:val="00DE35A9"/>
    <w:rsid w:val="00E014F4"/>
    <w:rsid w:val="00E13CDD"/>
    <w:rsid w:val="00E14FBC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A6DD9"/>
    <w:rsid w:val="00EB322E"/>
    <w:rsid w:val="00EB5291"/>
    <w:rsid w:val="00EC7185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14CC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6A96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2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11XX24</cp:lastModifiedBy>
  <cp:revision>3</cp:revision>
  <cp:lastPrinted>2007-01-12T13:31:00Z</cp:lastPrinted>
  <dcterms:created xsi:type="dcterms:W3CDTF">2024-09-03T13:29:00Z</dcterms:created>
  <dcterms:modified xsi:type="dcterms:W3CDTF">2024-11-11T22:47:00Z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