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9AD7B33" w14:textId="77777777" w:rsidTr="6B28D5D3">
        <w:tc>
          <w:tcPr>
            <w:tcW w:w="1620" w:type="dxa"/>
            <w:tcBorders>
              <w:bottom w:val="single" w:sz="4" w:space="0" w:color="auto"/>
            </w:tcBorders>
            <w:shd w:val="clear" w:color="auto" w:fill="FFFFFF" w:themeFill="background1"/>
            <w:vAlign w:val="center"/>
          </w:tcPr>
          <w:p w14:paraId="0768816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4F38C7C6" w14:textId="5803986F" w:rsidR="00152993" w:rsidRDefault="009045CD">
            <w:pPr>
              <w:pStyle w:val="Header"/>
            </w:pPr>
            <w:hyperlink r:id="rId8" w:history="1">
              <w:r w:rsidR="00C91617" w:rsidRPr="00C91617">
                <w:rPr>
                  <w:rStyle w:val="Hyperlink"/>
                </w:rPr>
                <w:t>1202</w:t>
              </w:r>
            </w:hyperlink>
          </w:p>
        </w:tc>
        <w:tc>
          <w:tcPr>
            <w:tcW w:w="900" w:type="dxa"/>
            <w:tcBorders>
              <w:bottom w:val="single" w:sz="4" w:space="0" w:color="auto"/>
            </w:tcBorders>
            <w:shd w:val="clear" w:color="auto" w:fill="FFFFFF" w:themeFill="background1"/>
            <w:vAlign w:val="center"/>
          </w:tcPr>
          <w:p w14:paraId="5054C6BA" w14:textId="77777777" w:rsidR="00152993" w:rsidRDefault="00EE6681">
            <w:pPr>
              <w:pStyle w:val="Header"/>
            </w:pPr>
            <w:r>
              <w:t>N</w:t>
            </w:r>
            <w:r w:rsidR="00152993">
              <w:t>PRR Title</w:t>
            </w:r>
          </w:p>
        </w:tc>
        <w:tc>
          <w:tcPr>
            <w:tcW w:w="6660" w:type="dxa"/>
            <w:tcBorders>
              <w:bottom w:val="single" w:sz="4" w:space="0" w:color="auto"/>
            </w:tcBorders>
            <w:vAlign w:val="center"/>
          </w:tcPr>
          <w:p w14:paraId="5F58B891" w14:textId="029D0FC5" w:rsidR="00152993" w:rsidRDefault="00C91617">
            <w:pPr>
              <w:pStyle w:val="Header"/>
            </w:pPr>
            <w:r w:rsidRPr="00C91617">
              <w:t>Refundable Deposits for Large Load Interconnection Studies</w:t>
            </w:r>
          </w:p>
        </w:tc>
      </w:tr>
      <w:tr w:rsidR="00152993" w14:paraId="0A90E1ED" w14:textId="77777777" w:rsidTr="6B28D5D3">
        <w:trPr>
          <w:trHeight w:val="413"/>
        </w:trPr>
        <w:tc>
          <w:tcPr>
            <w:tcW w:w="2880" w:type="dxa"/>
            <w:gridSpan w:val="2"/>
            <w:tcBorders>
              <w:top w:val="nil"/>
              <w:left w:val="nil"/>
              <w:bottom w:val="single" w:sz="4" w:space="0" w:color="auto"/>
              <w:right w:val="nil"/>
            </w:tcBorders>
            <w:vAlign w:val="center"/>
          </w:tcPr>
          <w:p w14:paraId="3F5C3C4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0814715" w14:textId="77777777" w:rsidR="00152993" w:rsidRDefault="00152993">
            <w:pPr>
              <w:pStyle w:val="NormalArial"/>
            </w:pPr>
          </w:p>
        </w:tc>
      </w:tr>
      <w:tr w:rsidR="00152993" w14:paraId="3264FF90" w14:textId="77777777" w:rsidTr="6B28D5D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337E6C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9D94DF" w14:textId="39FD0918" w:rsidR="00152993" w:rsidRDefault="00E73A9E">
            <w:pPr>
              <w:pStyle w:val="NormalArial"/>
            </w:pPr>
            <w:r>
              <w:t>November 1, 2024</w:t>
            </w:r>
          </w:p>
        </w:tc>
      </w:tr>
      <w:tr w:rsidR="00152993" w14:paraId="2BC7DEB7" w14:textId="77777777" w:rsidTr="6B28D5D3">
        <w:trPr>
          <w:trHeight w:val="467"/>
        </w:trPr>
        <w:tc>
          <w:tcPr>
            <w:tcW w:w="2880" w:type="dxa"/>
            <w:gridSpan w:val="2"/>
            <w:tcBorders>
              <w:top w:val="single" w:sz="4" w:space="0" w:color="auto"/>
              <w:left w:val="nil"/>
              <w:bottom w:val="nil"/>
              <w:right w:val="nil"/>
            </w:tcBorders>
            <w:shd w:val="clear" w:color="auto" w:fill="FFFFFF" w:themeFill="background1"/>
            <w:vAlign w:val="center"/>
          </w:tcPr>
          <w:p w14:paraId="67ACF4E7" w14:textId="77777777" w:rsidR="00152993" w:rsidRDefault="00152993">
            <w:pPr>
              <w:pStyle w:val="NormalArial"/>
            </w:pPr>
          </w:p>
        </w:tc>
        <w:tc>
          <w:tcPr>
            <w:tcW w:w="7560" w:type="dxa"/>
            <w:gridSpan w:val="2"/>
            <w:tcBorders>
              <w:top w:val="nil"/>
              <w:left w:val="nil"/>
              <w:bottom w:val="nil"/>
              <w:right w:val="nil"/>
            </w:tcBorders>
            <w:vAlign w:val="center"/>
          </w:tcPr>
          <w:p w14:paraId="713C2798" w14:textId="77777777" w:rsidR="00152993" w:rsidRDefault="00152993">
            <w:pPr>
              <w:pStyle w:val="NormalArial"/>
            </w:pPr>
          </w:p>
        </w:tc>
      </w:tr>
      <w:tr w:rsidR="00152993" w14:paraId="0408D66E" w14:textId="77777777" w:rsidTr="6B28D5D3">
        <w:trPr>
          <w:trHeight w:val="440"/>
        </w:trPr>
        <w:tc>
          <w:tcPr>
            <w:tcW w:w="10440" w:type="dxa"/>
            <w:gridSpan w:val="4"/>
            <w:tcBorders>
              <w:top w:val="single" w:sz="4" w:space="0" w:color="auto"/>
            </w:tcBorders>
            <w:shd w:val="clear" w:color="auto" w:fill="FFFFFF" w:themeFill="background1"/>
            <w:vAlign w:val="center"/>
          </w:tcPr>
          <w:p w14:paraId="2DB7ECEC" w14:textId="77777777" w:rsidR="00152993" w:rsidRDefault="00152993">
            <w:pPr>
              <w:pStyle w:val="Header"/>
              <w:jc w:val="center"/>
            </w:pPr>
            <w:r>
              <w:t>Submitter’s Information</w:t>
            </w:r>
          </w:p>
        </w:tc>
      </w:tr>
      <w:tr w:rsidR="00152993" w14:paraId="0BD7F699" w14:textId="77777777" w:rsidTr="6B28D5D3">
        <w:trPr>
          <w:trHeight w:val="350"/>
        </w:trPr>
        <w:tc>
          <w:tcPr>
            <w:tcW w:w="2880" w:type="dxa"/>
            <w:gridSpan w:val="2"/>
            <w:shd w:val="clear" w:color="auto" w:fill="FFFFFF" w:themeFill="background1"/>
            <w:vAlign w:val="center"/>
          </w:tcPr>
          <w:p w14:paraId="6216F261" w14:textId="77777777" w:rsidR="00152993" w:rsidRPr="009C75AA" w:rsidRDefault="00152993" w:rsidP="00EC55B3">
            <w:pPr>
              <w:pStyle w:val="Header"/>
            </w:pPr>
            <w:r w:rsidRPr="009C75AA">
              <w:t>Name</w:t>
            </w:r>
          </w:p>
        </w:tc>
        <w:tc>
          <w:tcPr>
            <w:tcW w:w="7560" w:type="dxa"/>
            <w:gridSpan w:val="2"/>
            <w:vAlign w:val="center"/>
          </w:tcPr>
          <w:p w14:paraId="255D6AD3" w14:textId="69E32F5A" w:rsidR="00152993" w:rsidRPr="009C75AA" w:rsidRDefault="009F6565">
            <w:pPr>
              <w:pStyle w:val="NormalArial"/>
            </w:pPr>
            <w:r w:rsidRPr="009C75AA">
              <w:t>Katie Coleman, John Russ Hubbard</w:t>
            </w:r>
          </w:p>
        </w:tc>
      </w:tr>
      <w:tr w:rsidR="00152993" w14:paraId="7F714597" w14:textId="77777777" w:rsidTr="6B28D5D3">
        <w:trPr>
          <w:trHeight w:val="350"/>
        </w:trPr>
        <w:tc>
          <w:tcPr>
            <w:tcW w:w="2880" w:type="dxa"/>
            <w:gridSpan w:val="2"/>
            <w:shd w:val="clear" w:color="auto" w:fill="FFFFFF" w:themeFill="background1"/>
            <w:vAlign w:val="center"/>
          </w:tcPr>
          <w:p w14:paraId="771C0C2B" w14:textId="77777777" w:rsidR="00152993" w:rsidRPr="009C75AA" w:rsidRDefault="00152993" w:rsidP="00EC55B3">
            <w:pPr>
              <w:pStyle w:val="Header"/>
            </w:pPr>
            <w:r w:rsidRPr="009C75AA">
              <w:t>E-mail Address</w:t>
            </w:r>
          </w:p>
        </w:tc>
        <w:tc>
          <w:tcPr>
            <w:tcW w:w="7560" w:type="dxa"/>
            <w:gridSpan w:val="2"/>
            <w:vAlign w:val="center"/>
          </w:tcPr>
          <w:p w14:paraId="0A0BBD7E" w14:textId="6ED46231" w:rsidR="005F0C0E" w:rsidRPr="009C75AA" w:rsidRDefault="009045CD">
            <w:pPr>
              <w:pStyle w:val="NormalArial"/>
            </w:pPr>
            <w:hyperlink r:id="rId9" w:history="1">
              <w:r w:rsidR="009F6565" w:rsidRPr="009C75AA">
                <w:rPr>
                  <w:rStyle w:val="Hyperlink"/>
                </w:rPr>
                <w:t>kcoleman@omm.com</w:t>
              </w:r>
            </w:hyperlink>
            <w:r w:rsidR="009F6565" w:rsidRPr="009C75AA">
              <w:t xml:space="preserve">, </w:t>
            </w:r>
            <w:hyperlink r:id="rId10" w:history="1">
              <w:r w:rsidR="009F6565" w:rsidRPr="009C75AA">
                <w:rPr>
                  <w:rStyle w:val="Hyperlink"/>
                </w:rPr>
                <w:t>jhubbard@omm.com</w:t>
              </w:r>
            </w:hyperlink>
          </w:p>
        </w:tc>
      </w:tr>
      <w:tr w:rsidR="00152993" w14:paraId="5DFC26B8" w14:textId="77777777" w:rsidTr="6B28D5D3">
        <w:trPr>
          <w:trHeight w:val="350"/>
        </w:trPr>
        <w:tc>
          <w:tcPr>
            <w:tcW w:w="2880" w:type="dxa"/>
            <w:gridSpan w:val="2"/>
            <w:shd w:val="clear" w:color="auto" w:fill="FFFFFF" w:themeFill="background1"/>
            <w:vAlign w:val="center"/>
          </w:tcPr>
          <w:p w14:paraId="3787A240" w14:textId="77777777" w:rsidR="00152993" w:rsidRPr="009C75AA" w:rsidRDefault="00152993" w:rsidP="00EC55B3">
            <w:pPr>
              <w:pStyle w:val="Header"/>
            </w:pPr>
            <w:r w:rsidRPr="009C75AA">
              <w:t>Company</w:t>
            </w:r>
          </w:p>
        </w:tc>
        <w:tc>
          <w:tcPr>
            <w:tcW w:w="7560" w:type="dxa"/>
            <w:gridSpan w:val="2"/>
            <w:vAlign w:val="center"/>
          </w:tcPr>
          <w:p w14:paraId="69683668" w14:textId="4C372EA3" w:rsidR="009F6565" w:rsidRPr="009C75AA" w:rsidRDefault="009F6565">
            <w:pPr>
              <w:pStyle w:val="NormalArial"/>
            </w:pPr>
            <w:r w:rsidRPr="009C75AA">
              <w:t>Texas Industrial Energy Consumers (TIEC)</w:t>
            </w:r>
          </w:p>
        </w:tc>
      </w:tr>
      <w:tr w:rsidR="00152993" w14:paraId="7C440083" w14:textId="77777777" w:rsidTr="6B28D5D3">
        <w:trPr>
          <w:trHeight w:val="350"/>
        </w:trPr>
        <w:tc>
          <w:tcPr>
            <w:tcW w:w="2880" w:type="dxa"/>
            <w:gridSpan w:val="2"/>
            <w:shd w:val="clear" w:color="auto" w:fill="FFFFFF" w:themeFill="background1"/>
            <w:vAlign w:val="center"/>
          </w:tcPr>
          <w:p w14:paraId="5C703B1E" w14:textId="77777777" w:rsidR="00152993" w:rsidRPr="009C75AA" w:rsidRDefault="00075A94" w:rsidP="00EC55B3">
            <w:pPr>
              <w:pStyle w:val="Header"/>
            </w:pPr>
            <w:r w:rsidRPr="009C75AA">
              <w:t xml:space="preserve">Cell </w:t>
            </w:r>
            <w:r w:rsidR="00152993" w:rsidRPr="009C75AA">
              <w:t>Number</w:t>
            </w:r>
          </w:p>
        </w:tc>
        <w:tc>
          <w:tcPr>
            <w:tcW w:w="7560" w:type="dxa"/>
            <w:gridSpan w:val="2"/>
            <w:vAlign w:val="center"/>
          </w:tcPr>
          <w:p w14:paraId="5898E2DC" w14:textId="5591E6E5" w:rsidR="00152993" w:rsidRPr="009C75AA" w:rsidRDefault="009F6565">
            <w:pPr>
              <w:pStyle w:val="NormalArial"/>
            </w:pPr>
            <w:r w:rsidRPr="009C75AA">
              <w:t>512-773-0394 (Katie Coleman), 512-964-0415 (John Russ Hubbard)</w:t>
            </w:r>
          </w:p>
        </w:tc>
      </w:tr>
      <w:tr w:rsidR="00075A94" w14:paraId="5AFFD672" w14:textId="77777777" w:rsidTr="6B28D5D3">
        <w:trPr>
          <w:trHeight w:val="350"/>
        </w:trPr>
        <w:tc>
          <w:tcPr>
            <w:tcW w:w="2880" w:type="dxa"/>
            <w:gridSpan w:val="2"/>
            <w:tcBorders>
              <w:bottom w:val="single" w:sz="4" w:space="0" w:color="auto"/>
            </w:tcBorders>
            <w:shd w:val="clear" w:color="auto" w:fill="FFFFFF" w:themeFill="background1"/>
            <w:vAlign w:val="center"/>
          </w:tcPr>
          <w:p w14:paraId="57D4A5B0" w14:textId="77777777" w:rsidR="00075A94" w:rsidRPr="009C75AA" w:rsidDel="00075A94" w:rsidRDefault="00075A94" w:rsidP="00EC55B3">
            <w:pPr>
              <w:pStyle w:val="Header"/>
            </w:pPr>
            <w:r w:rsidRPr="009C75AA">
              <w:t>Market Segment</w:t>
            </w:r>
          </w:p>
        </w:tc>
        <w:tc>
          <w:tcPr>
            <w:tcW w:w="7560" w:type="dxa"/>
            <w:gridSpan w:val="2"/>
            <w:tcBorders>
              <w:bottom w:val="single" w:sz="4" w:space="0" w:color="auto"/>
            </w:tcBorders>
            <w:vAlign w:val="center"/>
          </w:tcPr>
          <w:p w14:paraId="13E533C5" w14:textId="20B42367" w:rsidR="00075A94" w:rsidRPr="009C75AA" w:rsidRDefault="00DB4F65">
            <w:pPr>
              <w:pStyle w:val="NormalArial"/>
            </w:pPr>
            <w:r w:rsidRPr="009C75AA">
              <w:t>Industrial Consumer</w:t>
            </w:r>
          </w:p>
        </w:tc>
      </w:tr>
    </w:tbl>
    <w:p w14:paraId="64DD21D1" w14:textId="1A2050AD"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15E1" w14:paraId="2FAE3560" w14:textId="77777777" w:rsidTr="001E7FDC">
        <w:trPr>
          <w:trHeight w:val="350"/>
        </w:trPr>
        <w:tc>
          <w:tcPr>
            <w:tcW w:w="10440" w:type="dxa"/>
            <w:tcBorders>
              <w:bottom w:val="single" w:sz="4" w:space="0" w:color="auto"/>
            </w:tcBorders>
            <w:shd w:val="clear" w:color="auto" w:fill="FFFFFF"/>
            <w:vAlign w:val="center"/>
          </w:tcPr>
          <w:p w14:paraId="253CFC77" w14:textId="23E9FFB4" w:rsidR="00D515E1" w:rsidRDefault="00D515E1" w:rsidP="001E7FDC">
            <w:pPr>
              <w:pStyle w:val="Header"/>
              <w:jc w:val="center"/>
            </w:pPr>
            <w:r>
              <w:t>Comments</w:t>
            </w:r>
          </w:p>
        </w:tc>
      </w:tr>
    </w:tbl>
    <w:p w14:paraId="195C3167" w14:textId="60EB6881" w:rsidR="008F7B98" w:rsidRDefault="00225E9E" w:rsidP="00AB184B">
      <w:pPr>
        <w:pStyle w:val="NormalArial"/>
        <w:spacing w:before="120" w:after="120"/>
        <w:jc w:val="both"/>
      </w:pPr>
      <w:r>
        <w:t xml:space="preserve">Although TIEC is sympathetic with the sentiment that the interconnection queue for large loads is unmanageable because of the influx of speculative interconnection requests, </w:t>
      </w:r>
      <w:r w:rsidR="009F6565">
        <w:t xml:space="preserve">TIEC </w:t>
      </w:r>
      <w:r>
        <w:t>has</w:t>
      </w:r>
      <w:r w:rsidR="009F6565">
        <w:t xml:space="preserve"> concern</w:t>
      </w:r>
      <w:r>
        <w:t>s</w:t>
      </w:r>
      <w:r w:rsidR="009F6565">
        <w:t xml:space="preserve"> with </w:t>
      </w:r>
      <w:r w:rsidR="008321A4">
        <w:t xml:space="preserve">the suggestions by Longhorn Power and Texas Competitive Power Advocates (TCPA).  </w:t>
      </w:r>
      <w:r>
        <w:t xml:space="preserve">Specifically, </w:t>
      </w:r>
      <w:r w:rsidR="003332A3">
        <w:t xml:space="preserve">Longhorn Power’s proposal </w:t>
      </w:r>
      <w:r w:rsidR="009C4970">
        <w:t>is contrary to cost-causation principles</w:t>
      </w:r>
      <w:r w:rsidR="008321A4">
        <w:t xml:space="preserve">, and TCPA’s suggestion </w:t>
      </w:r>
      <w:r>
        <w:t xml:space="preserve">unfairly </w:t>
      </w:r>
      <w:r w:rsidR="008321A4">
        <w:t xml:space="preserve">prioritizes interconnections based on independent </w:t>
      </w:r>
      <w:r>
        <w:t>commercial</w:t>
      </w:r>
      <w:r w:rsidR="008321A4">
        <w:t xml:space="preserve"> arrangements</w:t>
      </w:r>
      <w:r w:rsidR="003332A3">
        <w:t xml:space="preserve">.  </w:t>
      </w:r>
    </w:p>
    <w:p w14:paraId="23CFFE20" w14:textId="70D7AA8D" w:rsidR="009C4970" w:rsidRDefault="009C4970" w:rsidP="00317EE4">
      <w:pPr>
        <w:pStyle w:val="NormalArial"/>
        <w:spacing w:before="120" w:after="120"/>
        <w:jc w:val="both"/>
      </w:pPr>
      <w:r>
        <w:t xml:space="preserve">Longhorn Power’s </w:t>
      </w:r>
      <w:r w:rsidR="00225E9E">
        <w:t>comments</w:t>
      </w:r>
      <w:r>
        <w:t xml:space="preserve"> create </w:t>
      </w:r>
      <w:r w:rsidR="00317EE4">
        <w:t>a one-time $25,000 fee for Large Loads and an ongoing $5,000 fee each quarter until energization.  Importantly, Longhorn Power’s proposed fees are arbitrary and unrelated to the costs ERCOT incurs to perform the interconnection-study work.</w:t>
      </w:r>
      <w:r>
        <w:t xml:space="preserve">  </w:t>
      </w:r>
      <w:r w:rsidR="00643763">
        <w:t xml:space="preserve">As ERCOT explained in its comments, the Large Load Interconnection Study (LLIS) fee in </w:t>
      </w:r>
      <w:r w:rsidR="009045CD">
        <w:t>Nodal Protocol Revision Request (</w:t>
      </w:r>
      <w:r w:rsidR="00643763">
        <w:t>NPRR</w:t>
      </w:r>
      <w:r w:rsidR="009045CD">
        <w:t xml:space="preserve">) </w:t>
      </w:r>
      <w:r w:rsidR="00643763">
        <w:t>1234</w:t>
      </w:r>
      <w:r w:rsidR="009045CD">
        <w:t xml:space="preserve">, </w:t>
      </w:r>
      <w:r w:rsidR="009045CD" w:rsidRPr="009045CD">
        <w:t>Interconnection Requirements for Large Loads and Modeling Standards for Loads 25 MW or Greater</w:t>
      </w:r>
      <w:r w:rsidR="009045CD">
        <w:t>,</w:t>
      </w:r>
      <w:r w:rsidR="00643763">
        <w:t xml:space="preserve"> of $14,000 was originally based on cost-causation data</w:t>
      </w:r>
      <w:r w:rsidR="00225E9E">
        <w:t>.</w:t>
      </w:r>
      <w:r w:rsidR="00225E9E">
        <w:rPr>
          <w:rStyle w:val="FootnoteReference"/>
        </w:rPr>
        <w:footnoteReference w:id="2"/>
      </w:r>
      <w:r w:rsidR="00225E9E">
        <w:t xml:space="preserve">  </w:t>
      </w:r>
      <w:r w:rsidR="00643763">
        <w:t xml:space="preserve">Longhorn Power has provided no evidence </w:t>
      </w:r>
      <w:r w:rsidR="00317EE4">
        <w:t>that either of its</w:t>
      </w:r>
      <w:r w:rsidR="00643763">
        <w:t xml:space="preserve"> </w:t>
      </w:r>
      <w:r w:rsidR="00317EE4">
        <w:t xml:space="preserve">fees </w:t>
      </w:r>
      <w:r w:rsidR="008E1B88">
        <w:t>are</w:t>
      </w:r>
      <w:r w:rsidR="00FA1348">
        <w:t xml:space="preserve"> correlated to </w:t>
      </w:r>
      <w:r w:rsidR="008F7B98">
        <w:t>the costs needed to serve Large</w:t>
      </w:r>
      <w:r w:rsidR="00FA1348">
        <w:t xml:space="preserve"> Loads</w:t>
      </w:r>
      <w:r w:rsidR="00225E9E">
        <w:t>, and the quarterly fee creates implementation issues for ERCOT.</w:t>
      </w:r>
      <w:r w:rsidR="00225E9E">
        <w:rPr>
          <w:rStyle w:val="FootnoteReference"/>
        </w:rPr>
        <w:footnoteReference w:id="3"/>
      </w:r>
      <w:r w:rsidR="00225E9E">
        <w:t xml:space="preserve">  </w:t>
      </w:r>
      <w:r w:rsidR="008E1B88">
        <w:t xml:space="preserve">Further, </w:t>
      </w:r>
      <w:r w:rsidR="00317EE4">
        <w:t>Longhorn Power’s presentation at PRS seem</w:t>
      </w:r>
      <w:r w:rsidR="00225E9E">
        <w:t>ed</w:t>
      </w:r>
      <w:r w:rsidR="00317EE4">
        <w:t xml:space="preserve"> to suggest that the fees would offset “grandma” and other consumers’ system costs.  </w:t>
      </w:r>
      <w:r w:rsidR="008321A4">
        <w:t xml:space="preserve">Without more information, Longhorn Power’s proposed fees </w:t>
      </w:r>
      <w:r w:rsidR="00F32335">
        <w:t>appear to arbitrarily shift costs onto industrial customers</w:t>
      </w:r>
      <w:r w:rsidR="00225E9E">
        <w:t xml:space="preserve"> in violation of cost-causation principles</w:t>
      </w:r>
      <w:r w:rsidR="00F32335">
        <w:t>.</w:t>
      </w:r>
      <w:r w:rsidR="00FB727B">
        <w:t xml:space="preserve">  To the extent that Longhorn Power’s proposal is designed to reduce speculative interconnection requests for planning purposes, TIEC shares this objective but notes that discussions on that issue are underway at the Legislature and at the Commission, and this NPRR is not the right vehicle for trying to address this broader policy issue.  Specifically, there have been ongoing discussions about requiring additional security earlier, and holding onto it longer, to try to deter this behavior.  TIEC submits that these are better avenues than this NPRR.    </w:t>
      </w:r>
    </w:p>
    <w:p w14:paraId="28472F1A" w14:textId="3788F3D9" w:rsidR="002E7DBC" w:rsidRDefault="00F32335" w:rsidP="00AB184B">
      <w:pPr>
        <w:pStyle w:val="NormalArial"/>
        <w:spacing w:before="120" w:after="120"/>
        <w:jc w:val="both"/>
      </w:pPr>
      <w:r>
        <w:lastRenderedPageBreak/>
        <w:t>In addition to supporting Longhorn Power’s increased fees, TCPA suggest</w:t>
      </w:r>
      <w:r w:rsidR="00225E9E">
        <w:t>s</w:t>
      </w:r>
      <w:r>
        <w:t xml:space="preserve"> prioritizing the interconnection of Large Loads that have a signed PPA, co-locate with a Generation Resource, or demonstrate an “enhanced intent to energize.”  </w:t>
      </w:r>
      <w:r w:rsidR="00B321CF">
        <w:t xml:space="preserve">Notably, TCPA’s suggestion would result in prioritizing customers based on their commercial arrangements, which may slow down the interconnection requests of other industrial or manufacturing facilities.  </w:t>
      </w:r>
      <w:r w:rsidR="00FB727B">
        <w:t>Regulated utilities are required to provide open, non-discriminatory access</w:t>
      </w:r>
      <w:r w:rsidR="008A3BC0">
        <w:t>,</w:t>
      </w:r>
      <w:r w:rsidR="00FB727B">
        <w:t xml:space="preserve"> and this type of proposal would discriminate based on judgment around whether and </w:t>
      </w:r>
      <w:r w:rsidR="002B3CD5">
        <w:t xml:space="preserve">how </w:t>
      </w:r>
      <w:r w:rsidR="00FB727B">
        <w:t xml:space="preserve">loads </w:t>
      </w:r>
      <w:r w:rsidR="00451171">
        <w:t>intend to</w:t>
      </w:r>
      <w:r w:rsidR="00FB727B">
        <w:t xml:space="preserve"> hedge their future </w:t>
      </w:r>
      <w:r w:rsidR="002B3CD5">
        <w:t xml:space="preserve">energy </w:t>
      </w:r>
      <w:r w:rsidR="00FB727B">
        <w:t xml:space="preserve">needs.  Again, TIEC shares TCPA’s objective to encourage efficient hedging by large loads, which supports new generation investment, but this NPRR is </w:t>
      </w:r>
      <w:r w:rsidR="00451171">
        <w:t xml:space="preserve">not </w:t>
      </w:r>
      <w:r w:rsidR="00FB727B">
        <w:t>the appropriate vehicle</w:t>
      </w:r>
      <w:r w:rsidR="002B3CD5">
        <w:t xml:space="preserve">.  The </w:t>
      </w:r>
      <w:r w:rsidR="00FB727B">
        <w:t xml:space="preserve">result of TCPA’s proposal would </w:t>
      </w:r>
      <w:r w:rsidR="002B3CD5">
        <w:t>discriminate based on judgments about a load’s commercial arrangements</w:t>
      </w:r>
      <w:r w:rsidR="00451171">
        <w:t xml:space="preserve"> and business model</w:t>
      </w:r>
      <w:r w:rsidR="002B3CD5">
        <w:t xml:space="preserve">, which is inappropriate.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1A575AC" w14:textId="77777777" w:rsidTr="00B5080A">
        <w:trPr>
          <w:trHeight w:val="350"/>
        </w:trPr>
        <w:tc>
          <w:tcPr>
            <w:tcW w:w="10440" w:type="dxa"/>
            <w:tcBorders>
              <w:bottom w:val="single" w:sz="4" w:space="0" w:color="auto"/>
            </w:tcBorders>
            <w:shd w:val="clear" w:color="auto" w:fill="FFFFFF"/>
            <w:vAlign w:val="center"/>
          </w:tcPr>
          <w:p w14:paraId="279531D5" w14:textId="77777777" w:rsidR="00BD7258" w:rsidRDefault="00BD7258" w:rsidP="00B5080A">
            <w:pPr>
              <w:pStyle w:val="Header"/>
              <w:jc w:val="center"/>
            </w:pPr>
            <w:r>
              <w:t>Revised Cover Page Language</w:t>
            </w:r>
          </w:p>
        </w:tc>
      </w:tr>
    </w:tbl>
    <w:p w14:paraId="0EC41A81" w14:textId="1925888F" w:rsidR="00E07B54" w:rsidRDefault="00833DB6" w:rsidP="00833DB6">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252F83F" w14:textId="77777777">
        <w:trPr>
          <w:trHeight w:val="350"/>
        </w:trPr>
        <w:tc>
          <w:tcPr>
            <w:tcW w:w="10440" w:type="dxa"/>
            <w:tcBorders>
              <w:bottom w:val="single" w:sz="4" w:space="0" w:color="auto"/>
            </w:tcBorders>
            <w:shd w:val="clear" w:color="auto" w:fill="FFFFFF"/>
            <w:vAlign w:val="center"/>
          </w:tcPr>
          <w:p w14:paraId="6501D4F0" w14:textId="77777777" w:rsidR="00152993" w:rsidRDefault="00152993">
            <w:pPr>
              <w:pStyle w:val="Header"/>
              <w:jc w:val="center"/>
            </w:pPr>
            <w:r>
              <w:t>Revised Proposed Protocol Language</w:t>
            </w:r>
          </w:p>
        </w:tc>
      </w:tr>
    </w:tbl>
    <w:p w14:paraId="68A362FB" w14:textId="1DD80EE2" w:rsidR="00152993" w:rsidRDefault="00833DB6" w:rsidP="00833DB6">
      <w:pPr>
        <w:pStyle w:val="NormalArial"/>
        <w:spacing w:before="120" w:after="120"/>
      </w:pPr>
      <w:r>
        <w:t>None</w:t>
      </w: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4B65" w14:textId="77777777" w:rsidR="00906B36" w:rsidRDefault="00906B36">
      <w:r>
        <w:separator/>
      </w:r>
    </w:p>
  </w:endnote>
  <w:endnote w:type="continuationSeparator" w:id="0">
    <w:p w14:paraId="4DE467F8" w14:textId="77777777" w:rsidR="00906B36" w:rsidRDefault="00906B36">
      <w:r>
        <w:continuationSeparator/>
      </w:r>
    </w:p>
  </w:endnote>
  <w:endnote w:type="continuationNotice" w:id="1">
    <w:p w14:paraId="0CD6D9D9" w14:textId="77777777" w:rsidR="00906B36" w:rsidRDefault="00906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FBE8" w14:textId="1F665CA0" w:rsidR="00EE6681" w:rsidRDefault="00AB184B" w:rsidP="0074209E">
    <w:pPr>
      <w:pStyle w:val="Footer"/>
      <w:tabs>
        <w:tab w:val="clear" w:pos="4320"/>
        <w:tab w:val="clear" w:pos="8640"/>
        <w:tab w:val="right" w:pos="9360"/>
      </w:tabs>
      <w:rPr>
        <w:rFonts w:ascii="Arial" w:hAnsi="Arial"/>
        <w:sz w:val="18"/>
      </w:rPr>
    </w:pPr>
    <w:r>
      <w:rPr>
        <w:rFonts w:ascii="Arial" w:hAnsi="Arial"/>
        <w:sz w:val="18"/>
      </w:rPr>
      <w:t>1202NPRR-</w:t>
    </w:r>
    <w:r w:rsidR="00064151">
      <w:rPr>
        <w:rFonts w:ascii="Arial" w:hAnsi="Arial"/>
        <w:sz w:val="18"/>
      </w:rPr>
      <w:t>1</w:t>
    </w:r>
    <w:r w:rsidR="006600A4">
      <w:rPr>
        <w:rFonts w:ascii="Arial" w:hAnsi="Arial"/>
        <w:sz w:val="18"/>
      </w:rPr>
      <w:t>3</w:t>
    </w:r>
    <w:r w:rsidR="00064151">
      <w:rPr>
        <w:rFonts w:ascii="Arial" w:hAnsi="Arial"/>
        <w:sz w:val="18"/>
      </w:rPr>
      <w:t xml:space="preserve"> </w:t>
    </w:r>
    <w:r w:rsidR="009C75AA">
      <w:rPr>
        <w:rFonts w:ascii="Arial" w:hAnsi="Arial"/>
        <w:sz w:val="18"/>
      </w:rPr>
      <w:t>TIEC Comments</w:t>
    </w:r>
    <w:r w:rsidR="006600A4">
      <w:rPr>
        <w:rFonts w:ascii="Arial" w:hAnsi="Arial"/>
        <w:sz w:val="18"/>
      </w:rPr>
      <w:t xml:space="preserve"> 110124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31B2AF6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728D" w14:textId="77777777" w:rsidR="00906B36" w:rsidRDefault="00906B36">
      <w:r>
        <w:separator/>
      </w:r>
    </w:p>
  </w:footnote>
  <w:footnote w:type="continuationSeparator" w:id="0">
    <w:p w14:paraId="01487148" w14:textId="77777777" w:rsidR="00906B36" w:rsidRDefault="00906B36">
      <w:r>
        <w:continuationSeparator/>
      </w:r>
    </w:p>
  </w:footnote>
  <w:footnote w:type="continuationNotice" w:id="1">
    <w:p w14:paraId="3D386720" w14:textId="77777777" w:rsidR="00906B36" w:rsidRDefault="00906B36"/>
  </w:footnote>
  <w:footnote w:id="2">
    <w:p w14:paraId="087ED358" w14:textId="6533EE00" w:rsidR="00225E9E" w:rsidRPr="00C20B7A" w:rsidRDefault="00225E9E">
      <w:pPr>
        <w:pStyle w:val="FootnoteText"/>
        <w:rPr>
          <w:rFonts w:ascii="Arial" w:hAnsi="Arial" w:cs="Arial"/>
        </w:rPr>
      </w:pPr>
      <w:r w:rsidRPr="00C20B7A">
        <w:rPr>
          <w:rStyle w:val="FootnoteReference"/>
          <w:rFonts w:ascii="Arial" w:hAnsi="Arial" w:cs="Arial"/>
        </w:rPr>
        <w:footnoteRef/>
      </w:r>
      <w:r w:rsidRPr="00C20B7A">
        <w:rPr>
          <w:rFonts w:ascii="Arial" w:hAnsi="Arial" w:cs="Arial"/>
        </w:rPr>
        <w:t xml:space="preserve">  NPRR1202, ERCOT Comments 101524 (Oct. 15, 2024).</w:t>
      </w:r>
    </w:p>
  </w:footnote>
  <w:footnote w:id="3">
    <w:p w14:paraId="638D51B0" w14:textId="4F461300" w:rsidR="00225E9E" w:rsidRPr="00C20B7A" w:rsidRDefault="00225E9E">
      <w:pPr>
        <w:pStyle w:val="FootnoteText"/>
        <w:rPr>
          <w:rFonts w:ascii="Arial" w:hAnsi="Arial" w:cs="Arial"/>
          <w:i/>
          <w:iCs/>
        </w:rPr>
      </w:pPr>
      <w:r w:rsidRPr="00C20B7A">
        <w:rPr>
          <w:rStyle w:val="FootnoteReference"/>
          <w:rFonts w:ascii="Arial" w:hAnsi="Arial" w:cs="Arial"/>
        </w:rPr>
        <w:footnoteRef/>
      </w:r>
      <w:r w:rsidRPr="00C20B7A">
        <w:rPr>
          <w:rFonts w:ascii="Arial" w:hAnsi="Arial" w:cs="Arial"/>
        </w:rPr>
        <w:t xml:space="preserve">  </w:t>
      </w:r>
      <w:r w:rsidRPr="00C20B7A">
        <w:rPr>
          <w:rFonts w:ascii="Arial" w:hAnsi="Arial" w:cs="Arial"/>
          <w:i/>
          <w:iCs/>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DDA1" w14:textId="07964B09" w:rsidR="00EE6681" w:rsidRDefault="00EE6681">
    <w:pPr>
      <w:pStyle w:val="Header"/>
      <w:jc w:val="center"/>
      <w:rPr>
        <w:sz w:val="32"/>
      </w:rPr>
    </w:pPr>
    <w:r>
      <w:rPr>
        <w:sz w:val="32"/>
      </w:rPr>
      <w:t>NPRR Comments</w:t>
    </w:r>
  </w:p>
  <w:p w14:paraId="563E2102"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63C4052"/>
    <w:multiLevelType w:val="hybridMultilevel"/>
    <w:tmpl w:val="4858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70739868">
    <w:abstractNumId w:val="0"/>
  </w:num>
  <w:num w:numId="2" w16cid:durableId="787773429">
    <w:abstractNumId w:val="2"/>
  </w:num>
  <w:num w:numId="3" w16cid:durableId="1619215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9B7"/>
    <w:rsid w:val="00025F12"/>
    <w:rsid w:val="00037668"/>
    <w:rsid w:val="000517BF"/>
    <w:rsid w:val="00053666"/>
    <w:rsid w:val="00064151"/>
    <w:rsid w:val="00075A94"/>
    <w:rsid w:val="000A6EBF"/>
    <w:rsid w:val="000E5D0C"/>
    <w:rsid w:val="000F1CEB"/>
    <w:rsid w:val="00116695"/>
    <w:rsid w:val="00132855"/>
    <w:rsid w:val="00134D8F"/>
    <w:rsid w:val="001439FF"/>
    <w:rsid w:val="00152993"/>
    <w:rsid w:val="00156B3C"/>
    <w:rsid w:val="00161457"/>
    <w:rsid w:val="00170297"/>
    <w:rsid w:val="00173D31"/>
    <w:rsid w:val="001A227D"/>
    <w:rsid w:val="001A5490"/>
    <w:rsid w:val="001E2032"/>
    <w:rsid w:val="001E7FDC"/>
    <w:rsid w:val="0021266D"/>
    <w:rsid w:val="002179B2"/>
    <w:rsid w:val="00225E9E"/>
    <w:rsid w:val="00227259"/>
    <w:rsid w:val="00231E83"/>
    <w:rsid w:val="0023544F"/>
    <w:rsid w:val="00257E0F"/>
    <w:rsid w:val="00271324"/>
    <w:rsid w:val="002B0647"/>
    <w:rsid w:val="002B3CD5"/>
    <w:rsid w:val="002E6243"/>
    <w:rsid w:val="002E7DBC"/>
    <w:rsid w:val="003010C0"/>
    <w:rsid w:val="0030658B"/>
    <w:rsid w:val="003073E1"/>
    <w:rsid w:val="0031471C"/>
    <w:rsid w:val="00317EE4"/>
    <w:rsid w:val="00325C5B"/>
    <w:rsid w:val="00327A07"/>
    <w:rsid w:val="00332A97"/>
    <w:rsid w:val="003332A3"/>
    <w:rsid w:val="00336558"/>
    <w:rsid w:val="00350C00"/>
    <w:rsid w:val="00355FBA"/>
    <w:rsid w:val="003659CE"/>
    <w:rsid w:val="00366113"/>
    <w:rsid w:val="003A4B5E"/>
    <w:rsid w:val="003B627C"/>
    <w:rsid w:val="003C270C"/>
    <w:rsid w:val="003D0994"/>
    <w:rsid w:val="003E4316"/>
    <w:rsid w:val="003E5EFB"/>
    <w:rsid w:val="00414E94"/>
    <w:rsid w:val="00423824"/>
    <w:rsid w:val="0042627C"/>
    <w:rsid w:val="004321F5"/>
    <w:rsid w:val="0043567D"/>
    <w:rsid w:val="00444620"/>
    <w:rsid w:val="00451171"/>
    <w:rsid w:val="00486D31"/>
    <w:rsid w:val="004B60A8"/>
    <w:rsid w:val="004B7B90"/>
    <w:rsid w:val="004C0F14"/>
    <w:rsid w:val="004D4045"/>
    <w:rsid w:val="004E2C19"/>
    <w:rsid w:val="004E7F4A"/>
    <w:rsid w:val="00505F14"/>
    <w:rsid w:val="005239B5"/>
    <w:rsid w:val="00573007"/>
    <w:rsid w:val="005C63A7"/>
    <w:rsid w:val="005D284C"/>
    <w:rsid w:val="005F0C0E"/>
    <w:rsid w:val="00602AD9"/>
    <w:rsid w:val="00604512"/>
    <w:rsid w:val="00633E23"/>
    <w:rsid w:val="006412E9"/>
    <w:rsid w:val="00643763"/>
    <w:rsid w:val="00650628"/>
    <w:rsid w:val="006600A4"/>
    <w:rsid w:val="00673B94"/>
    <w:rsid w:val="00680AC6"/>
    <w:rsid w:val="006835D8"/>
    <w:rsid w:val="00697BE7"/>
    <w:rsid w:val="006B1E2C"/>
    <w:rsid w:val="006B69BA"/>
    <w:rsid w:val="006C316E"/>
    <w:rsid w:val="006D0F7C"/>
    <w:rsid w:val="007025B3"/>
    <w:rsid w:val="00710C32"/>
    <w:rsid w:val="007269C4"/>
    <w:rsid w:val="0074209E"/>
    <w:rsid w:val="007806CA"/>
    <w:rsid w:val="007B389F"/>
    <w:rsid w:val="007B5001"/>
    <w:rsid w:val="007F02B9"/>
    <w:rsid w:val="007F2CA8"/>
    <w:rsid w:val="007F7161"/>
    <w:rsid w:val="008036CD"/>
    <w:rsid w:val="00812343"/>
    <w:rsid w:val="00825A75"/>
    <w:rsid w:val="008321A4"/>
    <w:rsid w:val="00833DB6"/>
    <w:rsid w:val="00850B0E"/>
    <w:rsid w:val="0085559E"/>
    <w:rsid w:val="00887E70"/>
    <w:rsid w:val="00896B1B"/>
    <w:rsid w:val="008A3BC0"/>
    <w:rsid w:val="008A7B62"/>
    <w:rsid w:val="008C50C4"/>
    <w:rsid w:val="008E1B88"/>
    <w:rsid w:val="008E559E"/>
    <w:rsid w:val="008F7A7B"/>
    <w:rsid w:val="008F7B98"/>
    <w:rsid w:val="0090423A"/>
    <w:rsid w:val="009045CD"/>
    <w:rsid w:val="00906B36"/>
    <w:rsid w:val="00916080"/>
    <w:rsid w:val="00921A68"/>
    <w:rsid w:val="00934DB4"/>
    <w:rsid w:val="00937FB6"/>
    <w:rsid w:val="009535FD"/>
    <w:rsid w:val="00955C69"/>
    <w:rsid w:val="00960CA5"/>
    <w:rsid w:val="009638DE"/>
    <w:rsid w:val="0097440E"/>
    <w:rsid w:val="00987DDD"/>
    <w:rsid w:val="009A516D"/>
    <w:rsid w:val="009A7109"/>
    <w:rsid w:val="009B56D8"/>
    <w:rsid w:val="009C4970"/>
    <w:rsid w:val="009C75AA"/>
    <w:rsid w:val="009F6565"/>
    <w:rsid w:val="00A015C4"/>
    <w:rsid w:val="00A15172"/>
    <w:rsid w:val="00A52BF3"/>
    <w:rsid w:val="00A6363F"/>
    <w:rsid w:val="00A969F5"/>
    <w:rsid w:val="00AA3C44"/>
    <w:rsid w:val="00AB184B"/>
    <w:rsid w:val="00AF3DE6"/>
    <w:rsid w:val="00B1247D"/>
    <w:rsid w:val="00B243E0"/>
    <w:rsid w:val="00B24F22"/>
    <w:rsid w:val="00B321CF"/>
    <w:rsid w:val="00B45A4F"/>
    <w:rsid w:val="00B5080A"/>
    <w:rsid w:val="00B75C1B"/>
    <w:rsid w:val="00B943AE"/>
    <w:rsid w:val="00B96938"/>
    <w:rsid w:val="00BA4C15"/>
    <w:rsid w:val="00BC19AE"/>
    <w:rsid w:val="00BD7258"/>
    <w:rsid w:val="00BF1ED1"/>
    <w:rsid w:val="00C0598D"/>
    <w:rsid w:val="00C11956"/>
    <w:rsid w:val="00C20B7A"/>
    <w:rsid w:val="00C30F63"/>
    <w:rsid w:val="00C445DE"/>
    <w:rsid w:val="00C5579E"/>
    <w:rsid w:val="00C602E5"/>
    <w:rsid w:val="00C748FD"/>
    <w:rsid w:val="00C91617"/>
    <w:rsid w:val="00CF5C93"/>
    <w:rsid w:val="00D376FE"/>
    <w:rsid w:val="00D4046E"/>
    <w:rsid w:val="00D42308"/>
    <w:rsid w:val="00D4362F"/>
    <w:rsid w:val="00D44492"/>
    <w:rsid w:val="00D515E1"/>
    <w:rsid w:val="00D5193A"/>
    <w:rsid w:val="00D5583F"/>
    <w:rsid w:val="00D569B1"/>
    <w:rsid w:val="00D6101D"/>
    <w:rsid w:val="00DB4F65"/>
    <w:rsid w:val="00DB54D0"/>
    <w:rsid w:val="00DB612D"/>
    <w:rsid w:val="00DD4739"/>
    <w:rsid w:val="00DE1F78"/>
    <w:rsid w:val="00DE5F33"/>
    <w:rsid w:val="00E07B54"/>
    <w:rsid w:val="00E11F78"/>
    <w:rsid w:val="00E24BC9"/>
    <w:rsid w:val="00E26918"/>
    <w:rsid w:val="00E621E1"/>
    <w:rsid w:val="00E73A9E"/>
    <w:rsid w:val="00EB3616"/>
    <w:rsid w:val="00EC55B3"/>
    <w:rsid w:val="00ED441D"/>
    <w:rsid w:val="00ED4BBA"/>
    <w:rsid w:val="00EE6681"/>
    <w:rsid w:val="00F050E7"/>
    <w:rsid w:val="00F206C2"/>
    <w:rsid w:val="00F22C4C"/>
    <w:rsid w:val="00F248A4"/>
    <w:rsid w:val="00F24E0E"/>
    <w:rsid w:val="00F32335"/>
    <w:rsid w:val="00F62CAA"/>
    <w:rsid w:val="00F741B4"/>
    <w:rsid w:val="00F8127E"/>
    <w:rsid w:val="00F83E26"/>
    <w:rsid w:val="00F96FB2"/>
    <w:rsid w:val="00FA1348"/>
    <w:rsid w:val="00FA6F07"/>
    <w:rsid w:val="00FA7D58"/>
    <w:rsid w:val="00FB1244"/>
    <w:rsid w:val="00FB51D8"/>
    <w:rsid w:val="00FB727B"/>
    <w:rsid w:val="00FD08E8"/>
    <w:rsid w:val="00FF4CF2"/>
    <w:rsid w:val="178566C1"/>
    <w:rsid w:val="24F6359D"/>
    <w:rsid w:val="473E8EEF"/>
    <w:rsid w:val="584BEE1D"/>
    <w:rsid w:val="6557CE3F"/>
    <w:rsid w:val="6B28D5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74096"/>
  <w15:docId w15:val="{3FCB21A2-426F-4836-A9DD-374D6ABA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C91617"/>
    <w:rPr>
      <w:color w:val="605E5C"/>
      <w:shd w:val="clear" w:color="auto" w:fill="E1DFDD"/>
    </w:rPr>
  </w:style>
  <w:style w:type="paragraph" w:styleId="Revision">
    <w:name w:val="Revision"/>
    <w:hidden/>
    <w:uiPriority w:val="99"/>
    <w:semiHidden/>
    <w:rsid w:val="00D42308"/>
    <w:rPr>
      <w:sz w:val="24"/>
      <w:szCs w:val="24"/>
    </w:rPr>
  </w:style>
  <w:style w:type="paragraph" w:styleId="FootnoteText">
    <w:name w:val="footnote text"/>
    <w:basedOn w:val="Normal"/>
    <w:link w:val="FootnoteTextChar"/>
    <w:rsid w:val="00DB612D"/>
    <w:rPr>
      <w:sz w:val="20"/>
      <w:szCs w:val="20"/>
    </w:rPr>
  </w:style>
  <w:style w:type="character" w:customStyle="1" w:styleId="FootnoteTextChar">
    <w:name w:val="Footnote Text Char"/>
    <w:basedOn w:val="DefaultParagraphFont"/>
    <w:link w:val="FootnoteText"/>
    <w:rsid w:val="00DB612D"/>
  </w:style>
  <w:style w:type="character" w:styleId="FootnoteReference">
    <w:name w:val="footnote reference"/>
    <w:basedOn w:val="DefaultParagraphFont"/>
    <w:rsid w:val="00DB612D"/>
    <w:rPr>
      <w:vertAlign w:val="superscript"/>
    </w:rPr>
  </w:style>
  <w:style w:type="table" w:customStyle="1" w:styleId="BoxedLanguage">
    <w:name w:val="Boxed Language"/>
    <w:basedOn w:val="TableNormal"/>
    <w:rsid w:val="00F8127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styleId="ListParagraph">
    <w:name w:val="List Paragraph"/>
    <w:basedOn w:val="Normal"/>
    <w:uiPriority w:val="34"/>
    <w:qFormat/>
    <w:rsid w:val="00F8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hubbard@omm.com" TargetMode="External"/><Relationship Id="rId4" Type="http://schemas.openxmlformats.org/officeDocument/2006/relationships/settings" Target="settings.xml"/><Relationship Id="rId9" Type="http://schemas.openxmlformats.org/officeDocument/2006/relationships/hyperlink" Target="mailto:kcoleman@om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88596-69F7-43FE-B19E-E53F69AF37F0}">
  <ds:schemaRefs>
    <ds:schemaRef ds:uri="http://schemas.openxmlformats.org/officeDocument/2006/bibliography"/>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2024-11-01T16:49:00Z</dcterms:created>
  <dcterms:modified xsi:type="dcterms:W3CDTF">2024-11-01T16:51:00Z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2023-10-03T14:19:36Z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aaa1b708-13dd-4894-ac62-8d47c7f3e72b</vt:lpwstr>
  </property>
  <property fmtid="{D5CDD505-2E9C-101B-9397-08002B2CF9AE}" pid="8" name="MSIP_Label_7084cbda-52b8-46fb-a7b7-cb5bd465ed85_ContentBits">
    <vt:lpwstr>0</vt:lpwstr>
  </property>
</Properties>
</file>