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38309C7" w14:textId="77777777">
        <w:tc>
          <w:tcPr>
            <w:tcW w:w="1620" w:type="dxa"/>
            <w:tcBorders>
              <w:bottom w:val="single" w:sz="4" w:space="0" w:color="auto"/>
            </w:tcBorders>
            <w:shd w:val="clear" w:color="auto" w:fill="FFFFFF"/>
            <w:vAlign w:val="center"/>
          </w:tcPr>
          <w:p w14:paraId="1489518F"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30A8DAC" w14:textId="5C8AC826" w:rsidR="00152993" w:rsidRPr="00330BD1" w:rsidRDefault="00EB4309" w:rsidP="0018597A">
            <w:pPr>
              <w:pStyle w:val="Header"/>
              <w:jc w:val="center"/>
              <w:rPr>
                <w:b w:val="0"/>
                <w:bCs w:val="0"/>
              </w:rPr>
            </w:pPr>
            <w:hyperlink r:id="rId10" w:history="1">
              <w:r w:rsidR="0018597A" w:rsidRPr="000A31C7">
                <w:rPr>
                  <w:rStyle w:val="Hyperlink"/>
                </w:rPr>
                <w:t>1</w:t>
              </w:r>
              <w:r w:rsidR="00A82E0E">
                <w:rPr>
                  <w:rStyle w:val="Hyperlink"/>
                </w:rPr>
                <w:t>180</w:t>
              </w:r>
            </w:hyperlink>
          </w:p>
        </w:tc>
        <w:tc>
          <w:tcPr>
            <w:tcW w:w="900" w:type="dxa"/>
            <w:tcBorders>
              <w:bottom w:val="single" w:sz="4" w:space="0" w:color="auto"/>
            </w:tcBorders>
            <w:shd w:val="clear" w:color="auto" w:fill="FFFFFF"/>
            <w:vAlign w:val="center"/>
          </w:tcPr>
          <w:p w14:paraId="76E9FE8F" w14:textId="77777777" w:rsidR="00152993" w:rsidRDefault="00EE6681">
            <w:pPr>
              <w:pStyle w:val="Header"/>
            </w:pPr>
            <w:r>
              <w:t>N</w:t>
            </w:r>
            <w:r w:rsidR="00152993">
              <w:t>PRR Title</w:t>
            </w:r>
          </w:p>
        </w:tc>
        <w:tc>
          <w:tcPr>
            <w:tcW w:w="6660" w:type="dxa"/>
            <w:tcBorders>
              <w:bottom w:val="single" w:sz="4" w:space="0" w:color="auto"/>
            </w:tcBorders>
            <w:vAlign w:val="center"/>
          </w:tcPr>
          <w:p w14:paraId="09D7B68E" w14:textId="78E4765B" w:rsidR="00152993" w:rsidRPr="0018597A" w:rsidRDefault="00A82E0E" w:rsidP="0018597A">
            <w:pPr>
              <w:pStyle w:val="Header"/>
              <w:spacing w:before="120" w:after="120"/>
            </w:pPr>
            <w:r>
              <w:rPr>
                <w:rFonts w:ascii="Roboto" w:hAnsi="Roboto"/>
                <w:color w:val="212529"/>
                <w:shd w:val="clear" w:color="auto" w:fill="FFFFFF"/>
              </w:rPr>
              <w:t>Inclusion of Forecasted Load in Planning Analyses</w:t>
            </w:r>
          </w:p>
        </w:tc>
      </w:tr>
      <w:tr w:rsidR="00152993" w14:paraId="0AB14F8D" w14:textId="77777777">
        <w:trPr>
          <w:trHeight w:val="413"/>
        </w:trPr>
        <w:tc>
          <w:tcPr>
            <w:tcW w:w="2880" w:type="dxa"/>
            <w:gridSpan w:val="2"/>
            <w:tcBorders>
              <w:top w:val="nil"/>
              <w:left w:val="nil"/>
              <w:bottom w:val="single" w:sz="4" w:space="0" w:color="auto"/>
              <w:right w:val="nil"/>
            </w:tcBorders>
            <w:vAlign w:val="center"/>
          </w:tcPr>
          <w:p w14:paraId="451AE6D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417A8BE" w14:textId="77777777" w:rsidR="00152993" w:rsidRDefault="00152993">
            <w:pPr>
              <w:pStyle w:val="NormalArial"/>
            </w:pPr>
          </w:p>
        </w:tc>
      </w:tr>
      <w:tr w:rsidR="00152993" w14:paraId="68C45B4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F45957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8497E7" w14:textId="32F1E0F6" w:rsidR="00152993" w:rsidRPr="0016626B" w:rsidRDefault="004051DE">
            <w:pPr>
              <w:pStyle w:val="NormalArial"/>
            </w:pPr>
            <w:r>
              <w:t xml:space="preserve">October </w:t>
            </w:r>
            <w:r w:rsidR="00EB4309">
              <w:t>16</w:t>
            </w:r>
            <w:r w:rsidR="005A11D9" w:rsidRPr="0016626B">
              <w:t>, 202</w:t>
            </w:r>
            <w:r w:rsidR="00B24F3D">
              <w:t>4</w:t>
            </w:r>
          </w:p>
        </w:tc>
      </w:tr>
      <w:tr w:rsidR="00152993" w14:paraId="088C2082" w14:textId="77777777">
        <w:trPr>
          <w:trHeight w:val="467"/>
        </w:trPr>
        <w:tc>
          <w:tcPr>
            <w:tcW w:w="2880" w:type="dxa"/>
            <w:gridSpan w:val="2"/>
            <w:tcBorders>
              <w:top w:val="single" w:sz="4" w:space="0" w:color="auto"/>
              <w:left w:val="nil"/>
              <w:bottom w:val="nil"/>
              <w:right w:val="nil"/>
            </w:tcBorders>
            <w:shd w:val="clear" w:color="auto" w:fill="FFFFFF"/>
            <w:vAlign w:val="center"/>
          </w:tcPr>
          <w:p w14:paraId="4FEF5F68" w14:textId="77777777" w:rsidR="00152993" w:rsidRDefault="00152993">
            <w:pPr>
              <w:pStyle w:val="NormalArial"/>
            </w:pPr>
          </w:p>
        </w:tc>
        <w:tc>
          <w:tcPr>
            <w:tcW w:w="7560" w:type="dxa"/>
            <w:gridSpan w:val="2"/>
            <w:tcBorders>
              <w:top w:val="nil"/>
              <w:left w:val="nil"/>
              <w:bottom w:val="nil"/>
              <w:right w:val="nil"/>
            </w:tcBorders>
            <w:vAlign w:val="center"/>
          </w:tcPr>
          <w:p w14:paraId="2D2BE8BB" w14:textId="77777777" w:rsidR="00152993" w:rsidRDefault="00152993">
            <w:pPr>
              <w:pStyle w:val="NormalArial"/>
            </w:pPr>
          </w:p>
        </w:tc>
      </w:tr>
      <w:tr w:rsidR="00152993" w14:paraId="4748D5F1" w14:textId="77777777">
        <w:trPr>
          <w:trHeight w:val="440"/>
        </w:trPr>
        <w:tc>
          <w:tcPr>
            <w:tcW w:w="10440" w:type="dxa"/>
            <w:gridSpan w:val="4"/>
            <w:tcBorders>
              <w:top w:val="single" w:sz="4" w:space="0" w:color="auto"/>
            </w:tcBorders>
            <w:shd w:val="clear" w:color="auto" w:fill="FFFFFF"/>
            <w:vAlign w:val="center"/>
          </w:tcPr>
          <w:p w14:paraId="02C7D526" w14:textId="77777777" w:rsidR="00152993" w:rsidRDefault="00152993">
            <w:pPr>
              <w:pStyle w:val="Header"/>
              <w:jc w:val="center"/>
            </w:pPr>
            <w:r>
              <w:t>Submitter’s Information</w:t>
            </w:r>
          </w:p>
        </w:tc>
      </w:tr>
      <w:tr w:rsidR="00152993" w14:paraId="17994DAF" w14:textId="77777777">
        <w:trPr>
          <w:trHeight w:val="350"/>
        </w:trPr>
        <w:tc>
          <w:tcPr>
            <w:tcW w:w="2880" w:type="dxa"/>
            <w:gridSpan w:val="2"/>
            <w:shd w:val="clear" w:color="auto" w:fill="FFFFFF"/>
            <w:vAlign w:val="center"/>
          </w:tcPr>
          <w:p w14:paraId="50444ECD" w14:textId="77777777" w:rsidR="00152993" w:rsidRPr="00EC55B3" w:rsidRDefault="00152993" w:rsidP="00EC55B3">
            <w:pPr>
              <w:pStyle w:val="Header"/>
            </w:pPr>
            <w:r w:rsidRPr="00EC55B3">
              <w:t>Name</w:t>
            </w:r>
          </w:p>
        </w:tc>
        <w:tc>
          <w:tcPr>
            <w:tcW w:w="7560" w:type="dxa"/>
            <w:gridSpan w:val="2"/>
            <w:vAlign w:val="center"/>
          </w:tcPr>
          <w:p w14:paraId="678FED8E" w14:textId="258CA3E0" w:rsidR="00152993" w:rsidRPr="002C777D" w:rsidRDefault="00A82E0E">
            <w:pPr>
              <w:pStyle w:val="NormalArial"/>
            </w:pPr>
            <w:r>
              <w:t>Ping Yan, Robert Golen, Sun Wook Kang</w:t>
            </w:r>
            <w:r w:rsidR="00BF768C">
              <w:t>, Sam Morris</w:t>
            </w:r>
          </w:p>
        </w:tc>
      </w:tr>
      <w:tr w:rsidR="00152993" w14:paraId="15440BFE" w14:textId="77777777">
        <w:trPr>
          <w:trHeight w:val="350"/>
        </w:trPr>
        <w:tc>
          <w:tcPr>
            <w:tcW w:w="2880" w:type="dxa"/>
            <w:gridSpan w:val="2"/>
            <w:shd w:val="clear" w:color="auto" w:fill="FFFFFF"/>
            <w:vAlign w:val="center"/>
          </w:tcPr>
          <w:p w14:paraId="6F45F808" w14:textId="77777777" w:rsidR="00152993" w:rsidRPr="00EC55B3" w:rsidRDefault="00152993" w:rsidP="00EC55B3">
            <w:pPr>
              <w:pStyle w:val="Header"/>
            </w:pPr>
            <w:r w:rsidRPr="00EC55B3">
              <w:t>E-mail Address</w:t>
            </w:r>
          </w:p>
        </w:tc>
        <w:tc>
          <w:tcPr>
            <w:tcW w:w="7560" w:type="dxa"/>
            <w:gridSpan w:val="2"/>
            <w:vAlign w:val="center"/>
          </w:tcPr>
          <w:p w14:paraId="6A49335B" w14:textId="553C0068" w:rsidR="00B24F3D" w:rsidRPr="002C777D" w:rsidRDefault="00EB4309">
            <w:pPr>
              <w:pStyle w:val="NormalArial"/>
            </w:pPr>
            <w:hyperlink r:id="rId11" w:history="1">
              <w:r w:rsidR="00A82E0E" w:rsidRPr="00B8575F">
                <w:rPr>
                  <w:rStyle w:val="Hyperlink"/>
                </w:rPr>
                <w:t>Ping.Yan@ercot.com</w:t>
              </w:r>
            </w:hyperlink>
            <w:r w:rsidR="00A82E0E">
              <w:t xml:space="preserve">, </w:t>
            </w:r>
            <w:hyperlink r:id="rId12" w:history="1">
              <w:r w:rsidR="00A82E0E" w:rsidRPr="00B8575F">
                <w:rPr>
                  <w:rStyle w:val="Hyperlink"/>
                </w:rPr>
                <w:t>Robert.Golen@ercot.com</w:t>
              </w:r>
            </w:hyperlink>
            <w:r w:rsidR="00A82E0E">
              <w:rPr>
                <w:rStyle w:val="Hyperlink"/>
              </w:rPr>
              <w:t xml:space="preserve">, </w:t>
            </w:r>
            <w:hyperlink r:id="rId13" w:history="1">
              <w:r w:rsidR="00BF768C" w:rsidRPr="001019A7">
                <w:rPr>
                  <w:rStyle w:val="Hyperlink"/>
                </w:rPr>
                <w:t>Sunwook.Kang@ercot.com</w:t>
              </w:r>
            </w:hyperlink>
            <w:r w:rsidR="00BF768C">
              <w:rPr>
                <w:rStyle w:val="Hyperlink"/>
              </w:rPr>
              <w:t>, Sam.Morris@ercot.com</w:t>
            </w:r>
          </w:p>
        </w:tc>
      </w:tr>
      <w:tr w:rsidR="00152993" w14:paraId="4650D511" w14:textId="77777777">
        <w:trPr>
          <w:trHeight w:val="350"/>
        </w:trPr>
        <w:tc>
          <w:tcPr>
            <w:tcW w:w="2880" w:type="dxa"/>
            <w:gridSpan w:val="2"/>
            <w:shd w:val="clear" w:color="auto" w:fill="FFFFFF"/>
            <w:vAlign w:val="center"/>
          </w:tcPr>
          <w:p w14:paraId="6E8CD242" w14:textId="77777777" w:rsidR="00152993" w:rsidRPr="00EC55B3" w:rsidRDefault="00152993" w:rsidP="00EC55B3">
            <w:pPr>
              <w:pStyle w:val="Header"/>
            </w:pPr>
            <w:r w:rsidRPr="00EC55B3">
              <w:t>Company</w:t>
            </w:r>
          </w:p>
        </w:tc>
        <w:tc>
          <w:tcPr>
            <w:tcW w:w="7560" w:type="dxa"/>
            <w:gridSpan w:val="2"/>
            <w:vAlign w:val="center"/>
          </w:tcPr>
          <w:p w14:paraId="2B6B16A7" w14:textId="3A104C6A" w:rsidR="00152993" w:rsidRDefault="00C2382C">
            <w:pPr>
              <w:pStyle w:val="NormalArial"/>
            </w:pPr>
            <w:r>
              <w:t>ERCOT</w:t>
            </w:r>
          </w:p>
        </w:tc>
      </w:tr>
      <w:tr w:rsidR="00152993" w14:paraId="412DAA97" w14:textId="77777777">
        <w:trPr>
          <w:trHeight w:val="350"/>
        </w:trPr>
        <w:tc>
          <w:tcPr>
            <w:tcW w:w="2880" w:type="dxa"/>
            <w:gridSpan w:val="2"/>
            <w:tcBorders>
              <w:bottom w:val="single" w:sz="4" w:space="0" w:color="auto"/>
            </w:tcBorders>
            <w:shd w:val="clear" w:color="auto" w:fill="FFFFFF"/>
            <w:vAlign w:val="center"/>
          </w:tcPr>
          <w:p w14:paraId="260AC332"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05EF1CB9" w14:textId="241375D2" w:rsidR="00152993" w:rsidRPr="002C777D" w:rsidRDefault="00C2382C">
            <w:pPr>
              <w:pStyle w:val="NormalArial"/>
            </w:pPr>
            <w:r>
              <w:t xml:space="preserve">512-248-4153 (Ping) / </w:t>
            </w:r>
            <w:r w:rsidR="00A82E0E">
              <w:t xml:space="preserve">512-248-6702 </w:t>
            </w:r>
            <w:r>
              <w:t>(</w:t>
            </w:r>
            <w:r w:rsidR="00C54948">
              <w:t>Robert</w:t>
            </w:r>
            <w:r>
              <w:t>)</w:t>
            </w:r>
            <w:r w:rsidR="00A82E0E">
              <w:t xml:space="preserve"> / 512-248-4159 (Sun Wook)</w:t>
            </w:r>
            <w:r w:rsidR="00BF768C">
              <w:t>, 512-248-4147 (Sam)</w:t>
            </w:r>
          </w:p>
        </w:tc>
      </w:tr>
      <w:tr w:rsidR="00152993" w14:paraId="5BD5CF7A" w14:textId="77777777">
        <w:trPr>
          <w:trHeight w:val="350"/>
        </w:trPr>
        <w:tc>
          <w:tcPr>
            <w:tcW w:w="2880" w:type="dxa"/>
            <w:gridSpan w:val="2"/>
            <w:shd w:val="clear" w:color="auto" w:fill="FFFFFF"/>
            <w:vAlign w:val="center"/>
          </w:tcPr>
          <w:p w14:paraId="0FF6445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5A87D24" w14:textId="795B81FB" w:rsidR="00152993" w:rsidRPr="002C777D" w:rsidRDefault="00152993">
            <w:pPr>
              <w:pStyle w:val="NormalArial"/>
            </w:pPr>
          </w:p>
        </w:tc>
      </w:tr>
      <w:tr w:rsidR="00075A94" w14:paraId="32E5F024" w14:textId="77777777">
        <w:trPr>
          <w:trHeight w:val="350"/>
        </w:trPr>
        <w:tc>
          <w:tcPr>
            <w:tcW w:w="2880" w:type="dxa"/>
            <w:gridSpan w:val="2"/>
            <w:tcBorders>
              <w:bottom w:val="single" w:sz="4" w:space="0" w:color="auto"/>
            </w:tcBorders>
            <w:shd w:val="clear" w:color="auto" w:fill="FFFFFF"/>
            <w:vAlign w:val="center"/>
          </w:tcPr>
          <w:p w14:paraId="34856FD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E202986" w14:textId="038C4385" w:rsidR="00075A94" w:rsidRDefault="0049724F">
            <w:pPr>
              <w:pStyle w:val="NormalArial"/>
            </w:pPr>
            <w:r>
              <w:t>Not applicable</w:t>
            </w:r>
          </w:p>
        </w:tc>
      </w:tr>
    </w:tbl>
    <w:p w14:paraId="3A3A75A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EAF5C8B" w14:textId="77777777" w:rsidTr="00B5080A">
        <w:trPr>
          <w:trHeight w:val="422"/>
          <w:jc w:val="center"/>
        </w:trPr>
        <w:tc>
          <w:tcPr>
            <w:tcW w:w="10440" w:type="dxa"/>
            <w:vAlign w:val="center"/>
          </w:tcPr>
          <w:p w14:paraId="6FC0B367" w14:textId="77777777" w:rsidR="00075A94" w:rsidRPr="00075A94" w:rsidRDefault="00075A94" w:rsidP="00B5080A">
            <w:pPr>
              <w:pStyle w:val="Header"/>
              <w:jc w:val="center"/>
            </w:pPr>
            <w:r w:rsidRPr="00075A94">
              <w:t>Comments</w:t>
            </w:r>
          </w:p>
        </w:tc>
      </w:tr>
    </w:tbl>
    <w:p w14:paraId="387E3084" w14:textId="77777777" w:rsidR="00152993" w:rsidRDefault="00152993">
      <w:pPr>
        <w:pStyle w:val="NormalArial"/>
      </w:pPr>
    </w:p>
    <w:p w14:paraId="5C1800A2" w14:textId="09551931" w:rsidR="00B24F3D" w:rsidRDefault="00C219B2" w:rsidP="00C219B2">
      <w:pPr>
        <w:pStyle w:val="NormalWeb"/>
        <w:jc w:val="both"/>
        <w:rPr>
          <w:rFonts w:ascii="Arial" w:hAnsi="Arial" w:cs="Arial"/>
          <w:color w:val="242424"/>
          <w:shd w:val="clear" w:color="auto" w:fill="FFFFFF"/>
        </w:rPr>
      </w:pPr>
      <w:r>
        <w:rPr>
          <w:rFonts w:ascii="Arial" w:hAnsi="Arial" w:cs="Arial"/>
          <w:color w:val="242424"/>
          <w:shd w:val="clear" w:color="auto" w:fill="FFFFFF"/>
        </w:rPr>
        <w:t>ERCOT</w:t>
      </w:r>
      <w:r w:rsidR="00B24F3D" w:rsidRPr="00F0095A">
        <w:rPr>
          <w:rFonts w:ascii="Arial" w:hAnsi="Arial" w:cs="Arial"/>
          <w:color w:val="242424"/>
          <w:shd w:val="clear" w:color="auto" w:fill="FFFFFF"/>
        </w:rPr>
        <w:t xml:space="preserve"> provide</w:t>
      </w:r>
      <w:r>
        <w:rPr>
          <w:rFonts w:ascii="Arial" w:hAnsi="Arial" w:cs="Arial"/>
          <w:color w:val="242424"/>
          <w:shd w:val="clear" w:color="auto" w:fill="FFFFFF"/>
        </w:rPr>
        <w:t>s these</w:t>
      </w:r>
      <w:r w:rsidR="00B24F3D" w:rsidRPr="00F0095A">
        <w:rPr>
          <w:rFonts w:ascii="Arial" w:hAnsi="Arial" w:cs="Arial"/>
          <w:color w:val="242424"/>
          <w:shd w:val="clear" w:color="auto" w:fill="FFFFFF"/>
        </w:rPr>
        <w:t xml:space="preserve"> comment</w:t>
      </w:r>
      <w:r w:rsidR="002D0205" w:rsidRPr="00F0095A">
        <w:rPr>
          <w:rFonts w:ascii="Arial" w:hAnsi="Arial" w:cs="Arial"/>
          <w:color w:val="242424"/>
          <w:shd w:val="clear" w:color="auto" w:fill="FFFFFF"/>
        </w:rPr>
        <w:t>s</w:t>
      </w:r>
      <w:r w:rsidR="00B24F3D" w:rsidRPr="00F0095A">
        <w:rPr>
          <w:rFonts w:ascii="Arial" w:hAnsi="Arial" w:cs="Arial"/>
          <w:color w:val="242424"/>
          <w:shd w:val="clear" w:color="auto" w:fill="FFFFFF"/>
        </w:rPr>
        <w:t xml:space="preserve"> </w:t>
      </w:r>
      <w:r>
        <w:rPr>
          <w:rFonts w:ascii="Arial" w:hAnsi="Arial" w:cs="Arial"/>
          <w:color w:val="242424"/>
          <w:shd w:val="clear" w:color="auto" w:fill="FFFFFF"/>
        </w:rPr>
        <w:t>to</w:t>
      </w:r>
      <w:r w:rsidR="00B24F3D" w:rsidRPr="00F0095A">
        <w:rPr>
          <w:rFonts w:ascii="Arial" w:hAnsi="Arial" w:cs="Arial"/>
          <w:color w:val="242424"/>
          <w:shd w:val="clear" w:color="auto" w:fill="FFFFFF"/>
        </w:rPr>
        <w:t xml:space="preserve"> </w:t>
      </w:r>
      <w:r w:rsidR="007E2FBA">
        <w:rPr>
          <w:rFonts w:ascii="Arial" w:hAnsi="Arial" w:cs="Arial"/>
          <w:color w:val="242424"/>
          <w:shd w:val="clear" w:color="auto" w:fill="FFFFFF"/>
        </w:rPr>
        <w:t>Nodal Protocol Revision Request (</w:t>
      </w:r>
      <w:r w:rsidR="00B24F3D" w:rsidRPr="00F0095A">
        <w:rPr>
          <w:rFonts w:ascii="Arial" w:hAnsi="Arial" w:cs="Arial"/>
          <w:color w:val="242424"/>
          <w:shd w:val="clear" w:color="auto" w:fill="FFFFFF"/>
        </w:rPr>
        <w:t>NPRR</w:t>
      </w:r>
      <w:r w:rsidR="007E2FBA">
        <w:rPr>
          <w:rFonts w:ascii="Arial" w:hAnsi="Arial" w:cs="Arial"/>
          <w:color w:val="242424"/>
          <w:shd w:val="clear" w:color="auto" w:fill="FFFFFF"/>
        </w:rPr>
        <w:t xml:space="preserve">) </w:t>
      </w:r>
      <w:r w:rsidR="00A82E0E">
        <w:rPr>
          <w:rFonts w:ascii="Arial" w:hAnsi="Arial" w:cs="Arial"/>
          <w:color w:val="242424"/>
          <w:shd w:val="clear" w:color="auto" w:fill="FFFFFF"/>
        </w:rPr>
        <w:t>1180</w:t>
      </w:r>
      <w:r>
        <w:rPr>
          <w:rFonts w:ascii="Arial" w:hAnsi="Arial" w:cs="Arial"/>
          <w:color w:val="242424"/>
          <w:shd w:val="clear" w:color="auto" w:fill="FFFFFF"/>
        </w:rPr>
        <w:t xml:space="preserve"> </w:t>
      </w:r>
      <w:r w:rsidR="00A82E0E">
        <w:rPr>
          <w:rFonts w:ascii="Arial" w:hAnsi="Arial" w:cs="Arial"/>
          <w:color w:val="242424"/>
          <w:shd w:val="clear" w:color="auto" w:fill="FFFFFF"/>
        </w:rPr>
        <w:t xml:space="preserve">with additional details to support the Impact Analysis. </w:t>
      </w:r>
    </w:p>
    <w:p w14:paraId="49577DFD" w14:textId="6BD8A858" w:rsidR="00D04A42" w:rsidRDefault="00BF768C" w:rsidP="00587A4C">
      <w:pPr>
        <w:pStyle w:val="NormalWeb"/>
        <w:rPr>
          <w:rFonts w:ascii="Arial" w:hAnsi="Arial" w:cs="Arial"/>
          <w:color w:val="242424"/>
          <w:shd w:val="clear" w:color="auto" w:fill="FFFFFF"/>
        </w:rPr>
      </w:pPr>
      <w:r w:rsidRPr="00BF768C">
        <w:rPr>
          <w:rFonts w:ascii="Arial" w:hAnsi="Arial" w:cs="Arial"/>
          <w:color w:val="242424"/>
          <w:shd w:val="clear" w:color="auto" w:fill="FFFFFF"/>
        </w:rPr>
        <w:t>NPRR1180 incorporates the requirement in P.U.C. Subst. R.25.101(b)(3)(A)(ii)(II) for any reliability-driven transmission project review conducted by ERCOT to incorporate the historical Load, forecasted Load growth, and additional Load seeking interconnection (</w:t>
      </w:r>
      <w:r w:rsidRPr="00BF768C">
        <w:rPr>
          <w:rFonts w:ascii="Arial" w:hAnsi="Arial" w:cs="Arial"/>
          <w:i/>
          <w:iCs/>
          <w:color w:val="242424"/>
          <w:shd w:val="clear" w:color="auto" w:fill="FFFFFF"/>
        </w:rPr>
        <w:t>As amended by SB1281 passed in 2021</w:t>
      </w:r>
      <w:r w:rsidRPr="00BF768C">
        <w:rPr>
          <w:rFonts w:ascii="Arial" w:hAnsi="Arial" w:cs="Arial"/>
          <w:color w:val="242424"/>
          <w:shd w:val="clear" w:color="auto" w:fill="FFFFFF"/>
        </w:rPr>
        <w:t>)</w:t>
      </w:r>
      <w:r>
        <w:rPr>
          <w:rFonts w:ascii="Arial" w:hAnsi="Arial" w:cs="Arial"/>
          <w:color w:val="242424"/>
          <w:shd w:val="clear" w:color="auto" w:fill="FFFFFF"/>
        </w:rPr>
        <w:t xml:space="preserve">. </w:t>
      </w:r>
      <w:r w:rsidRPr="00BF768C">
        <w:rPr>
          <w:rFonts w:ascii="Arial" w:hAnsi="Arial" w:cs="Arial"/>
          <w:color w:val="242424"/>
          <w:shd w:val="clear" w:color="auto" w:fill="FFFFFF"/>
        </w:rPr>
        <w:t>HB 5066 passed in 2023, now requires the PUC to consider including load for which the electric utility has yet to sign an interconnection agreement, as determined by the electric utility with the responsibility for serving the load</w:t>
      </w:r>
      <w:r>
        <w:rPr>
          <w:rFonts w:ascii="Arial" w:hAnsi="Arial" w:cs="Arial"/>
          <w:color w:val="242424"/>
          <w:shd w:val="clear" w:color="auto" w:fill="FFFFFF"/>
        </w:rPr>
        <w:t xml:space="preserve">. </w:t>
      </w:r>
      <w:r w:rsidR="0090765F">
        <w:rPr>
          <w:rFonts w:ascii="Arial" w:hAnsi="Arial" w:cs="Arial"/>
          <w:color w:val="242424"/>
          <w:shd w:val="clear" w:color="auto" w:fill="FFFFFF"/>
        </w:rPr>
        <w:t xml:space="preserve">To facilitate the PUC’s consideration of projects that may be needed to serve this load, NPRR1180 proposes to incorporate this additional load into ERCOT’s planning processes. </w:t>
      </w:r>
      <w:r w:rsidRPr="00BF768C">
        <w:rPr>
          <w:rFonts w:ascii="Arial" w:hAnsi="Arial" w:cs="Arial"/>
          <w:color w:val="242424"/>
          <w:shd w:val="clear" w:color="auto" w:fill="FFFFFF"/>
        </w:rPr>
        <w:t xml:space="preserve">HB 5066 was </w:t>
      </w:r>
      <w:r w:rsidR="0090765F">
        <w:rPr>
          <w:rFonts w:ascii="Arial" w:hAnsi="Arial" w:cs="Arial"/>
          <w:color w:val="242424"/>
          <w:shd w:val="clear" w:color="auto" w:fill="FFFFFF"/>
        </w:rPr>
        <w:t xml:space="preserve"> enacted in</w:t>
      </w:r>
      <w:r w:rsidRPr="00BF768C">
        <w:rPr>
          <w:rFonts w:ascii="Arial" w:hAnsi="Arial" w:cs="Arial"/>
          <w:color w:val="242424"/>
          <w:shd w:val="clear" w:color="auto" w:fill="FFFFFF"/>
        </w:rPr>
        <w:t xml:space="preserve"> </w:t>
      </w:r>
      <w:r w:rsidR="0090765F">
        <w:rPr>
          <w:rFonts w:ascii="Arial" w:hAnsi="Arial" w:cs="Arial"/>
          <w:color w:val="242424"/>
          <w:shd w:val="clear" w:color="auto" w:fill="FFFFFF"/>
        </w:rPr>
        <w:t>June 2023 and therefore was not considered in the development of</w:t>
      </w:r>
      <w:r w:rsidRPr="00BF768C">
        <w:rPr>
          <w:rFonts w:ascii="Arial" w:hAnsi="Arial" w:cs="Arial"/>
          <w:color w:val="242424"/>
          <w:shd w:val="clear" w:color="auto" w:fill="FFFFFF"/>
        </w:rPr>
        <w:t xml:space="preserve"> the 2024-2025 </w:t>
      </w:r>
      <w:r w:rsidR="0090765F">
        <w:rPr>
          <w:rFonts w:ascii="Arial" w:hAnsi="Arial" w:cs="Arial"/>
          <w:color w:val="242424"/>
          <w:shd w:val="clear" w:color="auto" w:fill="FFFFFF"/>
        </w:rPr>
        <w:t xml:space="preserve">ERCOT </w:t>
      </w:r>
      <w:r w:rsidRPr="00BF768C">
        <w:rPr>
          <w:rFonts w:ascii="Arial" w:hAnsi="Arial" w:cs="Arial"/>
          <w:color w:val="242424"/>
          <w:shd w:val="clear" w:color="auto" w:fill="FFFFFF"/>
        </w:rPr>
        <w:t>budget</w:t>
      </w:r>
      <w:r>
        <w:rPr>
          <w:rFonts w:ascii="Arial" w:hAnsi="Arial" w:cs="Arial"/>
          <w:color w:val="242424"/>
          <w:shd w:val="clear" w:color="auto" w:fill="FFFFFF"/>
        </w:rPr>
        <w:t xml:space="preserve">. </w:t>
      </w:r>
    </w:p>
    <w:p w14:paraId="6AE775BD" w14:textId="71BF35C5" w:rsidR="00587A4C" w:rsidRDefault="00BF768C" w:rsidP="00587A4C">
      <w:pPr>
        <w:pStyle w:val="NormalWeb"/>
        <w:rPr>
          <w:rFonts w:ascii="Arial" w:hAnsi="Arial" w:cs="Arial"/>
          <w:color w:val="242424"/>
          <w:shd w:val="clear" w:color="auto" w:fill="FFFFFF"/>
        </w:rPr>
      </w:pPr>
      <w:r>
        <w:rPr>
          <w:rFonts w:ascii="Arial" w:hAnsi="Arial" w:cs="Arial"/>
          <w:color w:val="242424"/>
          <w:shd w:val="clear" w:color="auto" w:fill="FFFFFF"/>
        </w:rPr>
        <w:t xml:space="preserve">NPRR1180 defines </w:t>
      </w:r>
      <w:r w:rsidR="00076E4B">
        <w:rPr>
          <w:rFonts w:ascii="Arial" w:hAnsi="Arial" w:cs="Arial"/>
          <w:color w:val="242424"/>
          <w:shd w:val="clear" w:color="auto" w:fill="FFFFFF"/>
        </w:rPr>
        <w:t>“</w:t>
      </w:r>
      <w:r>
        <w:rPr>
          <w:rFonts w:ascii="Arial" w:hAnsi="Arial" w:cs="Arial"/>
          <w:color w:val="242424"/>
          <w:shd w:val="clear" w:color="auto" w:fill="FFFFFF"/>
        </w:rPr>
        <w:t>Substantiated Load</w:t>
      </w:r>
      <w:r w:rsidR="00076E4B">
        <w:rPr>
          <w:rFonts w:ascii="Arial" w:hAnsi="Arial" w:cs="Arial"/>
          <w:color w:val="242424"/>
          <w:shd w:val="clear" w:color="auto" w:fill="FFFFFF"/>
        </w:rPr>
        <w:t>”</w:t>
      </w:r>
      <w:r w:rsidR="00587A4C">
        <w:rPr>
          <w:rFonts w:ascii="Arial" w:hAnsi="Arial" w:cs="Arial"/>
          <w:color w:val="242424"/>
          <w:shd w:val="clear" w:color="auto" w:fill="FFFFFF"/>
        </w:rPr>
        <w:t xml:space="preserve"> as follows:</w:t>
      </w:r>
    </w:p>
    <w:p w14:paraId="303F0AEF" w14:textId="159E09B7" w:rsidR="00587A4C" w:rsidRPr="00587A4C" w:rsidRDefault="00587A4C" w:rsidP="00587A4C">
      <w:pPr>
        <w:pStyle w:val="NormalWeb"/>
        <w:rPr>
          <w:rFonts w:ascii="Arial" w:hAnsi="Arial" w:cs="Arial"/>
          <w:color w:val="242424"/>
          <w:shd w:val="clear" w:color="auto" w:fill="FFFFFF"/>
        </w:rPr>
      </w:pPr>
      <w:r w:rsidRPr="00587A4C">
        <w:rPr>
          <w:rFonts w:ascii="Arial" w:hAnsi="Arial" w:cs="Arial"/>
          <w:color w:val="242424"/>
          <w:shd w:val="clear" w:color="auto" w:fill="FFFFFF"/>
        </w:rPr>
        <w:t xml:space="preserve">Load </w:t>
      </w:r>
      <w:bookmarkStart w:id="0" w:name="_Hlk170498625"/>
      <w:r w:rsidRPr="00587A4C">
        <w:rPr>
          <w:rFonts w:ascii="Arial" w:hAnsi="Arial" w:cs="Arial"/>
          <w:color w:val="242424"/>
          <w:shd w:val="clear" w:color="auto" w:fill="FFFFFF"/>
        </w:rPr>
        <w:t>submitted by a TDSP for planning purposes that is substantiated by any of the following:</w:t>
      </w:r>
    </w:p>
    <w:p w14:paraId="7D932D57" w14:textId="77777777" w:rsidR="00587A4C" w:rsidRPr="00587A4C" w:rsidRDefault="00587A4C" w:rsidP="00D04A42">
      <w:pPr>
        <w:pStyle w:val="BodyTextNumbered"/>
        <w:spacing w:after="100" w:afterAutospacing="1"/>
        <w:rPr>
          <w:rFonts w:ascii="Arial" w:hAnsi="Arial" w:cs="Arial"/>
          <w:iCs w:val="0"/>
          <w:color w:val="242424"/>
          <w:szCs w:val="24"/>
          <w:shd w:val="clear" w:color="auto" w:fill="FFFFFF"/>
        </w:rPr>
      </w:pPr>
      <w:r w:rsidRPr="00587A4C">
        <w:rPr>
          <w:rFonts w:ascii="Arial" w:hAnsi="Arial" w:cs="Arial"/>
          <w:iCs w:val="0"/>
          <w:color w:val="242424"/>
          <w:szCs w:val="24"/>
          <w:shd w:val="clear" w:color="auto" w:fill="FFFFFF"/>
        </w:rPr>
        <w:tab/>
        <w:t>(a)</w:t>
      </w:r>
      <w:r w:rsidRPr="00587A4C">
        <w:rPr>
          <w:rFonts w:ascii="Arial" w:hAnsi="Arial" w:cs="Arial"/>
          <w:iCs w:val="0"/>
          <w:color w:val="242424"/>
          <w:szCs w:val="24"/>
          <w:shd w:val="clear" w:color="auto" w:fill="FFFFFF"/>
        </w:rPr>
        <w:tab/>
        <w:t>An executed interconnection or other agreement;</w:t>
      </w:r>
    </w:p>
    <w:p w14:paraId="123F5D7E" w14:textId="77777777" w:rsidR="00587A4C" w:rsidRPr="00587A4C" w:rsidRDefault="00587A4C" w:rsidP="00D04A42">
      <w:pPr>
        <w:pStyle w:val="BodyTextNumbered"/>
        <w:spacing w:after="100" w:afterAutospacing="1"/>
        <w:ind w:left="1440"/>
        <w:rPr>
          <w:rFonts w:ascii="Arial" w:hAnsi="Arial" w:cs="Arial"/>
          <w:iCs w:val="0"/>
          <w:color w:val="242424"/>
          <w:szCs w:val="24"/>
          <w:shd w:val="clear" w:color="auto" w:fill="FFFFFF"/>
        </w:rPr>
      </w:pPr>
      <w:r w:rsidRPr="00587A4C">
        <w:rPr>
          <w:rFonts w:ascii="Arial" w:hAnsi="Arial" w:cs="Arial"/>
          <w:iCs w:val="0"/>
          <w:color w:val="242424"/>
          <w:szCs w:val="24"/>
          <w:shd w:val="clear" w:color="auto" w:fill="FFFFFF"/>
        </w:rPr>
        <w:t>(b)</w:t>
      </w:r>
      <w:r w:rsidRPr="00587A4C">
        <w:rPr>
          <w:rFonts w:ascii="Arial" w:hAnsi="Arial" w:cs="Arial"/>
          <w:iCs w:val="0"/>
          <w:color w:val="242424"/>
          <w:szCs w:val="24"/>
          <w:shd w:val="clear" w:color="auto" w:fill="FFFFFF"/>
        </w:rPr>
        <w:tab/>
        <w:t>An independent third-party load forecast that has been deemed credible by ERCOT and that may include load for which a TDSP has yet to sign an interconnection agreement; or</w:t>
      </w:r>
    </w:p>
    <w:p w14:paraId="23F25A0E" w14:textId="77777777" w:rsidR="00587A4C" w:rsidRPr="00587A4C" w:rsidRDefault="00587A4C" w:rsidP="00D04A42">
      <w:pPr>
        <w:pStyle w:val="BodyTextNumbered"/>
        <w:spacing w:after="100" w:afterAutospacing="1"/>
        <w:ind w:left="1440"/>
        <w:rPr>
          <w:rFonts w:ascii="Arial" w:hAnsi="Arial" w:cs="Arial"/>
          <w:iCs w:val="0"/>
          <w:color w:val="242424"/>
          <w:szCs w:val="24"/>
          <w:shd w:val="clear" w:color="auto" w:fill="FFFFFF"/>
        </w:rPr>
      </w:pPr>
      <w:r w:rsidRPr="00587A4C">
        <w:rPr>
          <w:rFonts w:ascii="Arial" w:hAnsi="Arial" w:cs="Arial"/>
          <w:iCs w:val="0"/>
          <w:color w:val="242424"/>
          <w:szCs w:val="24"/>
          <w:shd w:val="clear" w:color="auto" w:fill="FFFFFF"/>
        </w:rPr>
        <w:t>(c)</w:t>
      </w:r>
      <w:r w:rsidRPr="00587A4C">
        <w:rPr>
          <w:rFonts w:ascii="Arial" w:hAnsi="Arial" w:cs="Arial"/>
          <w:iCs w:val="0"/>
          <w:color w:val="242424"/>
          <w:szCs w:val="24"/>
          <w:shd w:val="clear" w:color="auto" w:fill="FFFFFF"/>
        </w:rPr>
        <w:tab/>
        <w:t>A letter from a TDSP officer attesting to such load, which may include load for which a TDSP has yet to sign an interconnection agreement.</w:t>
      </w:r>
      <w:bookmarkEnd w:id="0"/>
    </w:p>
    <w:p w14:paraId="76B8F294" w14:textId="1B2782B6" w:rsidR="00587A4C" w:rsidRDefault="00603D84" w:rsidP="00BF768C">
      <w:pPr>
        <w:pStyle w:val="NormalWeb"/>
        <w:rPr>
          <w:rFonts w:ascii="Arial" w:hAnsi="Arial" w:cs="Arial"/>
          <w:color w:val="242424"/>
          <w:shd w:val="clear" w:color="auto" w:fill="FFFFFF"/>
        </w:rPr>
      </w:pPr>
      <w:r>
        <w:rPr>
          <w:rFonts w:ascii="Arial" w:hAnsi="Arial" w:cs="Arial"/>
          <w:color w:val="242424"/>
          <w:shd w:val="clear" w:color="auto" w:fill="FFFFFF"/>
        </w:rPr>
        <w:lastRenderedPageBreak/>
        <w:t xml:space="preserve">ERCOT’s </w:t>
      </w:r>
      <w:r w:rsidR="00587A4C">
        <w:rPr>
          <w:rFonts w:ascii="Arial" w:hAnsi="Arial" w:cs="Arial"/>
          <w:color w:val="242424"/>
          <w:shd w:val="clear" w:color="auto" w:fill="FFFFFF"/>
        </w:rPr>
        <w:t>2024 RTP incorporated Substantiated Load</w:t>
      </w:r>
      <w:r>
        <w:rPr>
          <w:rFonts w:ascii="Arial" w:hAnsi="Arial" w:cs="Arial"/>
          <w:color w:val="242424"/>
          <w:shd w:val="clear" w:color="auto" w:fill="FFFFFF"/>
        </w:rPr>
        <w:t>, as defined in NPRR1180,</w:t>
      </w:r>
      <w:r w:rsidR="00587A4C">
        <w:rPr>
          <w:rFonts w:ascii="Arial" w:hAnsi="Arial" w:cs="Arial"/>
          <w:color w:val="242424"/>
          <w:shd w:val="clear" w:color="auto" w:fill="FFFFFF"/>
        </w:rPr>
        <w:t xml:space="preserve"> and NPRR1180 would require </w:t>
      </w:r>
      <w:r>
        <w:rPr>
          <w:rFonts w:ascii="Arial" w:hAnsi="Arial" w:cs="Arial"/>
          <w:color w:val="242424"/>
          <w:shd w:val="clear" w:color="auto" w:fill="FFFFFF"/>
        </w:rPr>
        <w:t xml:space="preserve">that the evaluation of </w:t>
      </w:r>
      <w:r w:rsidR="00587A4C">
        <w:rPr>
          <w:rFonts w:ascii="Arial" w:hAnsi="Arial" w:cs="Arial"/>
          <w:color w:val="242424"/>
          <w:shd w:val="clear" w:color="auto" w:fill="FFFFFF"/>
        </w:rPr>
        <w:t xml:space="preserve">Regional Planning Group (RPG) </w:t>
      </w:r>
      <w:r>
        <w:rPr>
          <w:rFonts w:ascii="Arial" w:hAnsi="Arial" w:cs="Arial"/>
          <w:color w:val="242424"/>
          <w:shd w:val="clear" w:color="auto" w:fill="FFFFFF"/>
        </w:rPr>
        <w:t xml:space="preserve">submissions would </w:t>
      </w:r>
      <w:r w:rsidR="00587A4C">
        <w:rPr>
          <w:rFonts w:ascii="Arial" w:hAnsi="Arial" w:cs="Arial"/>
          <w:color w:val="242424"/>
          <w:shd w:val="clear" w:color="auto" w:fill="FFFFFF"/>
        </w:rPr>
        <w:t>include Substantiated Load.</w:t>
      </w:r>
    </w:p>
    <w:p w14:paraId="338A2908" w14:textId="4B9D12BA" w:rsidR="00587A4C" w:rsidRDefault="00587A4C" w:rsidP="00BF768C">
      <w:pPr>
        <w:pStyle w:val="NormalWeb"/>
        <w:rPr>
          <w:rFonts w:ascii="Arial" w:hAnsi="Arial" w:cs="Arial"/>
          <w:color w:val="242424"/>
          <w:shd w:val="clear" w:color="auto" w:fill="FFFFFF"/>
        </w:rPr>
      </w:pPr>
      <w:r>
        <w:rPr>
          <w:rFonts w:ascii="Arial" w:hAnsi="Arial" w:cs="Arial"/>
          <w:color w:val="242424"/>
          <w:shd w:val="clear" w:color="auto" w:fill="FFFFFF"/>
        </w:rPr>
        <w:t xml:space="preserve">The Impact Analysis produced by ERCOT is to address the additional FTE needs that </w:t>
      </w:r>
      <w:r w:rsidR="00603D84">
        <w:rPr>
          <w:rFonts w:ascii="Arial" w:hAnsi="Arial" w:cs="Arial"/>
          <w:color w:val="242424"/>
          <w:shd w:val="clear" w:color="auto" w:fill="FFFFFF"/>
        </w:rPr>
        <w:t xml:space="preserve">were </w:t>
      </w:r>
      <w:r>
        <w:rPr>
          <w:rFonts w:ascii="Arial" w:hAnsi="Arial" w:cs="Arial"/>
          <w:color w:val="242424"/>
          <w:shd w:val="clear" w:color="auto" w:fill="FFFFFF"/>
        </w:rPr>
        <w:t>not included in the 2024-2025 budget</w:t>
      </w:r>
      <w:r w:rsidR="00603D84">
        <w:rPr>
          <w:rFonts w:ascii="Arial" w:hAnsi="Arial" w:cs="Arial"/>
          <w:color w:val="242424"/>
          <w:shd w:val="clear" w:color="auto" w:fill="FFFFFF"/>
        </w:rPr>
        <w:t>—</w:t>
      </w:r>
      <w:r>
        <w:rPr>
          <w:rFonts w:ascii="Arial" w:hAnsi="Arial" w:cs="Arial"/>
          <w:color w:val="242424"/>
          <w:shd w:val="clear" w:color="auto" w:fill="FFFFFF"/>
        </w:rPr>
        <w:t>specifically</w:t>
      </w:r>
      <w:r w:rsidR="00603D84">
        <w:rPr>
          <w:rFonts w:ascii="Arial" w:hAnsi="Arial" w:cs="Arial"/>
          <w:color w:val="242424"/>
          <w:shd w:val="clear" w:color="auto" w:fill="FFFFFF"/>
        </w:rPr>
        <w:t>,</w:t>
      </w:r>
      <w:r>
        <w:rPr>
          <w:rFonts w:ascii="Arial" w:hAnsi="Arial" w:cs="Arial"/>
          <w:color w:val="242424"/>
          <w:shd w:val="clear" w:color="auto" w:fill="FFFFFF"/>
        </w:rPr>
        <w:t xml:space="preserve"> the impact of the inclusion of Substantiated Load category (c). </w:t>
      </w:r>
    </w:p>
    <w:p w14:paraId="7E5615D3" w14:textId="075C68CB" w:rsidR="00233958" w:rsidRDefault="00233958" w:rsidP="00BF768C">
      <w:pPr>
        <w:pStyle w:val="NormalWeb"/>
        <w:rPr>
          <w:rFonts w:ascii="Arial" w:hAnsi="Arial" w:cs="Arial"/>
          <w:color w:val="242424"/>
          <w:shd w:val="clear" w:color="auto" w:fill="FFFFFF"/>
        </w:rPr>
      </w:pPr>
      <w:r>
        <w:rPr>
          <w:rFonts w:ascii="Arial" w:hAnsi="Arial" w:cs="Arial"/>
          <w:color w:val="242424"/>
          <w:shd w:val="clear" w:color="auto" w:fill="FFFFFF"/>
        </w:rPr>
        <w:t xml:space="preserve">In the 2024 RTP, the inclusion of the Substantiated Load category (c) introduced </w:t>
      </w:r>
      <w:r w:rsidR="00603D84">
        <w:rPr>
          <w:rFonts w:ascii="Arial" w:hAnsi="Arial" w:cs="Arial"/>
          <w:color w:val="242424"/>
          <w:shd w:val="clear" w:color="auto" w:fill="FFFFFF"/>
        </w:rPr>
        <w:t xml:space="preserve">a </w:t>
      </w:r>
      <w:r>
        <w:rPr>
          <w:rFonts w:ascii="Arial" w:hAnsi="Arial" w:cs="Arial"/>
          <w:color w:val="242424"/>
          <w:shd w:val="clear" w:color="auto" w:fill="FFFFFF"/>
        </w:rPr>
        <w:t>significant amount of large load additions (more than 40 GW) to the RTP cases. The chart below provide</w:t>
      </w:r>
      <w:r w:rsidR="00603D84">
        <w:rPr>
          <w:rFonts w:ascii="Arial" w:hAnsi="Arial" w:cs="Arial"/>
          <w:color w:val="242424"/>
          <w:shd w:val="clear" w:color="auto" w:fill="FFFFFF"/>
        </w:rPr>
        <w:t>s</w:t>
      </w:r>
      <w:r>
        <w:rPr>
          <w:rFonts w:ascii="Arial" w:hAnsi="Arial" w:cs="Arial"/>
          <w:color w:val="242424"/>
          <w:shd w:val="clear" w:color="auto" w:fill="FFFFFF"/>
        </w:rPr>
        <w:t xml:space="preserve"> </w:t>
      </w:r>
      <w:r w:rsidR="00603D84">
        <w:rPr>
          <w:rFonts w:ascii="Arial" w:hAnsi="Arial" w:cs="Arial"/>
          <w:color w:val="242424"/>
          <w:shd w:val="clear" w:color="auto" w:fill="FFFFFF"/>
        </w:rPr>
        <w:t xml:space="preserve">a </w:t>
      </w:r>
      <w:r>
        <w:rPr>
          <w:rFonts w:ascii="Arial" w:hAnsi="Arial" w:cs="Arial"/>
          <w:color w:val="242424"/>
          <w:shd w:val="clear" w:color="auto" w:fill="FFFFFF"/>
        </w:rPr>
        <w:t xml:space="preserve">comparison of the amount of large load included in the past three RTPs. </w:t>
      </w:r>
    </w:p>
    <w:p w14:paraId="3DA2C0C6" w14:textId="7BDF8332" w:rsidR="00BF768C" w:rsidRPr="00BF768C" w:rsidRDefault="00BF768C" w:rsidP="00BF768C">
      <w:pPr>
        <w:pStyle w:val="NormalWeb"/>
        <w:rPr>
          <w:rFonts w:ascii="Arial" w:hAnsi="Arial" w:cs="Arial"/>
          <w:color w:val="242424"/>
          <w:shd w:val="clear" w:color="auto" w:fill="FFFFFF"/>
        </w:rPr>
      </w:pPr>
      <w:r>
        <w:rPr>
          <w:rFonts w:ascii="Arial" w:hAnsi="Arial" w:cs="Arial"/>
          <w:color w:val="242424"/>
          <w:shd w:val="clear" w:color="auto" w:fill="FFFFFF"/>
        </w:rPr>
        <w:t xml:space="preserve"> </w:t>
      </w:r>
      <w:r w:rsidR="00233958">
        <w:rPr>
          <w:rFonts w:ascii="Arial" w:hAnsi="Arial" w:cs="Arial"/>
          <w:noProof/>
          <w:color w:val="242424"/>
          <w:shd w:val="clear" w:color="auto" w:fill="FFFFFF"/>
        </w:rPr>
        <w:drawing>
          <wp:inline distT="0" distB="0" distL="0" distR="0" wp14:anchorId="266EA542" wp14:editId="7025F972">
            <wp:extent cx="4584700" cy="2755900"/>
            <wp:effectExtent l="0" t="0" r="6350" b="6350"/>
            <wp:docPr id="302722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AA39FFA" w14:textId="09275FA3" w:rsidR="00BF768C" w:rsidRPr="00BF768C" w:rsidRDefault="00233958" w:rsidP="00BF768C">
      <w:pPr>
        <w:pStyle w:val="NormalWeb"/>
        <w:rPr>
          <w:rFonts w:ascii="Arial" w:hAnsi="Arial" w:cs="Arial"/>
          <w:color w:val="242424"/>
          <w:shd w:val="clear" w:color="auto" w:fill="FFFFFF"/>
        </w:rPr>
      </w:pPr>
      <w:r>
        <w:rPr>
          <w:rFonts w:ascii="Arial" w:hAnsi="Arial" w:cs="Arial"/>
          <w:color w:val="242424"/>
          <w:shd w:val="clear" w:color="auto" w:fill="FFFFFF"/>
        </w:rPr>
        <w:t xml:space="preserve">The significant </w:t>
      </w:r>
      <w:r w:rsidR="00603D84">
        <w:rPr>
          <w:rFonts w:ascii="Arial" w:hAnsi="Arial" w:cs="Arial"/>
          <w:color w:val="242424"/>
          <w:shd w:val="clear" w:color="auto" w:fill="FFFFFF"/>
        </w:rPr>
        <w:t xml:space="preserve">increase in </w:t>
      </w:r>
      <w:r>
        <w:rPr>
          <w:rFonts w:ascii="Arial" w:hAnsi="Arial" w:cs="Arial"/>
          <w:color w:val="242424"/>
          <w:shd w:val="clear" w:color="auto" w:fill="FFFFFF"/>
        </w:rPr>
        <w:t xml:space="preserve">large load in the </w:t>
      </w:r>
      <w:r w:rsidR="00603D84">
        <w:rPr>
          <w:rFonts w:ascii="Arial" w:hAnsi="Arial" w:cs="Arial"/>
          <w:color w:val="242424"/>
          <w:shd w:val="clear" w:color="auto" w:fill="FFFFFF"/>
        </w:rPr>
        <w:t xml:space="preserve">2024 </w:t>
      </w:r>
      <w:r>
        <w:rPr>
          <w:rFonts w:ascii="Arial" w:hAnsi="Arial" w:cs="Arial"/>
          <w:color w:val="242424"/>
          <w:shd w:val="clear" w:color="auto" w:fill="FFFFFF"/>
        </w:rPr>
        <w:t xml:space="preserve">RTP cases resulted in </w:t>
      </w:r>
      <w:r w:rsidR="00603D84">
        <w:rPr>
          <w:rFonts w:ascii="Arial" w:hAnsi="Arial" w:cs="Arial"/>
          <w:color w:val="242424"/>
          <w:shd w:val="clear" w:color="auto" w:fill="FFFFFF"/>
        </w:rPr>
        <w:t xml:space="preserve">a </w:t>
      </w:r>
      <w:r>
        <w:rPr>
          <w:rFonts w:ascii="Arial" w:hAnsi="Arial" w:cs="Arial"/>
          <w:color w:val="242424"/>
          <w:shd w:val="clear" w:color="auto" w:fill="FFFFFF"/>
        </w:rPr>
        <w:t>significant increase in reliability violations</w:t>
      </w:r>
      <w:r w:rsidR="00603D84">
        <w:rPr>
          <w:rFonts w:ascii="Arial" w:hAnsi="Arial" w:cs="Arial"/>
          <w:color w:val="242424"/>
          <w:shd w:val="clear" w:color="auto" w:fill="FFFFFF"/>
        </w:rPr>
        <w:t xml:space="preserve"> identified</w:t>
      </w:r>
      <w:r w:rsidR="00D04A42">
        <w:rPr>
          <w:rFonts w:ascii="Arial" w:hAnsi="Arial" w:cs="Arial"/>
          <w:color w:val="242424"/>
          <w:shd w:val="clear" w:color="auto" w:fill="FFFFFF"/>
        </w:rPr>
        <w:t xml:space="preserve"> </w:t>
      </w:r>
      <w:r w:rsidR="00603D84">
        <w:rPr>
          <w:rFonts w:ascii="Arial" w:hAnsi="Arial" w:cs="Arial"/>
          <w:color w:val="242424"/>
          <w:shd w:val="clear" w:color="auto" w:fill="FFFFFF"/>
        </w:rPr>
        <w:t xml:space="preserve">and </w:t>
      </w:r>
      <w:r w:rsidR="00D04A42">
        <w:rPr>
          <w:rFonts w:ascii="Arial" w:hAnsi="Arial" w:cs="Arial"/>
          <w:color w:val="242424"/>
          <w:shd w:val="clear" w:color="auto" w:fill="FFFFFF"/>
        </w:rPr>
        <w:t xml:space="preserve">thus </w:t>
      </w:r>
      <w:r w:rsidR="00603D84">
        <w:rPr>
          <w:rFonts w:ascii="Arial" w:hAnsi="Arial" w:cs="Arial"/>
          <w:color w:val="242424"/>
          <w:shd w:val="clear" w:color="auto" w:fill="FFFFFF"/>
        </w:rPr>
        <w:t xml:space="preserve">will also significantly increase </w:t>
      </w:r>
      <w:r w:rsidR="00D04A42">
        <w:rPr>
          <w:rFonts w:ascii="Arial" w:hAnsi="Arial" w:cs="Arial"/>
          <w:color w:val="242424"/>
          <w:shd w:val="clear" w:color="auto" w:fill="FFFFFF"/>
        </w:rPr>
        <w:t xml:space="preserve">the </w:t>
      </w:r>
      <w:r w:rsidR="00603D84">
        <w:rPr>
          <w:rFonts w:ascii="Arial" w:hAnsi="Arial" w:cs="Arial"/>
          <w:color w:val="242424"/>
          <w:shd w:val="clear" w:color="auto" w:fill="FFFFFF"/>
        </w:rPr>
        <w:t>need for new</w:t>
      </w:r>
      <w:r w:rsidR="00D04A42">
        <w:rPr>
          <w:rFonts w:ascii="Arial" w:hAnsi="Arial" w:cs="Arial"/>
          <w:color w:val="242424"/>
          <w:shd w:val="clear" w:color="auto" w:fill="FFFFFF"/>
        </w:rPr>
        <w:t xml:space="preserve"> transmission projects</w:t>
      </w:r>
      <w:r>
        <w:rPr>
          <w:rFonts w:ascii="Arial" w:hAnsi="Arial" w:cs="Arial"/>
          <w:color w:val="242424"/>
          <w:shd w:val="clear" w:color="auto" w:fill="FFFFFF"/>
        </w:rPr>
        <w:t xml:space="preserve">. The charts below provided a comparison of the number of projects </w:t>
      </w:r>
      <w:r w:rsidR="00603D84">
        <w:rPr>
          <w:rFonts w:ascii="Arial" w:hAnsi="Arial" w:cs="Arial"/>
          <w:color w:val="242424"/>
          <w:shd w:val="clear" w:color="auto" w:fill="FFFFFF"/>
        </w:rPr>
        <w:t xml:space="preserve">identified in ERCOT’s RTP </w:t>
      </w:r>
      <w:r>
        <w:rPr>
          <w:rFonts w:ascii="Arial" w:hAnsi="Arial" w:cs="Arial"/>
          <w:color w:val="242424"/>
          <w:shd w:val="clear" w:color="auto" w:fill="FFFFFF"/>
        </w:rPr>
        <w:t>from 2018 to 2024. Since the 2024 RTP is still underway, the 2024 projects are for N-1 contingency analysis only. To provide some context, the number of N-1 project</w:t>
      </w:r>
      <w:r w:rsidR="00D04A42">
        <w:rPr>
          <w:rFonts w:ascii="Arial" w:hAnsi="Arial" w:cs="Arial"/>
          <w:color w:val="242424"/>
          <w:shd w:val="clear" w:color="auto" w:fill="FFFFFF"/>
        </w:rPr>
        <w:t>s</w:t>
      </w:r>
      <w:r>
        <w:rPr>
          <w:rFonts w:ascii="Arial" w:hAnsi="Arial" w:cs="Arial"/>
          <w:color w:val="242424"/>
          <w:shd w:val="clear" w:color="auto" w:fill="FFFFFF"/>
        </w:rPr>
        <w:t xml:space="preserve"> in 2023 RTP is about only a half of the </w:t>
      </w:r>
      <w:r w:rsidR="00603D84">
        <w:rPr>
          <w:rFonts w:ascii="Arial" w:hAnsi="Arial" w:cs="Arial"/>
          <w:color w:val="242424"/>
          <w:shd w:val="clear" w:color="auto" w:fill="FFFFFF"/>
        </w:rPr>
        <w:t xml:space="preserve">number of </w:t>
      </w:r>
      <w:r>
        <w:rPr>
          <w:rFonts w:ascii="Arial" w:hAnsi="Arial" w:cs="Arial"/>
          <w:color w:val="242424"/>
          <w:shd w:val="clear" w:color="auto" w:fill="FFFFFF"/>
        </w:rPr>
        <w:t>2024 RTP</w:t>
      </w:r>
      <w:r w:rsidR="00D04A42">
        <w:rPr>
          <w:rFonts w:ascii="Arial" w:hAnsi="Arial" w:cs="Arial"/>
          <w:color w:val="242424"/>
          <w:shd w:val="clear" w:color="auto" w:fill="FFFFFF"/>
        </w:rPr>
        <w:t xml:space="preserve"> N-1 projects</w:t>
      </w:r>
      <w:r>
        <w:rPr>
          <w:rFonts w:ascii="Arial" w:hAnsi="Arial" w:cs="Arial"/>
          <w:color w:val="242424"/>
          <w:shd w:val="clear" w:color="auto" w:fill="FFFFFF"/>
        </w:rPr>
        <w:t xml:space="preserve">. </w:t>
      </w:r>
    </w:p>
    <w:p w14:paraId="69F9D565" w14:textId="7031D846" w:rsidR="00BF768C" w:rsidRDefault="00233958" w:rsidP="00C219B2">
      <w:pPr>
        <w:pStyle w:val="NormalWeb"/>
        <w:jc w:val="both"/>
        <w:rPr>
          <w:rFonts w:ascii="Arial" w:hAnsi="Arial" w:cs="Arial"/>
          <w:color w:val="242424"/>
          <w:shd w:val="clear" w:color="auto" w:fill="FFFFFF"/>
        </w:rPr>
      </w:pPr>
      <w:r>
        <w:rPr>
          <w:rFonts w:ascii="Arial" w:hAnsi="Arial" w:cs="Arial"/>
          <w:noProof/>
          <w:color w:val="242424"/>
          <w:shd w:val="clear" w:color="auto" w:fill="FFFFFF"/>
        </w:rPr>
        <w:lastRenderedPageBreak/>
        <w:drawing>
          <wp:inline distT="0" distB="0" distL="0" distR="0" wp14:anchorId="537E4FF6" wp14:editId="7E79314A">
            <wp:extent cx="4584700" cy="2755900"/>
            <wp:effectExtent l="0" t="0" r="6350" b="6350"/>
            <wp:docPr id="1258605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255AB4E" w14:textId="77777777" w:rsidR="00BD7258" w:rsidRDefault="00BD7258" w:rsidP="00BD7258">
      <w:pPr>
        <w:pStyle w:val="NormalArial"/>
      </w:pPr>
    </w:p>
    <w:p w14:paraId="2B996E22" w14:textId="6C6A750A" w:rsidR="00BD7258" w:rsidRDefault="004951CB" w:rsidP="00BD7258">
      <w:pPr>
        <w:pStyle w:val="NormalArial"/>
      </w:pPr>
      <w:r>
        <w:t xml:space="preserve">The additional large load not only requires more transmission projects, </w:t>
      </w:r>
      <w:proofErr w:type="gramStart"/>
      <w:r w:rsidR="001205CE">
        <w:t>it</w:t>
      </w:r>
      <w:proofErr w:type="gramEnd"/>
      <w:r>
        <w:t xml:space="preserve"> also requires more projects </w:t>
      </w:r>
      <w:r w:rsidR="001205CE">
        <w:t xml:space="preserve">at </w:t>
      </w:r>
      <w:r>
        <w:t xml:space="preserve">the 345-kV level. The chart below provides a comparison of 345-kV line rebuild/upgrade/addition </w:t>
      </w:r>
      <w:r w:rsidR="001205CE">
        <w:t xml:space="preserve">in the </w:t>
      </w:r>
      <w:r>
        <w:t xml:space="preserve">2023 RTP and </w:t>
      </w:r>
      <w:r w:rsidR="001205CE">
        <w:t xml:space="preserve">the </w:t>
      </w:r>
      <w:r>
        <w:t>2024 RTP N-1 analysis.</w:t>
      </w:r>
      <w:r w:rsidR="001205CE">
        <w:t xml:space="preserve">  Again, the 2024 figures do not include additional projects that will be identified in the RTP using something other than an N-1 analysis.</w:t>
      </w:r>
    </w:p>
    <w:p w14:paraId="29ED94F2" w14:textId="77777777" w:rsidR="004951CB" w:rsidRDefault="004951CB" w:rsidP="00BD7258">
      <w:pPr>
        <w:pStyle w:val="NormalArial"/>
      </w:pPr>
    </w:p>
    <w:p w14:paraId="7962A9EF" w14:textId="2D7B6B9B" w:rsidR="004951CB" w:rsidRDefault="004951CB" w:rsidP="00BD7258">
      <w:pPr>
        <w:pStyle w:val="NormalArial"/>
      </w:pPr>
      <w:r>
        <w:rPr>
          <w:noProof/>
        </w:rPr>
        <w:drawing>
          <wp:inline distT="0" distB="0" distL="0" distR="0" wp14:anchorId="49EB6659" wp14:editId="645BB6A9">
            <wp:extent cx="4584700" cy="2755900"/>
            <wp:effectExtent l="0" t="0" r="6350" b="6350"/>
            <wp:docPr id="451147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5848DE0" w14:textId="77777777" w:rsidR="004951CB" w:rsidRDefault="004951CB" w:rsidP="00BD7258">
      <w:pPr>
        <w:pStyle w:val="NormalArial"/>
      </w:pPr>
    </w:p>
    <w:p w14:paraId="377A9034" w14:textId="4B18F2C0" w:rsidR="004951CB" w:rsidRDefault="00531762" w:rsidP="00BD7258">
      <w:pPr>
        <w:pStyle w:val="NormalArial"/>
      </w:pPr>
      <w:r>
        <w:t xml:space="preserve">While the 2024 RTP is still underway, it is anticipated that </w:t>
      </w:r>
      <w:r w:rsidR="001205CE">
        <w:t xml:space="preserve">a </w:t>
      </w:r>
      <w:r>
        <w:t xml:space="preserve">similar impact will continue for the analysis with prior outage conditions </w:t>
      </w:r>
      <w:r w:rsidR="001205CE">
        <w:t>(</w:t>
      </w:r>
      <w:r>
        <w:t>including maintenance outage conditions</w:t>
      </w:r>
      <w:r w:rsidR="001205CE">
        <w:t>)</w:t>
      </w:r>
      <w:r>
        <w:t>.</w:t>
      </w:r>
    </w:p>
    <w:p w14:paraId="70E70F5D" w14:textId="77777777" w:rsidR="00531762" w:rsidRDefault="00531762" w:rsidP="00BD7258">
      <w:pPr>
        <w:pStyle w:val="NormalArial"/>
      </w:pPr>
    </w:p>
    <w:p w14:paraId="5BC325F8" w14:textId="1969C6AF" w:rsidR="00531762" w:rsidRDefault="00531762" w:rsidP="00BD7258">
      <w:pPr>
        <w:pStyle w:val="NormalArial"/>
      </w:pPr>
      <w:r>
        <w:t xml:space="preserve">It is also anticipated that other </w:t>
      </w:r>
      <w:r w:rsidR="001205CE">
        <w:t xml:space="preserve">studies under </w:t>
      </w:r>
      <w:r>
        <w:t>NERC Reliability Standard TPL-001-5.1</w:t>
      </w:r>
      <w:r w:rsidR="001205CE">
        <w:t>,</w:t>
      </w:r>
      <w:r>
        <w:t xml:space="preserve"> such as P2, P4, P5 and extreme events analysis</w:t>
      </w:r>
      <w:r w:rsidR="00D02B98">
        <w:t xml:space="preserve"> (multiple-element analysis)</w:t>
      </w:r>
      <w:r w:rsidR="001205CE">
        <w:t>,</w:t>
      </w:r>
      <w:r>
        <w:t xml:space="preserve"> will also be significantly impacted. The chart below shows the increase </w:t>
      </w:r>
      <w:r w:rsidR="001205CE">
        <w:t xml:space="preserve">in </w:t>
      </w:r>
      <w:r>
        <w:t>the reportable multiple-</w:t>
      </w:r>
      <w:r>
        <w:lastRenderedPageBreak/>
        <w:t xml:space="preserve">element analysis events from 2018 and 2023. </w:t>
      </w:r>
      <w:r w:rsidR="001205CE">
        <w:t>R</w:t>
      </w:r>
      <w:r w:rsidR="00D02B98">
        <w:t xml:space="preserve">eportable events </w:t>
      </w:r>
      <w:r w:rsidR="001205CE">
        <w:t>include those</w:t>
      </w:r>
      <w:r w:rsidR="00D02B98">
        <w:t xml:space="preserve"> that may lead to cascading</w:t>
      </w:r>
      <w:r w:rsidR="001205CE">
        <w:t xml:space="preserve"> or</w:t>
      </w:r>
      <w:r w:rsidR="00D02B98">
        <w:t xml:space="preserve"> instability</w:t>
      </w:r>
      <w:r w:rsidR="001205CE">
        <w:t>,</w:t>
      </w:r>
      <w:r w:rsidR="00D02B98">
        <w:t xml:space="preserve"> or </w:t>
      </w:r>
      <w:r w:rsidR="001205CE">
        <w:t xml:space="preserve">that </w:t>
      </w:r>
      <w:r w:rsidR="00D02B98">
        <w:t xml:space="preserve">require </w:t>
      </w:r>
      <w:r w:rsidR="001205CE">
        <w:t xml:space="preserve">load-shedding of </w:t>
      </w:r>
      <w:r w:rsidR="00D02B98">
        <w:t xml:space="preserve">300 MW </w:t>
      </w:r>
      <w:r w:rsidR="00F02C36">
        <w:t>or more</w:t>
      </w:r>
      <w:r w:rsidR="00D02B98">
        <w:t xml:space="preserve">. </w:t>
      </w:r>
    </w:p>
    <w:p w14:paraId="29B5C962" w14:textId="5FF136EB" w:rsidR="00531762" w:rsidRDefault="00531762" w:rsidP="00BD7258">
      <w:pPr>
        <w:pStyle w:val="NormalArial"/>
      </w:pPr>
      <w:r>
        <w:rPr>
          <w:noProof/>
        </w:rPr>
        <w:drawing>
          <wp:inline distT="0" distB="0" distL="0" distR="0" wp14:anchorId="71DFECE8" wp14:editId="59244829">
            <wp:extent cx="4584700" cy="2755900"/>
            <wp:effectExtent l="0" t="0" r="6350" b="6350"/>
            <wp:docPr id="772296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AA01D3A" w14:textId="77777777" w:rsidR="004951CB" w:rsidRDefault="004951CB" w:rsidP="00BD7258">
      <w:pPr>
        <w:pStyle w:val="NormalArial"/>
      </w:pPr>
    </w:p>
    <w:p w14:paraId="2D26D745" w14:textId="73925E72" w:rsidR="00642136" w:rsidRDefault="00642136" w:rsidP="00BD7258">
      <w:pPr>
        <w:pStyle w:val="NormalArial"/>
      </w:pPr>
    </w:p>
    <w:p w14:paraId="3AA8B1EB" w14:textId="09F7F774" w:rsidR="00642136" w:rsidRDefault="00642136" w:rsidP="00642136">
      <w:pPr>
        <w:pStyle w:val="NormalArial"/>
      </w:pPr>
      <w:r>
        <w:t xml:space="preserve">With the significant increase in reliability violations and transmission projects </w:t>
      </w:r>
      <w:r w:rsidR="001205CE">
        <w:t>observed thus far</w:t>
      </w:r>
      <w:r>
        <w:t xml:space="preserve"> in the 2024 RTP, it is expected that more RPG submittals especially Tier 1 and Tier 2 RPG submittals will come in to facilitate the interconnection of those load loads. ERCOT has already seen a significant increase in the number of Tier 1 RPG submittals since 2020 and expects this number to increase in 2025. As of August 31, 2024, ERCOT has endorsed four (4) Tier 1 and three (3) Tier 2 projects and is currently evaluating seven (7) Tier 1 and two (2) Tier 2 projects. </w:t>
      </w:r>
    </w:p>
    <w:p w14:paraId="74BE49FA" w14:textId="77777777" w:rsidR="00642136" w:rsidRDefault="00642136" w:rsidP="00642136">
      <w:pPr>
        <w:pStyle w:val="NormalArial"/>
      </w:pPr>
    </w:p>
    <w:p w14:paraId="4328F235" w14:textId="77777777" w:rsidR="00642136" w:rsidRDefault="00642136" w:rsidP="00642136">
      <w:pPr>
        <w:pStyle w:val="NormalArial"/>
        <w:jc w:val="center"/>
      </w:pPr>
      <w:r>
        <w:rPr>
          <w:noProof/>
        </w:rPr>
        <w:lastRenderedPageBreak/>
        <w:drawing>
          <wp:inline distT="0" distB="0" distL="0" distR="0" wp14:anchorId="692171D0" wp14:editId="43183099">
            <wp:extent cx="4483100" cy="3496666"/>
            <wp:effectExtent l="0" t="0" r="12700" b="8890"/>
            <wp:docPr id="452345255" name="Chart 1">
              <a:extLst xmlns:a="http://schemas.openxmlformats.org/drawingml/2006/main">
                <a:ext uri="{FF2B5EF4-FFF2-40B4-BE49-F238E27FC236}">
                  <a16:creationId xmlns:a16="http://schemas.microsoft.com/office/drawing/2014/main" id="{EBAB8A97-8747-0979-659C-8682CDC30A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E0B4CC" w14:textId="77777777" w:rsidR="00642136" w:rsidRDefault="00642136" w:rsidP="00642136">
      <w:pPr>
        <w:pStyle w:val="NormalArial"/>
      </w:pPr>
    </w:p>
    <w:p w14:paraId="0B84ABE9" w14:textId="63960A46" w:rsidR="00642136" w:rsidRDefault="00642136" w:rsidP="00642136">
      <w:pPr>
        <w:pStyle w:val="NormalArial"/>
      </w:pPr>
      <w:r>
        <w:t xml:space="preserve">ERCOT is expecting an additional increase in the number of annual RPG submissions based on the </w:t>
      </w:r>
      <w:r>
        <w:rPr>
          <w:rFonts w:cs="Arial"/>
          <w:color w:val="242424"/>
          <w:shd w:val="clear" w:color="auto" w:fill="FFFFFF"/>
        </w:rPr>
        <w:t>inclusion of Substantiated Load category (c). ER</w:t>
      </w:r>
      <w:r w:rsidR="001205CE">
        <w:rPr>
          <w:rFonts w:cs="Arial"/>
          <w:color w:val="242424"/>
          <w:shd w:val="clear" w:color="auto" w:fill="FFFFFF"/>
        </w:rPr>
        <w:t>C</w:t>
      </w:r>
      <w:r>
        <w:rPr>
          <w:rFonts w:cs="Arial"/>
          <w:color w:val="242424"/>
          <w:shd w:val="clear" w:color="auto" w:fill="FFFFFF"/>
        </w:rPr>
        <w:t>OT estimates five (5) additional Tier 1, Tier 2 and Tier 3 project submissions will need to be evaluated each year for the next five (5) years to address the current number of Substantiated Load category (c) submissions received.</w:t>
      </w:r>
    </w:p>
    <w:p w14:paraId="7BC3CD27" w14:textId="77777777" w:rsidR="00642136" w:rsidRDefault="00642136" w:rsidP="00642136">
      <w:pPr>
        <w:pStyle w:val="NormalArial"/>
        <w:jc w:val="center"/>
      </w:pPr>
    </w:p>
    <w:p w14:paraId="21A24443" w14:textId="77777777" w:rsidR="00642136" w:rsidRDefault="00642136" w:rsidP="00642136">
      <w:pPr>
        <w:pStyle w:val="NormalArial"/>
        <w:jc w:val="center"/>
      </w:pPr>
      <w:r>
        <w:rPr>
          <w:noProof/>
        </w:rPr>
        <w:drawing>
          <wp:inline distT="0" distB="0" distL="0" distR="0" wp14:anchorId="120D36FA" wp14:editId="2002BCAF">
            <wp:extent cx="4498658" cy="2809875"/>
            <wp:effectExtent l="0" t="0" r="16510" b="9525"/>
            <wp:docPr id="803036370" name="Chart 1">
              <a:extLst xmlns:a="http://schemas.openxmlformats.org/drawingml/2006/main">
                <a:ext uri="{FF2B5EF4-FFF2-40B4-BE49-F238E27FC236}">
                  <a16:creationId xmlns:a16="http://schemas.microsoft.com/office/drawing/2014/main" id="{E1E1B6D7-36E5-B04C-BCB9-4894B0033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37D137" w14:textId="77777777" w:rsidR="00642136" w:rsidRDefault="00642136" w:rsidP="00BD7258">
      <w:pPr>
        <w:pStyle w:val="NormalArial"/>
      </w:pPr>
    </w:p>
    <w:p w14:paraId="596DAAC7" w14:textId="77777777" w:rsidR="00492A7B" w:rsidRDefault="00492A7B" w:rsidP="00BD7258">
      <w:pPr>
        <w:pStyle w:val="NormalArial"/>
      </w:pPr>
    </w:p>
    <w:p w14:paraId="77ACC8EF" w14:textId="16B4E668" w:rsidR="003F1BA1" w:rsidRDefault="00C4275D" w:rsidP="00BD7258">
      <w:pPr>
        <w:pStyle w:val="NormalArial"/>
      </w:pPr>
      <w:r>
        <w:lastRenderedPageBreak/>
        <w:t>ERCOT</w:t>
      </w:r>
      <w:r w:rsidRPr="00492A7B">
        <w:t xml:space="preserve"> </w:t>
      </w:r>
      <w:r w:rsidR="00492A7B" w:rsidRPr="00492A7B">
        <w:t xml:space="preserve">also </w:t>
      </w:r>
      <w:r w:rsidR="00E222EA">
        <w:t xml:space="preserve">anticipates that it will </w:t>
      </w:r>
      <w:r w:rsidR="00492A7B" w:rsidRPr="00492A7B">
        <w:t>need additional engineer</w:t>
      </w:r>
      <w:r w:rsidR="00E222EA">
        <w:t>ing staff</w:t>
      </w:r>
      <w:r w:rsidR="00492A7B" w:rsidRPr="00492A7B">
        <w:t xml:space="preserve"> </w:t>
      </w:r>
      <w:r w:rsidR="00E222EA">
        <w:t>to conduct</w:t>
      </w:r>
      <w:r w:rsidR="00E222EA" w:rsidRPr="00492A7B">
        <w:t xml:space="preserve"> </w:t>
      </w:r>
      <w:r w:rsidR="00492A7B" w:rsidRPr="00492A7B">
        <w:t xml:space="preserve">dynamic stability studies. </w:t>
      </w:r>
      <w:r w:rsidR="00F4665C">
        <w:t xml:space="preserve">The </w:t>
      </w:r>
      <w:r w:rsidR="00492A7B" w:rsidRPr="00492A7B">
        <w:t xml:space="preserve">regulatory changes </w:t>
      </w:r>
      <w:r w:rsidR="00F4665C">
        <w:t xml:space="preserve">will </w:t>
      </w:r>
      <w:r w:rsidR="00492A7B" w:rsidRPr="00492A7B">
        <w:t xml:space="preserve">expand </w:t>
      </w:r>
      <w:r w:rsidR="00F4665C">
        <w:t>the</w:t>
      </w:r>
      <w:r w:rsidR="00492A7B" w:rsidRPr="00492A7B">
        <w:t xml:space="preserve"> </w:t>
      </w:r>
      <w:r w:rsidR="00E222EA">
        <w:t xml:space="preserve">current </w:t>
      </w:r>
      <w:r w:rsidR="00492A7B" w:rsidRPr="00492A7B">
        <w:t>work</w:t>
      </w:r>
      <w:r w:rsidR="00E222EA">
        <w:t>load of this group</w:t>
      </w:r>
      <w:r w:rsidR="00492A7B" w:rsidRPr="00492A7B">
        <w:t xml:space="preserve"> </w:t>
      </w:r>
      <w:r w:rsidR="00E222EA">
        <w:t>due</w:t>
      </w:r>
      <w:r w:rsidR="00E222EA" w:rsidRPr="00492A7B">
        <w:t xml:space="preserve"> </w:t>
      </w:r>
      <w:r w:rsidR="00492A7B" w:rsidRPr="00492A7B">
        <w:t xml:space="preserve">to a significant increase in load expected in the </w:t>
      </w:r>
      <w:r w:rsidR="00F4665C">
        <w:t xml:space="preserve">ERCOT </w:t>
      </w:r>
      <w:r w:rsidR="00492A7B" w:rsidRPr="00492A7B">
        <w:t>planning cases</w:t>
      </w:r>
      <w:r w:rsidR="00F4665C">
        <w:t xml:space="preserve"> developed by ERCOT Steady-</w:t>
      </w:r>
      <w:r w:rsidR="00E222EA">
        <w:t>S</w:t>
      </w:r>
      <w:r w:rsidR="00F4665C">
        <w:t>tate Working Group (</w:t>
      </w:r>
      <w:r w:rsidR="00492A7B" w:rsidRPr="00492A7B">
        <w:t>SSWG</w:t>
      </w:r>
      <w:r w:rsidR="00F4665C">
        <w:t>)</w:t>
      </w:r>
      <w:r w:rsidR="00492A7B" w:rsidRPr="00492A7B">
        <w:t xml:space="preserve"> and </w:t>
      </w:r>
      <w:r w:rsidR="00F4665C">
        <w:t>Dynamic Working Group (</w:t>
      </w:r>
      <w:r w:rsidR="00492A7B" w:rsidRPr="00492A7B">
        <w:t>DWG</w:t>
      </w:r>
      <w:r w:rsidR="00F4665C">
        <w:t>)</w:t>
      </w:r>
      <w:r w:rsidR="00492A7B" w:rsidRPr="00492A7B">
        <w:t xml:space="preserve">. </w:t>
      </w:r>
      <w:r w:rsidR="00F4665C">
        <w:t xml:space="preserve">The increase </w:t>
      </w:r>
      <w:r w:rsidR="00492A7B" w:rsidRPr="00492A7B">
        <w:t>in load</w:t>
      </w:r>
      <w:r w:rsidR="00F4665C">
        <w:t xml:space="preserve"> in the planning cases</w:t>
      </w:r>
      <w:r w:rsidR="00492A7B" w:rsidRPr="00492A7B">
        <w:t xml:space="preserve"> </w:t>
      </w:r>
      <w:r w:rsidR="00F4665C">
        <w:t xml:space="preserve">will </w:t>
      </w:r>
      <w:r w:rsidR="00E222EA">
        <w:t xml:space="preserve">also </w:t>
      </w:r>
      <w:r w:rsidR="00492A7B" w:rsidRPr="00492A7B">
        <w:t xml:space="preserve">create additional challenges </w:t>
      </w:r>
      <w:r w:rsidR="00F4665C">
        <w:t xml:space="preserve">(e.g., DWG flat start case development and dynamic load modeling) </w:t>
      </w:r>
      <w:r w:rsidR="00492A7B" w:rsidRPr="00492A7B">
        <w:t xml:space="preserve">and </w:t>
      </w:r>
      <w:r w:rsidR="00F4665C">
        <w:t>potential</w:t>
      </w:r>
      <w:r w:rsidR="00E222EA">
        <w:t>ly additional</w:t>
      </w:r>
      <w:r w:rsidR="00F4665C">
        <w:t xml:space="preserve"> reliability issue</w:t>
      </w:r>
      <w:r w:rsidR="00E222EA">
        <w:t>s</w:t>
      </w:r>
      <w:r w:rsidR="00F4665C">
        <w:t xml:space="preserve"> </w:t>
      </w:r>
      <w:r w:rsidR="00492A7B" w:rsidRPr="00492A7B">
        <w:t xml:space="preserve">in </w:t>
      </w:r>
      <w:r w:rsidR="00F4665C">
        <w:t xml:space="preserve">the </w:t>
      </w:r>
      <w:r w:rsidR="00492A7B" w:rsidRPr="00492A7B">
        <w:t xml:space="preserve">annual stability </w:t>
      </w:r>
      <w:r w:rsidR="00F4665C">
        <w:t>assessment</w:t>
      </w:r>
      <w:r w:rsidR="00492A7B" w:rsidRPr="00492A7B">
        <w:t xml:space="preserve">, </w:t>
      </w:r>
      <w:r w:rsidR="00E222EA">
        <w:t xml:space="preserve">and could also result in an </w:t>
      </w:r>
      <w:r>
        <w:t>increase</w:t>
      </w:r>
      <w:r w:rsidRPr="00492A7B">
        <w:t xml:space="preserve"> </w:t>
      </w:r>
      <w:r w:rsidR="00492A7B" w:rsidRPr="00492A7B">
        <w:t xml:space="preserve">in transmission projects and RPG submissions </w:t>
      </w:r>
      <w:r w:rsidR="00F4665C">
        <w:t>requiring dynamic stability studies</w:t>
      </w:r>
      <w:r w:rsidR="00492A7B" w:rsidRPr="00492A7B">
        <w:t xml:space="preserve">. </w:t>
      </w:r>
    </w:p>
    <w:p w14:paraId="7A68848B" w14:textId="77777777" w:rsidR="003F1BA1" w:rsidRDefault="003F1BA1" w:rsidP="00BD7258">
      <w:pPr>
        <w:pStyle w:val="NormalArial"/>
      </w:pPr>
    </w:p>
    <w:p w14:paraId="3CFD31BE" w14:textId="589475BE" w:rsidR="003F1BA1" w:rsidRDefault="003F1BA1" w:rsidP="00BD7258">
      <w:pPr>
        <w:pStyle w:val="NormalArial"/>
      </w:pPr>
      <w:r>
        <w:t xml:space="preserve">For </w:t>
      </w:r>
      <w:r w:rsidR="00E222EA">
        <w:t>l</w:t>
      </w:r>
      <w:r>
        <w:t>ong-</w:t>
      </w:r>
      <w:r w:rsidR="00E222EA">
        <w:t>t</w:t>
      </w:r>
      <w:r>
        <w:t xml:space="preserve">erm </w:t>
      </w:r>
      <w:r w:rsidR="00E222EA">
        <w:t>l</w:t>
      </w:r>
      <w:r>
        <w:t xml:space="preserve">oad </w:t>
      </w:r>
      <w:r w:rsidR="00E222EA">
        <w:t>f</w:t>
      </w:r>
      <w:r>
        <w:t>orecasting</w:t>
      </w:r>
      <w:r w:rsidR="00E222EA">
        <w:t>,</w:t>
      </w:r>
      <w:r>
        <w:t xml:space="preserve"> an additional analyst is needed for requesting information from TDSPs, updating contracts, </w:t>
      </w:r>
      <w:r w:rsidR="00E222EA">
        <w:t xml:space="preserve">reviewing </w:t>
      </w:r>
      <w:r>
        <w:t xml:space="preserve">officer letters, and </w:t>
      </w:r>
      <w:r w:rsidR="00E222EA">
        <w:t xml:space="preserve">identifying </w:t>
      </w:r>
      <w:r>
        <w:t xml:space="preserve">additional loads to be studied. This position will also have the objective of researching loads, generating profiles, and integrating this data into the forecast waterfalls in the Long-Term Load Forecast.  </w:t>
      </w:r>
    </w:p>
    <w:p w14:paraId="221ECD0A" w14:textId="77777777" w:rsidR="00531762" w:rsidRDefault="00531762"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C35BF5E" w14:textId="77777777" w:rsidTr="00B5080A">
        <w:trPr>
          <w:trHeight w:val="350"/>
        </w:trPr>
        <w:tc>
          <w:tcPr>
            <w:tcW w:w="10440" w:type="dxa"/>
            <w:tcBorders>
              <w:bottom w:val="single" w:sz="4" w:space="0" w:color="auto"/>
            </w:tcBorders>
            <w:shd w:val="clear" w:color="auto" w:fill="FFFFFF"/>
            <w:vAlign w:val="center"/>
          </w:tcPr>
          <w:p w14:paraId="3822DAEE" w14:textId="3050B652" w:rsidR="00BD7258" w:rsidRDefault="00BD7258" w:rsidP="00B5080A">
            <w:pPr>
              <w:pStyle w:val="Header"/>
              <w:jc w:val="center"/>
            </w:pPr>
            <w:r>
              <w:t>Revised Cover Page Language</w:t>
            </w:r>
          </w:p>
        </w:tc>
      </w:tr>
    </w:tbl>
    <w:p w14:paraId="5752951A" w14:textId="5275E76B" w:rsidR="00BD7258" w:rsidRDefault="00F0095A" w:rsidP="00EB4309">
      <w:pPr>
        <w:pStyle w:val="BodyText"/>
      </w:pPr>
      <w:r w:rsidRPr="000D54E1">
        <w:rPr>
          <w:rFonts w:ascii="Arial" w:hAnsi="Arial" w:cs="Arial"/>
          <w:bCs/>
          <w:color w:val="00000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ACEA36" w14:textId="77777777">
        <w:trPr>
          <w:trHeight w:val="350"/>
        </w:trPr>
        <w:tc>
          <w:tcPr>
            <w:tcW w:w="10440" w:type="dxa"/>
            <w:tcBorders>
              <w:bottom w:val="single" w:sz="4" w:space="0" w:color="auto"/>
            </w:tcBorders>
            <w:shd w:val="clear" w:color="auto" w:fill="FFFFFF"/>
            <w:vAlign w:val="center"/>
          </w:tcPr>
          <w:p w14:paraId="162EDBA4" w14:textId="77777777" w:rsidR="00152993" w:rsidRDefault="00152993">
            <w:pPr>
              <w:pStyle w:val="Header"/>
              <w:jc w:val="center"/>
            </w:pPr>
            <w:r>
              <w:t>Revised Proposed Protocol Language</w:t>
            </w:r>
          </w:p>
        </w:tc>
      </w:tr>
    </w:tbl>
    <w:p w14:paraId="66476CB4" w14:textId="77777777" w:rsidR="00BF768C" w:rsidRPr="000D54E1" w:rsidRDefault="00BF768C" w:rsidP="00BF768C">
      <w:pPr>
        <w:pStyle w:val="BodyText"/>
        <w:rPr>
          <w:rFonts w:ascii="Arial" w:hAnsi="Arial" w:cs="Arial"/>
          <w:bCs/>
          <w:color w:val="000000"/>
        </w:rPr>
      </w:pPr>
      <w:r w:rsidRPr="000D54E1">
        <w:rPr>
          <w:rFonts w:ascii="Arial" w:hAnsi="Arial" w:cs="Arial"/>
          <w:bCs/>
          <w:color w:val="000000"/>
        </w:rPr>
        <w:t>None</w:t>
      </w:r>
    </w:p>
    <w:p w14:paraId="6ECACF3F" w14:textId="77777777" w:rsidR="00152993" w:rsidRDefault="00152993" w:rsidP="00BF768C">
      <w:pPr>
        <w:pStyle w:val="H3"/>
        <w:ind w:left="0" w:firstLine="0"/>
      </w:pPr>
    </w:p>
    <w:sectPr w:rsidR="00152993"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7F63" w14:textId="77777777" w:rsidR="00DC672A" w:rsidRDefault="00DC672A">
      <w:r>
        <w:separator/>
      </w:r>
    </w:p>
  </w:endnote>
  <w:endnote w:type="continuationSeparator" w:id="0">
    <w:p w14:paraId="07C8E1A0" w14:textId="77777777" w:rsidR="00DC672A" w:rsidRDefault="00DC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D18C" w14:textId="38A16E5B" w:rsidR="00EE6681" w:rsidRDefault="00F0095A" w:rsidP="0074209E">
    <w:pPr>
      <w:pStyle w:val="Footer"/>
      <w:tabs>
        <w:tab w:val="clear" w:pos="4320"/>
        <w:tab w:val="clear" w:pos="8640"/>
        <w:tab w:val="right" w:pos="9360"/>
      </w:tabs>
      <w:rPr>
        <w:rFonts w:ascii="Arial" w:hAnsi="Arial"/>
        <w:sz w:val="18"/>
      </w:rPr>
    </w:pPr>
    <w:r>
      <w:rPr>
        <w:rFonts w:ascii="Arial" w:hAnsi="Arial"/>
        <w:sz w:val="18"/>
      </w:rPr>
      <w:t>1</w:t>
    </w:r>
    <w:r w:rsidR="00BF768C">
      <w:rPr>
        <w:rFonts w:ascii="Arial" w:hAnsi="Arial"/>
        <w:sz w:val="18"/>
      </w:rPr>
      <w:t>180</w:t>
    </w:r>
    <w:r>
      <w:rPr>
        <w:rFonts w:ascii="Arial" w:hAnsi="Arial"/>
        <w:sz w:val="18"/>
      </w:rPr>
      <w:t>NPRR-</w:t>
    </w:r>
    <w:r w:rsidR="00EB4309">
      <w:rPr>
        <w:rFonts w:ascii="Arial" w:hAnsi="Arial"/>
        <w:sz w:val="18"/>
      </w:rPr>
      <w:t>15</w:t>
    </w:r>
    <w:r>
      <w:rPr>
        <w:rFonts w:ascii="Arial" w:hAnsi="Arial"/>
        <w:sz w:val="18"/>
      </w:rPr>
      <w:t xml:space="preserve"> </w:t>
    </w:r>
    <w:r w:rsidR="00C2382C">
      <w:rPr>
        <w:rFonts w:ascii="Arial" w:hAnsi="Arial"/>
        <w:sz w:val="18"/>
      </w:rPr>
      <w:t>ERCOT</w:t>
    </w:r>
    <w:r>
      <w:rPr>
        <w:rFonts w:ascii="Arial" w:hAnsi="Arial"/>
        <w:sz w:val="18"/>
      </w:rPr>
      <w:t xml:space="preserve"> Comments 10</w:t>
    </w:r>
    <w:r w:rsidR="00EB4309">
      <w:rPr>
        <w:rFonts w:ascii="Arial" w:hAnsi="Arial"/>
        <w:sz w:val="18"/>
      </w:rPr>
      <w:t>16</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909BEA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D94C" w14:textId="77777777" w:rsidR="00DC672A" w:rsidRDefault="00DC672A">
      <w:r>
        <w:separator/>
      </w:r>
    </w:p>
  </w:footnote>
  <w:footnote w:type="continuationSeparator" w:id="0">
    <w:p w14:paraId="46D3A61A" w14:textId="77777777" w:rsidR="00DC672A" w:rsidRDefault="00DC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5CF2" w14:textId="77777777" w:rsidR="00EE6681" w:rsidRDefault="00EE6681">
    <w:pPr>
      <w:pStyle w:val="Header"/>
      <w:jc w:val="center"/>
      <w:rPr>
        <w:sz w:val="32"/>
      </w:rPr>
    </w:pPr>
    <w:r>
      <w:rPr>
        <w:sz w:val="32"/>
      </w:rPr>
      <w:t>NPRR Comments</w:t>
    </w:r>
  </w:p>
  <w:p w14:paraId="1D7F827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F4A7236"/>
    <w:multiLevelType w:val="hybridMultilevel"/>
    <w:tmpl w:val="8ADE078A"/>
    <w:lvl w:ilvl="0" w:tplc="9392EAB8">
      <w:start w:val="1"/>
      <w:numFmt w:val="bullet"/>
      <w:lvlText w:val="•"/>
      <w:lvlJc w:val="left"/>
      <w:pPr>
        <w:tabs>
          <w:tab w:val="num" w:pos="720"/>
        </w:tabs>
        <w:ind w:left="720" w:hanging="360"/>
      </w:pPr>
      <w:rPr>
        <w:rFonts w:ascii="Arial" w:hAnsi="Arial" w:hint="default"/>
      </w:rPr>
    </w:lvl>
    <w:lvl w:ilvl="1" w:tplc="39802C3E" w:tentative="1">
      <w:start w:val="1"/>
      <w:numFmt w:val="bullet"/>
      <w:lvlText w:val="•"/>
      <w:lvlJc w:val="left"/>
      <w:pPr>
        <w:tabs>
          <w:tab w:val="num" w:pos="1440"/>
        </w:tabs>
        <w:ind w:left="1440" w:hanging="360"/>
      </w:pPr>
      <w:rPr>
        <w:rFonts w:ascii="Arial" w:hAnsi="Arial" w:hint="default"/>
      </w:rPr>
    </w:lvl>
    <w:lvl w:ilvl="2" w:tplc="9084BC90" w:tentative="1">
      <w:start w:val="1"/>
      <w:numFmt w:val="bullet"/>
      <w:lvlText w:val="•"/>
      <w:lvlJc w:val="left"/>
      <w:pPr>
        <w:tabs>
          <w:tab w:val="num" w:pos="2160"/>
        </w:tabs>
        <w:ind w:left="2160" w:hanging="360"/>
      </w:pPr>
      <w:rPr>
        <w:rFonts w:ascii="Arial" w:hAnsi="Arial" w:hint="default"/>
      </w:rPr>
    </w:lvl>
    <w:lvl w:ilvl="3" w:tplc="58FC4AC0" w:tentative="1">
      <w:start w:val="1"/>
      <w:numFmt w:val="bullet"/>
      <w:lvlText w:val="•"/>
      <w:lvlJc w:val="left"/>
      <w:pPr>
        <w:tabs>
          <w:tab w:val="num" w:pos="2880"/>
        </w:tabs>
        <w:ind w:left="2880" w:hanging="360"/>
      </w:pPr>
      <w:rPr>
        <w:rFonts w:ascii="Arial" w:hAnsi="Arial" w:hint="default"/>
      </w:rPr>
    </w:lvl>
    <w:lvl w:ilvl="4" w:tplc="3FD898B2" w:tentative="1">
      <w:start w:val="1"/>
      <w:numFmt w:val="bullet"/>
      <w:lvlText w:val="•"/>
      <w:lvlJc w:val="left"/>
      <w:pPr>
        <w:tabs>
          <w:tab w:val="num" w:pos="3600"/>
        </w:tabs>
        <w:ind w:left="3600" w:hanging="360"/>
      </w:pPr>
      <w:rPr>
        <w:rFonts w:ascii="Arial" w:hAnsi="Arial" w:hint="default"/>
      </w:rPr>
    </w:lvl>
    <w:lvl w:ilvl="5" w:tplc="810E6CC0" w:tentative="1">
      <w:start w:val="1"/>
      <w:numFmt w:val="bullet"/>
      <w:lvlText w:val="•"/>
      <w:lvlJc w:val="left"/>
      <w:pPr>
        <w:tabs>
          <w:tab w:val="num" w:pos="4320"/>
        </w:tabs>
        <w:ind w:left="4320" w:hanging="360"/>
      </w:pPr>
      <w:rPr>
        <w:rFonts w:ascii="Arial" w:hAnsi="Arial" w:hint="default"/>
      </w:rPr>
    </w:lvl>
    <w:lvl w:ilvl="6" w:tplc="8A9CE8C8" w:tentative="1">
      <w:start w:val="1"/>
      <w:numFmt w:val="bullet"/>
      <w:lvlText w:val="•"/>
      <w:lvlJc w:val="left"/>
      <w:pPr>
        <w:tabs>
          <w:tab w:val="num" w:pos="5040"/>
        </w:tabs>
        <w:ind w:left="5040" w:hanging="360"/>
      </w:pPr>
      <w:rPr>
        <w:rFonts w:ascii="Arial" w:hAnsi="Arial" w:hint="default"/>
      </w:rPr>
    </w:lvl>
    <w:lvl w:ilvl="7" w:tplc="D200F876" w:tentative="1">
      <w:start w:val="1"/>
      <w:numFmt w:val="bullet"/>
      <w:lvlText w:val="•"/>
      <w:lvlJc w:val="left"/>
      <w:pPr>
        <w:tabs>
          <w:tab w:val="num" w:pos="5760"/>
        </w:tabs>
        <w:ind w:left="5760" w:hanging="360"/>
      </w:pPr>
      <w:rPr>
        <w:rFonts w:ascii="Arial" w:hAnsi="Arial" w:hint="default"/>
      </w:rPr>
    </w:lvl>
    <w:lvl w:ilvl="8" w:tplc="8D44D4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685AF1"/>
    <w:multiLevelType w:val="hybridMultilevel"/>
    <w:tmpl w:val="50486516"/>
    <w:lvl w:ilvl="0" w:tplc="92F0654A">
      <w:start w:val="1"/>
      <w:numFmt w:val="bullet"/>
      <w:lvlText w:val="•"/>
      <w:lvlJc w:val="left"/>
      <w:pPr>
        <w:tabs>
          <w:tab w:val="num" w:pos="720"/>
        </w:tabs>
        <w:ind w:left="720" w:hanging="360"/>
      </w:pPr>
      <w:rPr>
        <w:rFonts w:ascii="Arial" w:hAnsi="Arial" w:hint="default"/>
      </w:rPr>
    </w:lvl>
    <w:lvl w:ilvl="1" w:tplc="331C1632" w:tentative="1">
      <w:start w:val="1"/>
      <w:numFmt w:val="bullet"/>
      <w:lvlText w:val="•"/>
      <w:lvlJc w:val="left"/>
      <w:pPr>
        <w:tabs>
          <w:tab w:val="num" w:pos="1440"/>
        </w:tabs>
        <w:ind w:left="1440" w:hanging="360"/>
      </w:pPr>
      <w:rPr>
        <w:rFonts w:ascii="Arial" w:hAnsi="Arial" w:hint="default"/>
      </w:rPr>
    </w:lvl>
    <w:lvl w:ilvl="2" w:tplc="CCA8FAAC" w:tentative="1">
      <w:start w:val="1"/>
      <w:numFmt w:val="bullet"/>
      <w:lvlText w:val="•"/>
      <w:lvlJc w:val="left"/>
      <w:pPr>
        <w:tabs>
          <w:tab w:val="num" w:pos="2160"/>
        </w:tabs>
        <w:ind w:left="2160" w:hanging="360"/>
      </w:pPr>
      <w:rPr>
        <w:rFonts w:ascii="Arial" w:hAnsi="Arial" w:hint="default"/>
      </w:rPr>
    </w:lvl>
    <w:lvl w:ilvl="3" w:tplc="453A4730" w:tentative="1">
      <w:start w:val="1"/>
      <w:numFmt w:val="bullet"/>
      <w:lvlText w:val="•"/>
      <w:lvlJc w:val="left"/>
      <w:pPr>
        <w:tabs>
          <w:tab w:val="num" w:pos="2880"/>
        </w:tabs>
        <w:ind w:left="2880" w:hanging="360"/>
      </w:pPr>
      <w:rPr>
        <w:rFonts w:ascii="Arial" w:hAnsi="Arial" w:hint="default"/>
      </w:rPr>
    </w:lvl>
    <w:lvl w:ilvl="4" w:tplc="6BBA2372" w:tentative="1">
      <w:start w:val="1"/>
      <w:numFmt w:val="bullet"/>
      <w:lvlText w:val="•"/>
      <w:lvlJc w:val="left"/>
      <w:pPr>
        <w:tabs>
          <w:tab w:val="num" w:pos="3600"/>
        </w:tabs>
        <w:ind w:left="3600" w:hanging="360"/>
      </w:pPr>
      <w:rPr>
        <w:rFonts w:ascii="Arial" w:hAnsi="Arial" w:hint="default"/>
      </w:rPr>
    </w:lvl>
    <w:lvl w:ilvl="5" w:tplc="478C5DD8" w:tentative="1">
      <w:start w:val="1"/>
      <w:numFmt w:val="bullet"/>
      <w:lvlText w:val="•"/>
      <w:lvlJc w:val="left"/>
      <w:pPr>
        <w:tabs>
          <w:tab w:val="num" w:pos="4320"/>
        </w:tabs>
        <w:ind w:left="4320" w:hanging="360"/>
      </w:pPr>
      <w:rPr>
        <w:rFonts w:ascii="Arial" w:hAnsi="Arial" w:hint="default"/>
      </w:rPr>
    </w:lvl>
    <w:lvl w:ilvl="6" w:tplc="A1F02376" w:tentative="1">
      <w:start w:val="1"/>
      <w:numFmt w:val="bullet"/>
      <w:lvlText w:val="•"/>
      <w:lvlJc w:val="left"/>
      <w:pPr>
        <w:tabs>
          <w:tab w:val="num" w:pos="5040"/>
        </w:tabs>
        <w:ind w:left="5040" w:hanging="360"/>
      </w:pPr>
      <w:rPr>
        <w:rFonts w:ascii="Arial" w:hAnsi="Arial" w:hint="default"/>
      </w:rPr>
    </w:lvl>
    <w:lvl w:ilvl="7" w:tplc="DB68BAA6" w:tentative="1">
      <w:start w:val="1"/>
      <w:numFmt w:val="bullet"/>
      <w:lvlText w:val="•"/>
      <w:lvlJc w:val="left"/>
      <w:pPr>
        <w:tabs>
          <w:tab w:val="num" w:pos="5760"/>
        </w:tabs>
        <w:ind w:left="5760" w:hanging="360"/>
      </w:pPr>
      <w:rPr>
        <w:rFonts w:ascii="Arial" w:hAnsi="Arial" w:hint="default"/>
      </w:rPr>
    </w:lvl>
    <w:lvl w:ilvl="8" w:tplc="086C5C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1702181">
    <w:abstractNumId w:val="0"/>
  </w:num>
  <w:num w:numId="2" w16cid:durableId="525751813">
    <w:abstractNumId w:val="3"/>
  </w:num>
  <w:num w:numId="3" w16cid:durableId="2141806020">
    <w:abstractNumId w:val="1"/>
  </w:num>
  <w:num w:numId="4" w16cid:durableId="125601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443"/>
    <w:rsid w:val="000273A0"/>
    <w:rsid w:val="00037668"/>
    <w:rsid w:val="00055EC5"/>
    <w:rsid w:val="00072DD5"/>
    <w:rsid w:val="00075A94"/>
    <w:rsid w:val="00076E4B"/>
    <w:rsid w:val="000A193A"/>
    <w:rsid w:val="000D54E1"/>
    <w:rsid w:val="001205CE"/>
    <w:rsid w:val="00132855"/>
    <w:rsid w:val="00140128"/>
    <w:rsid w:val="00140F65"/>
    <w:rsid w:val="00152993"/>
    <w:rsid w:val="0016626B"/>
    <w:rsid w:val="00170297"/>
    <w:rsid w:val="00174EB9"/>
    <w:rsid w:val="0018597A"/>
    <w:rsid w:val="001A227D"/>
    <w:rsid w:val="001E2032"/>
    <w:rsid w:val="001E6A04"/>
    <w:rsid w:val="001F2A52"/>
    <w:rsid w:val="002052D0"/>
    <w:rsid w:val="002053C2"/>
    <w:rsid w:val="00211AA7"/>
    <w:rsid w:val="0021292B"/>
    <w:rsid w:val="00233958"/>
    <w:rsid w:val="0024025F"/>
    <w:rsid w:val="00241D23"/>
    <w:rsid w:val="0024761D"/>
    <w:rsid w:val="00282B88"/>
    <w:rsid w:val="002C3F4D"/>
    <w:rsid w:val="002C777D"/>
    <w:rsid w:val="002D0205"/>
    <w:rsid w:val="002D5737"/>
    <w:rsid w:val="002E7B7A"/>
    <w:rsid w:val="003010C0"/>
    <w:rsid w:val="0031259C"/>
    <w:rsid w:val="00330BD1"/>
    <w:rsid w:val="00332A97"/>
    <w:rsid w:val="003330EF"/>
    <w:rsid w:val="00350C00"/>
    <w:rsid w:val="00366113"/>
    <w:rsid w:val="003A1A37"/>
    <w:rsid w:val="003C270C"/>
    <w:rsid w:val="003C34F6"/>
    <w:rsid w:val="003D0994"/>
    <w:rsid w:val="003F1BA1"/>
    <w:rsid w:val="004051DE"/>
    <w:rsid w:val="00421046"/>
    <w:rsid w:val="00423824"/>
    <w:rsid w:val="0043567D"/>
    <w:rsid w:val="00440D9E"/>
    <w:rsid w:val="004447EC"/>
    <w:rsid w:val="004531EA"/>
    <w:rsid w:val="00474713"/>
    <w:rsid w:val="00492A7B"/>
    <w:rsid w:val="004951CB"/>
    <w:rsid w:val="0049724F"/>
    <w:rsid w:val="004A16EF"/>
    <w:rsid w:val="004B4BFA"/>
    <w:rsid w:val="004B7B90"/>
    <w:rsid w:val="004E0D57"/>
    <w:rsid w:val="004E2C19"/>
    <w:rsid w:val="004F0018"/>
    <w:rsid w:val="00507D91"/>
    <w:rsid w:val="00517EC5"/>
    <w:rsid w:val="00531762"/>
    <w:rsid w:val="0053248B"/>
    <w:rsid w:val="00536A52"/>
    <w:rsid w:val="005618F8"/>
    <w:rsid w:val="00583C1A"/>
    <w:rsid w:val="00587A4C"/>
    <w:rsid w:val="005A11D9"/>
    <w:rsid w:val="005D284C"/>
    <w:rsid w:val="00603D84"/>
    <w:rsid w:val="00604512"/>
    <w:rsid w:val="006169E6"/>
    <w:rsid w:val="00633ADF"/>
    <w:rsid w:val="00633E23"/>
    <w:rsid w:val="00642136"/>
    <w:rsid w:val="00671E06"/>
    <w:rsid w:val="00673B94"/>
    <w:rsid w:val="00680AC6"/>
    <w:rsid w:val="006835D8"/>
    <w:rsid w:val="00684A05"/>
    <w:rsid w:val="006900E2"/>
    <w:rsid w:val="006C316E"/>
    <w:rsid w:val="006C6E0F"/>
    <w:rsid w:val="006D0F7C"/>
    <w:rsid w:val="006E6A72"/>
    <w:rsid w:val="006F3134"/>
    <w:rsid w:val="007269C4"/>
    <w:rsid w:val="0074209E"/>
    <w:rsid w:val="007528B8"/>
    <w:rsid w:val="007E2FBA"/>
    <w:rsid w:val="007F2CA8"/>
    <w:rsid w:val="007F4105"/>
    <w:rsid w:val="007F7161"/>
    <w:rsid w:val="00807E54"/>
    <w:rsid w:val="0085559E"/>
    <w:rsid w:val="00867A76"/>
    <w:rsid w:val="00873D1D"/>
    <w:rsid w:val="00896B1B"/>
    <w:rsid w:val="008B1D60"/>
    <w:rsid w:val="008B5446"/>
    <w:rsid w:val="008C1B1E"/>
    <w:rsid w:val="008C5544"/>
    <w:rsid w:val="008D1537"/>
    <w:rsid w:val="008E559E"/>
    <w:rsid w:val="008F6088"/>
    <w:rsid w:val="0090765F"/>
    <w:rsid w:val="00916080"/>
    <w:rsid w:val="00921A68"/>
    <w:rsid w:val="00951CBD"/>
    <w:rsid w:val="00952DE7"/>
    <w:rsid w:val="00995022"/>
    <w:rsid w:val="009A6BC4"/>
    <w:rsid w:val="009E25A6"/>
    <w:rsid w:val="00A015C4"/>
    <w:rsid w:val="00A12115"/>
    <w:rsid w:val="00A15172"/>
    <w:rsid w:val="00A155C8"/>
    <w:rsid w:val="00A2329D"/>
    <w:rsid w:val="00A53816"/>
    <w:rsid w:val="00A562AE"/>
    <w:rsid w:val="00A82E0E"/>
    <w:rsid w:val="00AA203B"/>
    <w:rsid w:val="00AA577A"/>
    <w:rsid w:val="00AB5991"/>
    <w:rsid w:val="00AD51EA"/>
    <w:rsid w:val="00AD5EAE"/>
    <w:rsid w:val="00AE4CF7"/>
    <w:rsid w:val="00AE7541"/>
    <w:rsid w:val="00AF64E1"/>
    <w:rsid w:val="00B21D0B"/>
    <w:rsid w:val="00B24F3D"/>
    <w:rsid w:val="00B5080A"/>
    <w:rsid w:val="00B71357"/>
    <w:rsid w:val="00B943AE"/>
    <w:rsid w:val="00BA7D56"/>
    <w:rsid w:val="00BB273C"/>
    <w:rsid w:val="00BD7258"/>
    <w:rsid w:val="00BF768C"/>
    <w:rsid w:val="00C0598D"/>
    <w:rsid w:val="00C05FAA"/>
    <w:rsid w:val="00C11956"/>
    <w:rsid w:val="00C219B2"/>
    <w:rsid w:val="00C2382C"/>
    <w:rsid w:val="00C4275D"/>
    <w:rsid w:val="00C54948"/>
    <w:rsid w:val="00C602E5"/>
    <w:rsid w:val="00C71455"/>
    <w:rsid w:val="00C748FD"/>
    <w:rsid w:val="00CD62F0"/>
    <w:rsid w:val="00CE1428"/>
    <w:rsid w:val="00CE1D6E"/>
    <w:rsid w:val="00CE4DD4"/>
    <w:rsid w:val="00D02B98"/>
    <w:rsid w:val="00D04A42"/>
    <w:rsid w:val="00D05B7D"/>
    <w:rsid w:val="00D105BB"/>
    <w:rsid w:val="00D23522"/>
    <w:rsid w:val="00D26BFD"/>
    <w:rsid w:val="00D336EA"/>
    <w:rsid w:val="00D4046E"/>
    <w:rsid w:val="00D4362F"/>
    <w:rsid w:val="00D630C4"/>
    <w:rsid w:val="00D76472"/>
    <w:rsid w:val="00D84A0E"/>
    <w:rsid w:val="00DA4A9B"/>
    <w:rsid w:val="00DB57C6"/>
    <w:rsid w:val="00DC672A"/>
    <w:rsid w:val="00DD4739"/>
    <w:rsid w:val="00DE5F33"/>
    <w:rsid w:val="00E07B54"/>
    <w:rsid w:val="00E11F78"/>
    <w:rsid w:val="00E222EA"/>
    <w:rsid w:val="00E620C2"/>
    <w:rsid w:val="00E621E1"/>
    <w:rsid w:val="00E6475B"/>
    <w:rsid w:val="00E76C15"/>
    <w:rsid w:val="00EA7804"/>
    <w:rsid w:val="00EB4309"/>
    <w:rsid w:val="00EC44A9"/>
    <w:rsid w:val="00EC55B3"/>
    <w:rsid w:val="00ED2A4B"/>
    <w:rsid w:val="00EE6681"/>
    <w:rsid w:val="00F0095A"/>
    <w:rsid w:val="00F02C36"/>
    <w:rsid w:val="00F15E1F"/>
    <w:rsid w:val="00F4665C"/>
    <w:rsid w:val="00F85460"/>
    <w:rsid w:val="00F96FB2"/>
    <w:rsid w:val="00FB51D8"/>
    <w:rsid w:val="00FC5B8F"/>
    <w:rsid w:val="00FD08E8"/>
    <w:rsid w:val="00FD1B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811E1"/>
  <w15:docId w15:val="{41AAB4F4-E5C4-4997-A32E-5B243FF7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customStyle="1" w:styleId="H3">
    <w:name w:val="H3"/>
    <w:basedOn w:val="Heading3"/>
    <w:next w:val="BodyText"/>
    <w:link w:val="H3Char"/>
    <w:rsid w:val="00B24F3D"/>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B24F3D"/>
  </w:style>
  <w:style w:type="character" w:customStyle="1" w:styleId="H3Char">
    <w:name w:val="H3 Char"/>
    <w:link w:val="H3"/>
    <w:rsid w:val="00B24F3D"/>
    <w:rPr>
      <w:b/>
      <w:bCs/>
      <w:i/>
      <w:sz w:val="24"/>
    </w:rPr>
  </w:style>
  <w:style w:type="paragraph" w:styleId="ListParagraph">
    <w:name w:val="List Paragraph"/>
    <w:basedOn w:val="Normal"/>
    <w:uiPriority w:val="34"/>
    <w:qFormat/>
    <w:rsid w:val="00BF7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760522">
      <w:bodyDiv w:val="1"/>
      <w:marLeft w:val="0"/>
      <w:marRight w:val="0"/>
      <w:marTop w:val="0"/>
      <w:marBottom w:val="0"/>
      <w:divBdr>
        <w:top w:val="none" w:sz="0" w:space="0" w:color="auto"/>
        <w:left w:val="none" w:sz="0" w:space="0" w:color="auto"/>
        <w:bottom w:val="none" w:sz="0" w:space="0" w:color="auto"/>
        <w:right w:val="none" w:sz="0" w:space="0" w:color="auto"/>
      </w:divBdr>
      <w:divsChild>
        <w:div w:id="1755319734">
          <w:marLeft w:val="547"/>
          <w:marRight w:val="0"/>
          <w:marTop w:val="240"/>
          <w:marBottom w:val="0"/>
          <w:divBdr>
            <w:top w:val="none" w:sz="0" w:space="0" w:color="auto"/>
            <w:left w:val="none" w:sz="0" w:space="0" w:color="auto"/>
            <w:bottom w:val="none" w:sz="0" w:space="0" w:color="auto"/>
            <w:right w:val="none" w:sz="0" w:space="0" w:color="auto"/>
          </w:divBdr>
        </w:div>
      </w:divsChild>
    </w:div>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66275224">
      <w:bodyDiv w:val="1"/>
      <w:marLeft w:val="0"/>
      <w:marRight w:val="0"/>
      <w:marTop w:val="0"/>
      <w:marBottom w:val="0"/>
      <w:divBdr>
        <w:top w:val="none" w:sz="0" w:space="0" w:color="auto"/>
        <w:left w:val="none" w:sz="0" w:space="0" w:color="auto"/>
        <w:bottom w:val="none" w:sz="0" w:space="0" w:color="auto"/>
        <w:right w:val="none" w:sz="0" w:space="0" w:color="auto"/>
      </w:divBdr>
      <w:divsChild>
        <w:div w:id="1845238511">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nwook.Kang@ercot.com"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Robert.Golen@ercot.com"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ng.Yan@ercot.com"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ercot.com/mktrules/issues/NPRR1247" TargetMode="External"/><Relationship Id="rId19" Type="http://schemas.openxmlformats.org/officeDocument/2006/relationships/chart" Target="charts/chart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ercot-my.sharepoint.com/personal/robert_golen_ercot_com/Documents/Desktop/RPG/Summary/RPG_Project_Summar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rcot-my.sharepoint.com/personal/robert_golen_ercot_com/Documents/Documents/FTE%20Impact/NPRR1180PGRR0107/Copy%20of%20Copy%20of%20Estimation%20IA_r03_V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Tier 1 and Tier 2 RPG Projects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1025371828521434E-2"/>
          <c:y val="0.12423530144785315"/>
          <c:w val="0.90286351706036749"/>
          <c:h val="0.73168703354592179"/>
        </c:manualLayout>
      </c:layout>
      <c:barChart>
        <c:barDir val="col"/>
        <c:grouping val="clustered"/>
        <c:varyColors val="0"/>
        <c:ser>
          <c:idx val="0"/>
          <c:order val="0"/>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C16-4223-9061-5600EE86E7C1}"/>
                </c:ext>
              </c:extLst>
            </c:dLbl>
            <c:dLbl>
              <c:idx val="1"/>
              <c:layout>
                <c:manualLayout>
                  <c:x val="0"/>
                  <c:y val="4.57404313358691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16-4223-9061-5600EE86E7C1}"/>
                </c:ext>
              </c:extLst>
            </c:dLbl>
            <c:dLbl>
              <c:idx val="2"/>
              <c:layout>
                <c:manualLayout>
                  <c:x val="-5.0938607072373756E-17"/>
                  <c:y val="-1.677129774635595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16-4223-9061-5600EE86E7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Sheet2!$O$24:$O$29</c:f>
              <c:strCache>
                <c:ptCount val="6"/>
                <c:pt idx="0">
                  <c:v>2020</c:v>
                </c:pt>
                <c:pt idx="1">
                  <c:v>2021</c:v>
                </c:pt>
                <c:pt idx="2">
                  <c:v>2022</c:v>
                </c:pt>
                <c:pt idx="3">
                  <c:v>2023</c:v>
                </c:pt>
                <c:pt idx="4">
                  <c:v>2024</c:v>
                </c:pt>
                <c:pt idx="5">
                  <c:v>2025 (ESTIMATE)</c:v>
                </c:pt>
              </c:strCache>
            </c:strRef>
          </c:cat>
          <c:val>
            <c:numRef>
              <c:f>Sheet2!$P$24:$P$29</c:f>
              <c:numCache>
                <c:formatCode>General</c:formatCode>
                <c:ptCount val="6"/>
                <c:pt idx="0">
                  <c:v>0</c:v>
                </c:pt>
                <c:pt idx="1">
                  <c:v>2</c:v>
                </c:pt>
                <c:pt idx="2">
                  <c:v>2</c:v>
                </c:pt>
                <c:pt idx="3">
                  <c:v>5</c:v>
                </c:pt>
                <c:pt idx="4">
                  <c:v>11</c:v>
                </c:pt>
                <c:pt idx="5">
                  <c:v>17</c:v>
                </c:pt>
              </c:numCache>
            </c:numRef>
          </c:val>
          <c:extLst>
            <c:ext xmlns:c16="http://schemas.microsoft.com/office/drawing/2014/chart" uri="{C3380CC4-5D6E-409C-BE32-E72D297353CC}">
              <c16:uniqueId val="{00000003-1C16-4223-9061-5600EE86E7C1}"/>
            </c:ext>
          </c:extLst>
        </c:ser>
        <c:ser>
          <c:idx val="1"/>
          <c:order val="1"/>
          <c:tx>
            <c:strRef>
              <c:f>Sheet2!$Q$23</c:f>
              <c:strCache>
                <c:ptCount val="1"/>
                <c:pt idx="0">
                  <c:v>Tier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Sheet2!$Q$24:$Q$29</c:f>
              <c:numCache>
                <c:formatCode>General</c:formatCode>
                <c:ptCount val="6"/>
                <c:pt idx="0">
                  <c:v>4</c:v>
                </c:pt>
                <c:pt idx="1">
                  <c:v>2</c:v>
                </c:pt>
                <c:pt idx="2">
                  <c:v>3</c:v>
                </c:pt>
                <c:pt idx="3">
                  <c:v>3</c:v>
                </c:pt>
                <c:pt idx="4">
                  <c:v>5</c:v>
                </c:pt>
                <c:pt idx="5">
                  <c:v>7</c:v>
                </c:pt>
              </c:numCache>
            </c:numRef>
          </c:val>
          <c:extLst>
            <c:ext xmlns:c16="http://schemas.microsoft.com/office/drawing/2014/chart" uri="{C3380CC4-5D6E-409C-BE32-E72D297353CC}">
              <c16:uniqueId val="{00000004-1C16-4223-9061-5600EE86E7C1}"/>
            </c:ext>
          </c:extLst>
        </c:ser>
        <c:dLbls>
          <c:showLegendKey val="0"/>
          <c:showVal val="0"/>
          <c:showCatName val="0"/>
          <c:showSerName val="0"/>
          <c:showPercent val="0"/>
          <c:showBubbleSize val="0"/>
        </c:dLbls>
        <c:gapWidth val="219"/>
        <c:overlap val="-27"/>
        <c:axId val="824883472"/>
        <c:axId val="824884432"/>
      </c:barChart>
      <c:catAx>
        <c:axId val="82488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884432"/>
        <c:crosses val="autoZero"/>
        <c:auto val="1"/>
        <c:lblAlgn val="ctr"/>
        <c:lblOffset val="100"/>
        <c:noMultiLvlLbl val="0"/>
      </c:catAx>
      <c:valAx>
        <c:axId val="824884432"/>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883472"/>
        <c:crosses val="autoZero"/>
        <c:crossBetween val="between"/>
      </c:valAx>
      <c:spPr>
        <a:noFill/>
        <a:ln>
          <a:noFill/>
        </a:ln>
        <a:effectLst/>
      </c:spPr>
    </c:plotArea>
    <c:legend>
      <c:legendPos val="r"/>
      <c:layout>
        <c:manualLayout>
          <c:xMode val="edge"/>
          <c:yMode val="edge"/>
          <c:x val="0.22901549111247219"/>
          <c:y val="0.91886003104291214"/>
          <c:w val="0.53587664387035594"/>
          <c:h val="7.71730356332461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Additional RPG Projects Based</a:t>
            </a:r>
            <a:r>
              <a:rPr lang="en-US" baseline="0"/>
              <a:t> on 2030 Officer Letter Loads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7777661381212185E-2"/>
          <c:y val="0.22869788027020732"/>
          <c:w val="0.88652833814917031"/>
          <c:h val="0.60377409720336694"/>
        </c:manualLayout>
      </c:layout>
      <c:barChart>
        <c:barDir val="col"/>
        <c:grouping val="clustered"/>
        <c:varyColors val="0"/>
        <c:ser>
          <c:idx val="0"/>
          <c:order val="0"/>
          <c:tx>
            <c:v>Total Projects</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Copy of Estimation IA_r03_V2.xlsx]RPG_RTP'!$L$1:$N$1</c:f>
              <c:strCache>
                <c:ptCount val="3"/>
                <c:pt idx="0">
                  <c:v>Tier 1</c:v>
                </c:pt>
                <c:pt idx="1">
                  <c:v>Tier 2</c:v>
                </c:pt>
                <c:pt idx="2">
                  <c:v>Tier 3</c:v>
                </c:pt>
              </c:strCache>
            </c:strRef>
          </c:cat>
          <c:val>
            <c:numRef>
              <c:f>'[Copy of Copy of Estimation IA_r03_V2.xlsx]RPG_RTP'!$L$2:$N$2</c:f>
              <c:numCache>
                <c:formatCode>General</c:formatCode>
                <c:ptCount val="3"/>
                <c:pt idx="0">
                  <c:v>23</c:v>
                </c:pt>
                <c:pt idx="1">
                  <c:v>26</c:v>
                </c:pt>
                <c:pt idx="2">
                  <c:v>25</c:v>
                </c:pt>
              </c:numCache>
            </c:numRef>
          </c:val>
          <c:extLst>
            <c:ext xmlns:c16="http://schemas.microsoft.com/office/drawing/2014/chart" uri="{C3380CC4-5D6E-409C-BE32-E72D297353CC}">
              <c16:uniqueId val="{00000000-88B3-4331-B7F3-A4E2FE6CF85A}"/>
            </c:ext>
          </c:extLst>
        </c:ser>
        <c:ser>
          <c:idx val="1"/>
          <c:order val="1"/>
          <c:tx>
            <c:v>Projects Per Year for 5 Years</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'[Copy of Copy of Estimation IA_r03_V2.xlsx]RPG_RTP'!$L$3:$N$3</c:f>
              <c:numCache>
                <c:formatCode>General</c:formatCode>
                <c:ptCount val="3"/>
                <c:pt idx="0">
                  <c:v>5</c:v>
                </c:pt>
                <c:pt idx="1">
                  <c:v>5</c:v>
                </c:pt>
                <c:pt idx="2">
                  <c:v>5</c:v>
                </c:pt>
              </c:numCache>
            </c:numRef>
          </c:val>
          <c:extLst>
            <c:ext xmlns:c16="http://schemas.microsoft.com/office/drawing/2014/chart" uri="{C3380CC4-5D6E-409C-BE32-E72D297353CC}">
              <c16:uniqueId val="{00000001-88B3-4331-B7F3-A4E2FE6CF85A}"/>
            </c:ext>
          </c:extLst>
        </c:ser>
        <c:dLbls>
          <c:showLegendKey val="0"/>
          <c:showVal val="0"/>
          <c:showCatName val="0"/>
          <c:showSerName val="0"/>
          <c:showPercent val="0"/>
          <c:showBubbleSize val="0"/>
        </c:dLbls>
        <c:gapWidth val="219"/>
        <c:overlap val="-27"/>
        <c:axId val="380588447"/>
        <c:axId val="380598527"/>
      </c:barChart>
      <c:catAx>
        <c:axId val="38058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598527"/>
        <c:crosses val="autoZero"/>
        <c:auto val="1"/>
        <c:lblAlgn val="ctr"/>
        <c:lblOffset val="100"/>
        <c:noMultiLvlLbl val="0"/>
      </c:catAx>
      <c:valAx>
        <c:axId val="380598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588447"/>
        <c:crosses val="autoZero"/>
        <c:crossBetween val="between"/>
      </c:valAx>
      <c:spPr>
        <a:noFill/>
        <a:ln>
          <a:noFill/>
        </a:ln>
        <a:effectLst/>
      </c:spPr>
    </c:plotArea>
    <c:legend>
      <c:legendPos val="b"/>
      <c:layout>
        <c:manualLayout>
          <c:xMode val="edge"/>
          <c:yMode val="edge"/>
          <c:x val="0.2133932030012245"/>
          <c:y val="0.90933365790631704"/>
          <c:w val="0.62275798542713479"/>
          <c:h val="6.6885129251828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F73DD51-7D6D-45E2-9CFF-EF7ED8553D3C}">
  <ds:schemaRefs>
    <ds:schemaRef ds:uri="http://schemas.openxmlformats.org/officeDocument/2006/bibliography"/>
  </ds:schemaRefs>
</ds:datastoreItem>
</file>

<file path=customXml/itemProps3.xml><?xml version="1.0" encoding="utf-8"?>
<ds:datastoreItem xmlns:ds="http://schemas.openxmlformats.org/officeDocument/2006/customXml" ds:itemID="{970F7E82-5C9E-4B09-940C-AAF6368B003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6448</CharactersWithSpaces>
  <SharedDoc>false</SharedDoc>
  <HLinks>
    <vt:vector size="24" baseType="variant">
      <vt:variant>
        <vt:i4>7995470</vt:i4>
      </vt:variant>
      <vt:variant>
        <vt:i4>9</vt:i4>
      </vt:variant>
      <vt:variant>
        <vt:i4>0</vt:i4>
      </vt:variant>
      <vt:variant>
        <vt:i4>5</vt:i4>
      </vt:variant>
      <vt:variant>
        <vt:lpwstr>mailto:cmcdanielwyman@aep.com</vt:lpwstr>
      </vt:variant>
      <vt:variant>
        <vt:lpwstr/>
      </vt:variant>
      <vt:variant>
        <vt:i4>1245231</vt:i4>
      </vt:variant>
      <vt:variant>
        <vt:i4>6</vt:i4>
      </vt:variant>
      <vt:variant>
        <vt:i4>0</vt:i4>
      </vt:variant>
      <vt:variant>
        <vt:i4>5</vt:i4>
      </vt:variant>
      <vt:variant>
        <vt:lpwstr>mailto:rross@aep.com</vt:lpwstr>
      </vt:variant>
      <vt:variant>
        <vt:lpwstr/>
      </vt:variant>
      <vt:variant>
        <vt:i4>196732</vt:i4>
      </vt:variant>
      <vt:variant>
        <vt:i4>3</vt:i4>
      </vt:variant>
      <vt:variant>
        <vt:i4>0</vt:i4>
      </vt:variant>
      <vt:variant>
        <vt:i4>5</vt:i4>
      </vt:variant>
      <vt:variant>
        <vt:lpwstr>mailto:wlsmith1@aep.com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2024-10-16T19:07:00Z</dcterms:created>
  <dcterms:modified xsi:type="dcterms:W3CDTF">2024-10-16T19:11:00Z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33f673a8-6c22-4ef1-8f4f-9eb210fd36d3</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2024-10-02T15:24:52Z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6808dd41-3898-427d-88a9-cd8c278dd1d3</vt:lpwstr>
  </property>
  <property fmtid="{D5CDD505-2E9C-101B-9397-08002B2CF9AE}" pid="18" name="MSIP_Label_7084cbda-52b8-46fb-a7b7-cb5bd465ed85_ContentBits">
    <vt:lpwstr>0</vt:lpwstr>
  </property>
</Properties>
</file>