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00000" w14:paraId="7D2B538E" w14:textId="77777777">
        <w:tc>
          <w:tcPr>
            <w:tcW w:w="1620" w:type="dxa"/>
            <w:tcBorders>
              <w:bottom w:val="single" w:sz="4" w:space="0" w:color="auto"/>
            </w:tcBorders>
            <w:shd w:val="clear" w:color="auto" w:fill="FFFFFF"/>
            <w:vAlign w:val="center"/>
          </w:tcPr>
          <w:p w14:paraId="4650D238" w14:textId="77777777" w:rsidR="00152993" w:rsidRDefault="00EE6681">
            <w:pPr>
              <w:pStyle w:val="Header"/>
              <w:rPr>
                <w:rFonts w:ascii="Verdana" w:hAnsi="Verdana"/>
                <w:sz w:val="22"/>
              </w:rPr>
            </w:pPr>
            <w:r>
              <w:t>N</w:t>
            </w:r>
            <w:r w:rsidR="00A71C34">
              <w:t>PRR Number</w:t>
            </w:r>
          </w:p>
        </w:tc>
        <w:tc>
          <w:tcPr>
            <w:tcW w:w="1260" w:type="dxa"/>
            <w:tcBorders>
              <w:bottom w:val="single" w:sz="4" w:space="0" w:color="auto"/>
            </w:tcBorders>
            <w:shd w:val="clear" w:color="auto" w:fill="auto"/>
            <w:vAlign w:val="center"/>
          </w:tcPr>
          <w:p w14:paraId="259D790D" w14:textId="0D616547" w:rsidR="00152993" w:rsidRDefault="00A71C34">
            <w:pPr>
              <w:pStyle w:val="Header"/>
            </w:pPr>
            <w:hyperlink r:id="rId7" w:history="1">
              <w:r w:rsidR="00D51005" w:rsidRPr="00A71C34">
                <w:rPr>
                  <w:rStyle w:val="Hyperlink"/>
                </w:rPr>
                <w:t>1235</w:t>
              </w:r>
            </w:hyperlink>
          </w:p>
        </w:tc>
        <w:tc>
          <w:tcPr>
            <w:tcW w:w="900" w:type="dxa"/>
            <w:tcBorders>
              <w:bottom w:val="single" w:sz="4" w:space="0" w:color="auto"/>
            </w:tcBorders>
            <w:shd w:val="clear" w:color="auto" w:fill="FFFFFF"/>
            <w:vAlign w:val="center"/>
          </w:tcPr>
          <w:p w14:paraId="25399EDF" w14:textId="77777777" w:rsidR="00152993" w:rsidRDefault="00EE6681">
            <w:pPr>
              <w:pStyle w:val="Header"/>
            </w:pPr>
            <w:r>
              <w:t>N</w:t>
            </w:r>
            <w:r w:rsidR="00A71C34">
              <w:t>PRR Title</w:t>
            </w:r>
          </w:p>
        </w:tc>
        <w:tc>
          <w:tcPr>
            <w:tcW w:w="6660" w:type="dxa"/>
            <w:tcBorders>
              <w:bottom w:val="single" w:sz="4" w:space="0" w:color="auto"/>
            </w:tcBorders>
            <w:shd w:val="clear" w:color="auto" w:fill="auto"/>
            <w:vAlign w:val="center"/>
          </w:tcPr>
          <w:p w14:paraId="2E909EDD" w14:textId="77777777" w:rsidR="00152993" w:rsidRDefault="00D51005">
            <w:pPr>
              <w:pStyle w:val="Header"/>
            </w:pPr>
            <w:r w:rsidRPr="00E41357">
              <w:t>Dispatchable Reliability Reserve Service as a Stand-Alone Ancillary Service</w:t>
            </w:r>
          </w:p>
        </w:tc>
      </w:tr>
      <w:tr w:rsidR="00000000" w14:paraId="6CE9C581" w14:textId="77777777">
        <w:trPr>
          <w:trHeight w:val="413"/>
        </w:trPr>
        <w:tc>
          <w:tcPr>
            <w:tcW w:w="2880" w:type="dxa"/>
            <w:gridSpan w:val="2"/>
            <w:tcBorders>
              <w:top w:val="nil"/>
              <w:left w:val="nil"/>
              <w:bottom w:val="single" w:sz="4" w:space="0" w:color="auto"/>
              <w:right w:val="nil"/>
            </w:tcBorders>
            <w:vAlign w:val="center"/>
          </w:tcPr>
          <w:p w14:paraId="02317589"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3E76C17E" w14:textId="77777777" w:rsidR="00152993" w:rsidRDefault="00152993">
            <w:pPr>
              <w:pStyle w:val="NormalArial"/>
            </w:pPr>
          </w:p>
        </w:tc>
      </w:tr>
      <w:tr w:rsidR="00000000" w14:paraId="02D2F724"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F4AE8B0" w14:textId="77777777" w:rsidR="00152993" w:rsidRDefault="00A71C34">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7CD8778" w14:textId="77777777" w:rsidR="00152993" w:rsidRDefault="003E27A5">
            <w:pPr>
              <w:pStyle w:val="NormalArial"/>
            </w:pPr>
            <w:r>
              <w:t xml:space="preserve">September </w:t>
            </w:r>
            <w:r w:rsidR="00883557">
              <w:t>24</w:t>
            </w:r>
            <w:r>
              <w:t>,</w:t>
            </w:r>
            <w:r w:rsidR="00D51005">
              <w:t xml:space="preserve"> 2024</w:t>
            </w:r>
          </w:p>
        </w:tc>
      </w:tr>
      <w:tr w:rsidR="00000000" w14:paraId="3A725A49" w14:textId="77777777">
        <w:trPr>
          <w:trHeight w:val="467"/>
        </w:trPr>
        <w:tc>
          <w:tcPr>
            <w:tcW w:w="2880" w:type="dxa"/>
            <w:gridSpan w:val="2"/>
            <w:tcBorders>
              <w:top w:val="single" w:sz="4" w:space="0" w:color="auto"/>
              <w:left w:val="nil"/>
              <w:bottom w:val="nil"/>
              <w:right w:val="nil"/>
            </w:tcBorders>
            <w:shd w:val="clear" w:color="auto" w:fill="FFFFFF"/>
            <w:vAlign w:val="center"/>
          </w:tcPr>
          <w:p w14:paraId="725FCCCF" w14:textId="77777777" w:rsidR="00152993" w:rsidRDefault="00152993">
            <w:pPr>
              <w:pStyle w:val="NormalArial"/>
            </w:pPr>
          </w:p>
        </w:tc>
        <w:tc>
          <w:tcPr>
            <w:tcW w:w="7560" w:type="dxa"/>
            <w:gridSpan w:val="2"/>
            <w:tcBorders>
              <w:top w:val="nil"/>
              <w:left w:val="nil"/>
              <w:bottom w:val="nil"/>
              <w:right w:val="nil"/>
            </w:tcBorders>
            <w:shd w:val="clear" w:color="auto" w:fill="auto"/>
            <w:vAlign w:val="center"/>
          </w:tcPr>
          <w:p w14:paraId="60410BE6" w14:textId="77777777" w:rsidR="00152993" w:rsidRDefault="00152993">
            <w:pPr>
              <w:pStyle w:val="NormalArial"/>
            </w:pPr>
          </w:p>
        </w:tc>
      </w:tr>
      <w:tr w:rsidR="00000000" w14:paraId="6F99D6BD" w14:textId="77777777">
        <w:trPr>
          <w:trHeight w:val="440"/>
        </w:trPr>
        <w:tc>
          <w:tcPr>
            <w:tcW w:w="10440" w:type="dxa"/>
            <w:gridSpan w:val="4"/>
            <w:tcBorders>
              <w:top w:val="single" w:sz="4" w:space="0" w:color="auto"/>
            </w:tcBorders>
            <w:shd w:val="clear" w:color="auto" w:fill="FFFFFF"/>
            <w:vAlign w:val="center"/>
          </w:tcPr>
          <w:p w14:paraId="4FFE734B" w14:textId="77777777" w:rsidR="00152993" w:rsidRDefault="00A71C34">
            <w:pPr>
              <w:pStyle w:val="Header"/>
              <w:jc w:val="center"/>
            </w:pPr>
            <w:r>
              <w:t>Submitter’s Information</w:t>
            </w:r>
          </w:p>
        </w:tc>
      </w:tr>
      <w:tr w:rsidR="00000000" w14:paraId="0A9B0E3D" w14:textId="77777777">
        <w:trPr>
          <w:trHeight w:val="350"/>
        </w:trPr>
        <w:tc>
          <w:tcPr>
            <w:tcW w:w="2880" w:type="dxa"/>
            <w:gridSpan w:val="2"/>
            <w:shd w:val="clear" w:color="auto" w:fill="FFFFFF"/>
            <w:vAlign w:val="center"/>
          </w:tcPr>
          <w:p w14:paraId="7BD01056" w14:textId="77777777" w:rsidR="00152993" w:rsidRPr="00EC55B3" w:rsidRDefault="00A71C34" w:rsidP="00EC55B3">
            <w:pPr>
              <w:pStyle w:val="Header"/>
            </w:pPr>
            <w:r w:rsidRPr="00EC55B3">
              <w:t>Name</w:t>
            </w:r>
          </w:p>
        </w:tc>
        <w:tc>
          <w:tcPr>
            <w:tcW w:w="7560" w:type="dxa"/>
            <w:gridSpan w:val="2"/>
            <w:shd w:val="clear" w:color="auto" w:fill="auto"/>
            <w:vAlign w:val="center"/>
          </w:tcPr>
          <w:p w14:paraId="780FA0DC" w14:textId="77777777" w:rsidR="00152993" w:rsidRDefault="002D3AC7">
            <w:pPr>
              <w:pStyle w:val="NormalArial"/>
            </w:pPr>
            <w:r>
              <w:t>Judd Messer</w:t>
            </w:r>
            <w:r w:rsidR="008642D2">
              <w:t>,</w:t>
            </w:r>
            <w:r>
              <w:t xml:space="preserve"> Texas Vice President</w:t>
            </w:r>
          </w:p>
        </w:tc>
      </w:tr>
      <w:tr w:rsidR="00000000" w14:paraId="535AC380" w14:textId="77777777">
        <w:trPr>
          <w:trHeight w:val="350"/>
        </w:trPr>
        <w:tc>
          <w:tcPr>
            <w:tcW w:w="2880" w:type="dxa"/>
            <w:gridSpan w:val="2"/>
            <w:shd w:val="clear" w:color="auto" w:fill="FFFFFF"/>
            <w:vAlign w:val="center"/>
          </w:tcPr>
          <w:p w14:paraId="797DE671" w14:textId="77777777" w:rsidR="00152993" w:rsidRPr="00EC55B3" w:rsidRDefault="00A71C34" w:rsidP="00EC55B3">
            <w:pPr>
              <w:pStyle w:val="Header"/>
            </w:pPr>
            <w:r w:rsidRPr="00EC55B3">
              <w:t>E-mail Address</w:t>
            </w:r>
          </w:p>
        </w:tc>
        <w:tc>
          <w:tcPr>
            <w:tcW w:w="7560" w:type="dxa"/>
            <w:gridSpan w:val="2"/>
            <w:shd w:val="clear" w:color="auto" w:fill="auto"/>
            <w:vAlign w:val="center"/>
          </w:tcPr>
          <w:p w14:paraId="6DFE644D" w14:textId="4C01FA4B" w:rsidR="00152993" w:rsidRDefault="006E3F38">
            <w:pPr>
              <w:pStyle w:val="NormalArial"/>
            </w:pPr>
            <w:hyperlink r:id="rId8" w:history="1">
              <w:r w:rsidRPr="00005F03">
                <w:rPr>
                  <w:rStyle w:val="Hyperlink"/>
                </w:rPr>
                <w:t>Judd.Messer@poweralliance.org</w:t>
              </w:r>
            </w:hyperlink>
          </w:p>
        </w:tc>
      </w:tr>
      <w:tr w:rsidR="00000000" w14:paraId="07C49C30" w14:textId="77777777">
        <w:trPr>
          <w:trHeight w:val="350"/>
        </w:trPr>
        <w:tc>
          <w:tcPr>
            <w:tcW w:w="2880" w:type="dxa"/>
            <w:gridSpan w:val="2"/>
            <w:shd w:val="clear" w:color="auto" w:fill="FFFFFF"/>
            <w:vAlign w:val="center"/>
          </w:tcPr>
          <w:p w14:paraId="5C0AE422" w14:textId="77777777" w:rsidR="00152993" w:rsidRPr="00EC55B3" w:rsidRDefault="00A71C34" w:rsidP="00EC55B3">
            <w:pPr>
              <w:pStyle w:val="Header"/>
            </w:pPr>
            <w:r w:rsidRPr="00EC55B3">
              <w:t>Company</w:t>
            </w:r>
          </w:p>
        </w:tc>
        <w:tc>
          <w:tcPr>
            <w:tcW w:w="7560" w:type="dxa"/>
            <w:gridSpan w:val="2"/>
            <w:shd w:val="clear" w:color="auto" w:fill="auto"/>
            <w:vAlign w:val="center"/>
          </w:tcPr>
          <w:p w14:paraId="28DED601" w14:textId="48D3FA8E" w:rsidR="00152993" w:rsidRDefault="00D51005">
            <w:pPr>
              <w:pStyle w:val="NormalArial"/>
            </w:pPr>
            <w:r>
              <w:t xml:space="preserve">Advanced Power Alliance </w:t>
            </w:r>
            <w:r w:rsidR="006E3F38">
              <w:t>(APA)</w:t>
            </w:r>
          </w:p>
        </w:tc>
      </w:tr>
      <w:tr w:rsidR="00000000" w14:paraId="0D235690" w14:textId="77777777">
        <w:trPr>
          <w:trHeight w:val="350"/>
        </w:trPr>
        <w:tc>
          <w:tcPr>
            <w:tcW w:w="2880" w:type="dxa"/>
            <w:gridSpan w:val="2"/>
            <w:tcBorders>
              <w:bottom w:val="single" w:sz="4" w:space="0" w:color="auto"/>
            </w:tcBorders>
            <w:shd w:val="clear" w:color="auto" w:fill="FFFFFF"/>
            <w:vAlign w:val="center"/>
          </w:tcPr>
          <w:p w14:paraId="1CA89D47" w14:textId="77777777" w:rsidR="00152993" w:rsidRPr="00EC55B3" w:rsidRDefault="00A71C34" w:rsidP="00EC55B3">
            <w:pPr>
              <w:pStyle w:val="Header"/>
            </w:pPr>
            <w:r w:rsidRPr="00EC55B3">
              <w:t>Phone Number</w:t>
            </w:r>
          </w:p>
        </w:tc>
        <w:tc>
          <w:tcPr>
            <w:tcW w:w="7560" w:type="dxa"/>
            <w:gridSpan w:val="2"/>
            <w:tcBorders>
              <w:bottom w:val="single" w:sz="4" w:space="0" w:color="auto"/>
            </w:tcBorders>
            <w:shd w:val="clear" w:color="auto" w:fill="auto"/>
            <w:vAlign w:val="center"/>
          </w:tcPr>
          <w:p w14:paraId="0BA67D58" w14:textId="77777777" w:rsidR="00152993" w:rsidRDefault="002D3AC7">
            <w:pPr>
              <w:pStyle w:val="NormalArial"/>
            </w:pPr>
            <w:r>
              <w:t>254-230-0620</w:t>
            </w:r>
          </w:p>
        </w:tc>
      </w:tr>
      <w:tr w:rsidR="00000000" w14:paraId="42CB1533" w14:textId="77777777">
        <w:trPr>
          <w:trHeight w:val="350"/>
        </w:trPr>
        <w:tc>
          <w:tcPr>
            <w:tcW w:w="2880" w:type="dxa"/>
            <w:gridSpan w:val="2"/>
            <w:shd w:val="clear" w:color="auto" w:fill="FFFFFF"/>
            <w:vAlign w:val="center"/>
          </w:tcPr>
          <w:p w14:paraId="1FBC91A1" w14:textId="77777777" w:rsidR="00152993" w:rsidRPr="00EC55B3" w:rsidRDefault="00075A94" w:rsidP="00EC55B3">
            <w:pPr>
              <w:pStyle w:val="Header"/>
            </w:pPr>
            <w:r>
              <w:t>Cell</w:t>
            </w:r>
            <w:r w:rsidRPr="00EC55B3">
              <w:t xml:space="preserve"> </w:t>
            </w:r>
            <w:r w:rsidR="00A71C34" w:rsidRPr="00EC55B3">
              <w:t>Number</w:t>
            </w:r>
          </w:p>
        </w:tc>
        <w:tc>
          <w:tcPr>
            <w:tcW w:w="7560" w:type="dxa"/>
            <w:gridSpan w:val="2"/>
            <w:shd w:val="clear" w:color="auto" w:fill="auto"/>
            <w:vAlign w:val="center"/>
          </w:tcPr>
          <w:p w14:paraId="202B93A0" w14:textId="77777777" w:rsidR="00152993" w:rsidRDefault="00152993">
            <w:pPr>
              <w:pStyle w:val="NormalArial"/>
            </w:pPr>
          </w:p>
        </w:tc>
      </w:tr>
      <w:tr w:rsidR="00000000" w14:paraId="198D743C" w14:textId="77777777">
        <w:trPr>
          <w:trHeight w:val="350"/>
        </w:trPr>
        <w:tc>
          <w:tcPr>
            <w:tcW w:w="2880" w:type="dxa"/>
            <w:gridSpan w:val="2"/>
            <w:tcBorders>
              <w:bottom w:val="single" w:sz="4" w:space="0" w:color="auto"/>
            </w:tcBorders>
            <w:shd w:val="clear" w:color="auto" w:fill="FFFFFF"/>
            <w:vAlign w:val="center"/>
          </w:tcPr>
          <w:p w14:paraId="03F92896" w14:textId="77777777" w:rsidR="00075A94" w:rsidRPr="00EC55B3" w:rsidRDefault="00A71C34" w:rsidP="00EC55B3">
            <w:pPr>
              <w:pStyle w:val="Header"/>
            </w:pPr>
            <w:r>
              <w:t>Market Segment</w:t>
            </w:r>
          </w:p>
        </w:tc>
        <w:tc>
          <w:tcPr>
            <w:tcW w:w="7560" w:type="dxa"/>
            <w:gridSpan w:val="2"/>
            <w:tcBorders>
              <w:bottom w:val="single" w:sz="4" w:space="0" w:color="auto"/>
            </w:tcBorders>
            <w:shd w:val="clear" w:color="auto" w:fill="auto"/>
            <w:vAlign w:val="center"/>
          </w:tcPr>
          <w:p w14:paraId="0896BAEB" w14:textId="77777777" w:rsidR="00075A94" w:rsidRDefault="00D51005">
            <w:pPr>
              <w:pStyle w:val="NormalArial"/>
            </w:pPr>
            <w:r>
              <w:t>Independent Generators</w:t>
            </w:r>
          </w:p>
        </w:tc>
      </w:tr>
    </w:tbl>
    <w:p w14:paraId="345D36D4"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00000" w14:paraId="4F71CB6C" w14:textId="77777777" w:rsidTr="00B5080A">
        <w:trPr>
          <w:trHeight w:val="422"/>
          <w:jc w:val="center"/>
        </w:trPr>
        <w:tc>
          <w:tcPr>
            <w:tcW w:w="10440" w:type="dxa"/>
            <w:vAlign w:val="center"/>
          </w:tcPr>
          <w:p w14:paraId="770D2C84" w14:textId="77777777" w:rsidR="00075A94" w:rsidRPr="00075A94" w:rsidRDefault="00A71C34" w:rsidP="00B5080A">
            <w:pPr>
              <w:pStyle w:val="Header"/>
              <w:jc w:val="center"/>
            </w:pPr>
            <w:r w:rsidRPr="00075A94">
              <w:t>Comments</w:t>
            </w:r>
          </w:p>
        </w:tc>
      </w:tr>
    </w:tbl>
    <w:p w14:paraId="5B95D7A8" w14:textId="77777777" w:rsidR="00152993" w:rsidRDefault="00152993">
      <w:pPr>
        <w:pStyle w:val="NormalArial"/>
      </w:pPr>
    </w:p>
    <w:p w14:paraId="1E7F37AD" w14:textId="1D3B9FDF" w:rsidR="00B82246" w:rsidRDefault="002D3AC7" w:rsidP="00BC1819">
      <w:pPr>
        <w:pStyle w:val="NormalArial"/>
        <w:jc w:val="both"/>
      </w:pPr>
      <w:r>
        <w:t>The Advanced Power Alliance (</w:t>
      </w:r>
      <w:r w:rsidR="00BC1819">
        <w:t>APA</w:t>
      </w:r>
      <w:r>
        <w:t>)</w:t>
      </w:r>
      <w:r w:rsidR="00BC1819">
        <w:t xml:space="preserve"> appreciates the opportunity to provide comments on Nodal Protocol Revision Request (NPRR)</w:t>
      </w:r>
      <w:r w:rsidR="00A71C34">
        <w:t xml:space="preserve"> </w:t>
      </w:r>
      <w:r w:rsidR="00BC1819">
        <w:t>1235</w:t>
      </w:r>
      <w:r w:rsidR="00A71C34">
        <w:t xml:space="preserve"> related to the Dispatchable Reliability Reserve Service (DRRS)</w:t>
      </w:r>
      <w:r w:rsidR="00BC1819">
        <w:t xml:space="preserve">. </w:t>
      </w:r>
      <w:r w:rsidR="00A71C34">
        <w:t>APA believes that the statutory language, the legislative history, and sound public policy all favor the inclusion of E</w:t>
      </w:r>
      <w:r w:rsidR="00A71C34">
        <w:t>nergy S</w:t>
      </w:r>
      <w:r w:rsidR="00A71C34">
        <w:t>torage R</w:t>
      </w:r>
      <w:r w:rsidR="00A71C34">
        <w:t>esources (ESRs) from the outset of the program</w:t>
      </w:r>
      <w:r w:rsidR="00422EFB">
        <w:t xml:space="preserve"> and</w:t>
      </w:r>
      <w:r w:rsidR="00422EFB" w:rsidRPr="00422EFB">
        <w:t xml:space="preserve"> </w:t>
      </w:r>
      <w:r w:rsidR="00422EFB">
        <w:t>agrees with other NPRR1235 commenters</w:t>
      </w:r>
      <w:r w:rsidR="006D0317">
        <w:t>:</w:t>
      </w:r>
      <w:r w:rsidR="00422EFB">
        <w:t xml:space="preserve"> ERCOT should develop DRRS in a manner that allows all Resources that meet the statutory requirements to particip</w:t>
      </w:r>
      <w:r w:rsidR="006D0317">
        <w:t>a</w:t>
      </w:r>
      <w:r w:rsidR="00422EFB">
        <w:t>t</w:t>
      </w:r>
      <w:r w:rsidR="00CF189F">
        <w:t>e</w:t>
      </w:r>
      <w:r w:rsidR="00422EFB">
        <w:t xml:space="preserve">. </w:t>
      </w:r>
      <w:r w:rsidR="00CF189F" w:rsidRPr="00CF189F">
        <w:t>APA also agrees with the comments on NPRR1235 filed by the Joint Commenters on July 22, 2024 and August 7, 2024. As the Joint Commenters succinctly provided</w:t>
      </w:r>
      <w:r w:rsidR="00433EE8">
        <w:t>,</w:t>
      </w:r>
      <w:r w:rsidR="00CF189F" w:rsidRPr="00CF189F">
        <w:t xml:space="preserve"> the legislative history strongly favors the inclusion of ESRs. </w:t>
      </w:r>
      <w:r w:rsidR="00422EFB">
        <w:t xml:space="preserve">Excluding ESRs from participating in DRRS </w:t>
      </w:r>
      <w:r w:rsidR="00CF189F">
        <w:t xml:space="preserve">on day one </w:t>
      </w:r>
      <w:r w:rsidR="00422EFB">
        <w:t>is discriminatory, anti-competitive</w:t>
      </w:r>
      <w:r w:rsidR="00CF189F">
        <w:t>,</w:t>
      </w:r>
      <w:r w:rsidR="00422EFB">
        <w:t xml:space="preserve"> and will unnecessarily increase costs for Texas’ consumers</w:t>
      </w:r>
      <w:r w:rsidR="009D1515">
        <w:t xml:space="preserve"> due to the lack of Resource diversification</w:t>
      </w:r>
      <w:r w:rsidR="00422EFB">
        <w:t xml:space="preserve">. </w:t>
      </w:r>
    </w:p>
    <w:p w14:paraId="1187B40E" w14:textId="77777777" w:rsidR="00B82246" w:rsidRDefault="00B82246" w:rsidP="00BC1819">
      <w:pPr>
        <w:pStyle w:val="NormalArial"/>
        <w:jc w:val="both"/>
      </w:pPr>
    </w:p>
    <w:p w14:paraId="1E132626" w14:textId="77777777" w:rsidR="002F1A3F" w:rsidRDefault="00BC1819" w:rsidP="00BC1819">
      <w:pPr>
        <w:pStyle w:val="NormalArial"/>
        <w:jc w:val="both"/>
      </w:pPr>
      <w:r>
        <w:t xml:space="preserve">House Bill 1500 directed the Commission to require ERCOT to </w:t>
      </w:r>
      <w:r w:rsidR="008E17F4">
        <w:t>“develop and implement an ancillary services program to procure dispatchable reliability reserve services on a day-ahead and real-time basis to account for market uncertainty.”</w:t>
      </w:r>
      <w:r w:rsidR="00A71C34">
        <w:rPr>
          <w:rStyle w:val="FootnoteReference"/>
        </w:rPr>
        <w:footnoteReference w:id="1"/>
      </w:r>
      <w:r>
        <w:t xml:space="preserve"> </w:t>
      </w:r>
      <w:r w:rsidR="008E17F4">
        <w:t xml:space="preserve">The Legislature itself required ERCOT to develop </w:t>
      </w:r>
      <w:r w:rsidR="00687749">
        <w:t>resource participation criteri</w:t>
      </w:r>
      <w:r w:rsidR="004444BF">
        <w:t>a comprised of three parts</w:t>
      </w:r>
      <w:r w:rsidR="008E17F4">
        <w:t>.</w:t>
      </w:r>
      <w:r w:rsidR="00A71C34">
        <w:rPr>
          <w:rStyle w:val="FootnoteReference"/>
        </w:rPr>
        <w:footnoteReference w:id="2"/>
      </w:r>
      <w:r w:rsidR="00D53143">
        <w:t xml:space="preserve"> Notably, </w:t>
      </w:r>
      <w:r w:rsidR="00DA493A">
        <w:t xml:space="preserve">the Legislature did not limit </w:t>
      </w:r>
      <w:r w:rsidR="008E3DFE">
        <w:t xml:space="preserve">DRRS resource </w:t>
      </w:r>
      <w:r w:rsidR="00371954">
        <w:t>participation solely to Off-Line traditional generation as ERCOT is proposing.</w:t>
      </w:r>
    </w:p>
    <w:p w14:paraId="5FAB47F6" w14:textId="77777777" w:rsidR="002F1A3F" w:rsidRDefault="002F1A3F" w:rsidP="00BC1819">
      <w:pPr>
        <w:pStyle w:val="NormalArial"/>
        <w:jc w:val="both"/>
      </w:pPr>
    </w:p>
    <w:p w14:paraId="48F47F22" w14:textId="77777777" w:rsidR="00B82246" w:rsidRDefault="00D53143" w:rsidP="00BC1819">
      <w:pPr>
        <w:pStyle w:val="NormalArial"/>
        <w:jc w:val="both"/>
      </w:pPr>
      <w:r>
        <w:lastRenderedPageBreak/>
        <w:t>Texas courts have a longstanding history of disallowing “extra-statutory requirements” in the implementation of legislation,</w:t>
      </w:r>
      <w:r w:rsidR="00A71C34">
        <w:rPr>
          <w:rStyle w:val="FootnoteReference"/>
        </w:rPr>
        <w:footnoteReference w:id="3"/>
      </w:r>
      <w:r>
        <w:t xml:space="preserve"> and PURA § 39.159(d) is no exception. </w:t>
      </w:r>
      <w:r w:rsidR="00B82246">
        <w:t>Simply put, all resources that meet the criteria set forth in PURA § 39.159(d) should be able to participate when DRRS is implemented.</w:t>
      </w:r>
      <w:r w:rsidR="002F1A3F">
        <w:t xml:space="preserve"> Decades of Texas Supreme Court jurisprudence show that, when an agency considers a statutorily irrelevant factor, the agency action is “arbitrary and capricious,” and thus, an abuse of discretion.</w:t>
      </w:r>
      <w:r w:rsidR="00A71C34">
        <w:rPr>
          <w:rStyle w:val="FootnoteReference"/>
        </w:rPr>
        <w:footnoteReference w:id="4"/>
      </w:r>
      <w:r w:rsidR="002F1A3F">
        <w:t xml:space="preserve"> </w:t>
      </w:r>
      <w:r w:rsidR="003E27A5">
        <w:t>If the Public Utility Commission</w:t>
      </w:r>
      <w:r w:rsidR="004444BF">
        <w:t xml:space="preserve"> (the Commission)</w:t>
      </w:r>
      <w:r w:rsidR="003E27A5">
        <w:t xml:space="preserve"> approves a DRRS program developed by ERCOT that excludes ESRs,</w:t>
      </w:r>
      <w:r w:rsidR="004444BF">
        <w:t xml:space="preserve"> that action will be arbitrary and capricious. ERCOT and the Commission should rather follow the plain language of the statute and the clear legislative intent by including ESRs that are capable of meeting the statutory requirements.</w:t>
      </w:r>
    </w:p>
    <w:p w14:paraId="66BE223A" w14:textId="77777777" w:rsidR="00B82246" w:rsidRDefault="00B82246" w:rsidP="00BC1819">
      <w:pPr>
        <w:pStyle w:val="NormalArial"/>
        <w:jc w:val="both"/>
      </w:pPr>
    </w:p>
    <w:p w14:paraId="2733F3F9" w14:textId="77777777" w:rsidR="00B82246" w:rsidRDefault="00A71C34" w:rsidP="00BC1819">
      <w:pPr>
        <w:pStyle w:val="NormalArial"/>
        <w:jc w:val="both"/>
      </w:pPr>
      <w:r>
        <w:t>While APA prefers that ESRs be included in NPRR 1235, APA does not oppose ERCOT’s proposed approach of preparing a separate NPRR to provide for ESR participation in DRRS. However, given that the ultimate implementation of NPRR 1235 will</w:t>
      </w:r>
      <w:r w:rsidR="00C07B14">
        <w:t xml:space="preserve"> likely</w:t>
      </w:r>
      <w:r>
        <w:t xml:space="preserve"> not be until after the implementation of Real-Time Co-Optimization (i.e., not until 2026</w:t>
      </w:r>
      <w:r w:rsidR="009D1515">
        <w:t xml:space="preserve"> or later</w:t>
      </w:r>
      <w:r>
        <w:t xml:space="preserve">), there is no reason that an NPRR </w:t>
      </w:r>
      <w:r w:rsidR="00C07B14">
        <w:t>should not be completed and approved by the Commission in time for ESRs to participate in DRRS on day one</w:t>
      </w:r>
      <w:r>
        <w:t>.</w:t>
      </w:r>
      <w:r w:rsidR="006539E3">
        <w:t xml:space="preserve"> Failure to do so falls short of complying with the clear intent of the </w:t>
      </w:r>
      <w:r w:rsidR="006D0317">
        <w:t>L</w:t>
      </w:r>
      <w:r w:rsidR="006539E3">
        <w:t>egislature as set forth in the statutory language.</w:t>
      </w:r>
    </w:p>
    <w:p w14:paraId="59B370D6" w14:textId="77777777" w:rsidR="00BD7258" w:rsidRDefault="00BD7258" w:rsidP="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00000" w14:paraId="20B50917" w14:textId="77777777" w:rsidTr="00B5080A">
        <w:trPr>
          <w:trHeight w:val="350"/>
        </w:trPr>
        <w:tc>
          <w:tcPr>
            <w:tcW w:w="10440" w:type="dxa"/>
            <w:tcBorders>
              <w:bottom w:val="single" w:sz="4" w:space="0" w:color="auto"/>
            </w:tcBorders>
            <w:shd w:val="clear" w:color="auto" w:fill="FFFFFF"/>
            <w:vAlign w:val="center"/>
          </w:tcPr>
          <w:p w14:paraId="53FCB4E8" w14:textId="77777777" w:rsidR="00BD7258" w:rsidRDefault="00A71C34" w:rsidP="00B5080A">
            <w:pPr>
              <w:pStyle w:val="Header"/>
              <w:jc w:val="center"/>
            </w:pPr>
            <w:r>
              <w:t>Revised Cover Page Language</w:t>
            </w:r>
          </w:p>
        </w:tc>
      </w:tr>
    </w:tbl>
    <w:p w14:paraId="6639920B" w14:textId="77777777" w:rsidR="00152993" w:rsidRDefault="00C07B14" w:rsidP="00A71C34">
      <w:pPr>
        <w:pStyle w:val="NormalArial"/>
        <w:spacing w:before="120" w:after="120"/>
      </w:pPr>
      <w:r>
        <w:t>None at this time.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00000" w14:paraId="73DE3BA2" w14:textId="77777777">
        <w:trPr>
          <w:trHeight w:val="350"/>
        </w:trPr>
        <w:tc>
          <w:tcPr>
            <w:tcW w:w="10440" w:type="dxa"/>
            <w:tcBorders>
              <w:bottom w:val="single" w:sz="4" w:space="0" w:color="auto"/>
            </w:tcBorders>
            <w:shd w:val="clear" w:color="auto" w:fill="FFFFFF"/>
            <w:vAlign w:val="center"/>
          </w:tcPr>
          <w:p w14:paraId="2FB5FE01" w14:textId="77777777" w:rsidR="00152993" w:rsidRDefault="00A71C34">
            <w:pPr>
              <w:pStyle w:val="Header"/>
              <w:jc w:val="center"/>
            </w:pPr>
            <w:r>
              <w:t>Revised Proposed Protocol Language</w:t>
            </w:r>
          </w:p>
        </w:tc>
      </w:tr>
    </w:tbl>
    <w:p w14:paraId="1131BD32" w14:textId="652A8644" w:rsidR="00152993" w:rsidRDefault="00A71C34" w:rsidP="00A71C34">
      <w:pPr>
        <w:pStyle w:val="NormalArial"/>
        <w:spacing w:before="120" w:after="120"/>
      </w:pPr>
      <w:r>
        <w:t>None at this time.</w:t>
      </w:r>
    </w:p>
    <w:sectPr w:rsidR="00152993" w:rsidSect="00202BC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A007F" w14:textId="77777777" w:rsidR="0031364A" w:rsidRDefault="0031364A">
      <w:r>
        <w:separator/>
      </w:r>
    </w:p>
  </w:endnote>
  <w:endnote w:type="continuationSeparator" w:id="0">
    <w:p w14:paraId="73D7F3D8" w14:textId="77777777" w:rsidR="0031364A" w:rsidRDefault="0031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3066" w14:textId="60BDD12B" w:rsidR="006E3F38" w:rsidRDefault="006E3F38" w:rsidP="006E3F38">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Pr>
        <w:rFonts w:ascii="Arial" w:hAnsi="Arial"/>
        <w:noProof/>
        <w:sz w:val="18"/>
      </w:rPr>
      <w:t>1235NPRR-1</w:t>
    </w:r>
    <w:r>
      <w:rPr>
        <w:rFonts w:ascii="Arial" w:hAnsi="Arial"/>
        <w:noProof/>
        <w:sz w:val="18"/>
      </w:rPr>
      <w:t>7</w:t>
    </w:r>
    <w:r>
      <w:rPr>
        <w:rFonts w:ascii="Arial" w:hAnsi="Arial"/>
        <w:noProof/>
        <w:sz w:val="18"/>
      </w:rPr>
      <w:t xml:space="preserve"> </w:t>
    </w:r>
    <w:r>
      <w:rPr>
        <w:rFonts w:ascii="Arial" w:hAnsi="Arial"/>
        <w:noProof/>
        <w:sz w:val="18"/>
      </w:rPr>
      <w:t>APA</w:t>
    </w:r>
    <w:r>
      <w:rPr>
        <w:rFonts w:ascii="Arial" w:hAnsi="Arial"/>
        <w:noProof/>
        <w:sz w:val="18"/>
      </w:rPr>
      <w:t xml:space="preserve"> Comments 0</w:t>
    </w:r>
    <w:r>
      <w:rPr>
        <w:rFonts w:ascii="Arial" w:hAnsi="Arial"/>
        <w:noProof/>
        <w:sz w:val="18"/>
      </w:rPr>
      <w:t>924</w:t>
    </w:r>
    <w:r>
      <w:rPr>
        <w:rFonts w:ascii="Arial" w:hAnsi="Arial"/>
        <w:noProof/>
        <w:sz w:val="18"/>
      </w:rPr>
      <w:t>24</w:t>
    </w:r>
    <w:r>
      <w:rPr>
        <w:rFonts w:ascii="Arial" w:hAnsi="Arial"/>
        <w:sz w:val="18"/>
      </w:rPr>
      <w:fldChar w:fldCharType="end"/>
    </w:r>
    <w:r>
      <w:rPr>
        <w:rFonts w:ascii="Arial" w:hAnsi="Arial"/>
        <w:sz w:val="18"/>
      </w:rPr>
      <w:tab/>
      <w:t xml:space="preserve">Page </w:t>
    </w:r>
    <w:r>
      <w:rPr>
        <w:rFonts w:ascii="Arial" w:hAnsi="Arial"/>
        <w:sz w:val="18"/>
      </w:rPr>
      <w:fldChar w:fldCharType="begin"/>
    </w:r>
    <w:r>
      <w:rPr>
        <w:rFonts w:ascii="Arial" w:hAnsi="Arial"/>
        <w:sz w:val="18"/>
      </w:rPr>
      <w:instrText xml:space="preserve"> PAGE </w:instrText>
    </w:r>
    <w:r>
      <w:rPr>
        <w:rFonts w:ascii="Arial" w:hAnsi="Arial"/>
        <w:sz w:val="18"/>
      </w:rPr>
      <w:fldChar w:fldCharType="separate"/>
    </w:r>
    <w:r>
      <w:rPr>
        <w:rFonts w:ascii="Arial" w:hAnsi="Arial"/>
        <w:sz w:val="18"/>
      </w:rPr>
      <w:t>1</w:t>
    </w:r>
    <w:r>
      <w:rPr>
        <w:rFonts w:ascii="Arial" w:hAnsi="Arial"/>
        <w:sz w:val="18"/>
      </w:rPr>
      <w:fldChar w:fldCharType="end"/>
    </w:r>
    <w:r>
      <w:rPr>
        <w:rFonts w:ascii="Arial" w:hAnsi="Arial"/>
        <w:sz w:val="18"/>
      </w:rPr>
      <w:t xml:space="preserve"> of </w:t>
    </w:r>
    <w:r>
      <w:rPr>
        <w:rFonts w:ascii="Arial" w:hAnsi="Arial"/>
        <w:sz w:val="18"/>
      </w:rPr>
      <w:fldChar w:fldCharType="begin"/>
    </w:r>
    <w:r>
      <w:rPr>
        <w:rFonts w:ascii="Arial" w:hAnsi="Arial"/>
        <w:sz w:val="18"/>
      </w:rPr>
      <w:instrText xml:space="preserve"> NUMPAGES </w:instrText>
    </w:r>
    <w:r>
      <w:rPr>
        <w:rFonts w:ascii="Arial" w:hAnsi="Arial"/>
        <w:sz w:val="18"/>
      </w:rPr>
      <w:fldChar w:fldCharType="separate"/>
    </w:r>
    <w:r>
      <w:rPr>
        <w:rFonts w:ascii="Arial" w:hAnsi="Arial"/>
        <w:sz w:val="18"/>
      </w:rPr>
      <w:t>2</w:t>
    </w:r>
    <w:r>
      <w:rPr>
        <w:rFonts w:ascii="Arial" w:hAnsi="Arial"/>
        <w:sz w:val="18"/>
      </w:rPr>
      <w:fldChar w:fldCharType="end"/>
    </w:r>
  </w:p>
  <w:p w14:paraId="3421B791" w14:textId="79993036" w:rsidR="006E3F38" w:rsidRPr="006E3F38" w:rsidRDefault="006E3F38" w:rsidP="006E3F38">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3EDE6" w14:textId="77777777" w:rsidR="0031364A" w:rsidRDefault="0031364A">
      <w:r>
        <w:separator/>
      </w:r>
    </w:p>
  </w:footnote>
  <w:footnote w:type="continuationSeparator" w:id="0">
    <w:p w14:paraId="6C02998A" w14:textId="77777777" w:rsidR="0031364A" w:rsidRDefault="0031364A">
      <w:r>
        <w:continuationSeparator/>
      </w:r>
    </w:p>
  </w:footnote>
  <w:footnote w:id="1">
    <w:p w14:paraId="0961BF96" w14:textId="77777777" w:rsidR="008E17F4" w:rsidRPr="002F1A3F" w:rsidRDefault="00A71C34">
      <w:pPr>
        <w:pStyle w:val="FootnoteText"/>
        <w:rPr>
          <w:rFonts w:ascii="Arial" w:hAnsi="Arial" w:cs="Arial"/>
        </w:rPr>
      </w:pPr>
      <w:r w:rsidRPr="002F1A3F">
        <w:rPr>
          <w:rStyle w:val="FootnoteReference"/>
          <w:rFonts w:ascii="Arial" w:hAnsi="Arial" w:cs="Arial"/>
        </w:rPr>
        <w:footnoteRef/>
      </w:r>
      <w:r w:rsidRPr="002F1A3F">
        <w:rPr>
          <w:rFonts w:ascii="Arial" w:hAnsi="Arial" w:cs="Arial"/>
        </w:rPr>
        <w:t xml:space="preserve"> </w:t>
      </w:r>
      <w:r w:rsidRPr="002F1A3F">
        <w:rPr>
          <w:rFonts w:ascii="Arial" w:hAnsi="Arial" w:cs="Arial"/>
          <w:smallCaps/>
        </w:rPr>
        <w:t>Tex. Util. Code</w:t>
      </w:r>
      <w:r w:rsidRPr="002F1A3F">
        <w:rPr>
          <w:rFonts w:ascii="Arial" w:hAnsi="Arial" w:cs="Arial"/>
        </w:rPr>
        <w:t xml:space="preserve"> §39.159(d).</w:t>
      </w:r>
    </w:p>
  </w:footnote>
  <w:footnote w:id="2">
    <w:p w14:paraId="05FF929F" w14:textId="77777777" w:rsidR="008E17F4" w:rsidRPr="002F1A3F" w:rsidRDefault="00A71C34">
      <w:pPr>
        <w:pStyle w:val="FootnoteText"/>
        <w:rPr>
          <w:rFonts w:ascii="Arial" w:hAnsi="Arial" w:cs="Arial"/>
        </w:rPr>
      </w:pPr>
      <w:r w:rsidRPr="002F1A3F">
        <w:rPr>
          <w:rStyle w:val="FootnoteReference"/>
          <w:rFonts w:ascii="Arial" w:hAnsi="Arial" w:cs="Arial"/>
        </w:rPr>
        <w:footnoteRef/>
      </w:r>
      <w:r w:rsidRPr="002F1A3F">
        <w:rPr>
          <w:rFonts w:ascii="Arial" w:hAnsi="Arial" w:cs="Arial"/>
        </w:rPr>
        <w:t xml:space="preserve"> </w:t>
      </w:r>
      <w:r w:rsidRPr="002F1A3F">
        <w:rPr>
          <w:rFonts w:ascii="Arial" w:hAnsi="Arial" w:cs="Arial"/>
          <w:i/>
          <w:iCs/>
        </w:rPr>
        <w:t>See id</w:t>
      </w:r>
      <w:r w:rsidRPr="002F1A3F">
        <w:rPr>
          <w:rFonts w:ascii="Arial" w:hAnsi="Arial" w:cs="Arial"/>
        </w:rPr>
        <w:t xml:space="preserve">. at 39.159(d)(2). Those criteria </w:t>
      </w:r>
      <w:r w:rsidR="004444BF">
        <w:rPr>
          <w:rFonts w:ascii="Arial" w:hAnsi="Arial" w:cs="Arial"/>
        </w:rPr>
        <w:t xml:space="preserve">require that a resource </w:t>
      </w:r>
      <w:r w:rsidRPr="002F1A3F">
        <w:rPr>
          <w:rFonts w:ascii="Arial" w:hAnsi="Arial" w:cs="Arial"/>
        </w:rPr>
        <w:t xml:space="preserve">(1) </w:t>
      </w:r>
      <w:r w:rsidR="004444BF">
        <w:rPr>
          <w:rFonts w:ascii="Arial" w:hAnsi="Arial" w:cs="Arial"/>
        </w:rPr>
        <w:t xml:space="preserve">have the </w:t>
      </w:r>
      <w:r w:rsidRPr="002F1A3F">
        <w:rPr>
          <w:rFonts w:ascii="Arial" w:hAnsi="Arial" w:cs="Arial"/>
        </w:rPr>
        <w:t xml:space="preserve">capability of running at least four hours at </w:t>
      </w:r>
      <w:r w:rsidR="004444BF">
        <w:rPr>
          <w:rFonts w:ascii="Arial" w:hAnsi="Arial" w:cs="Arial"/>
        </w:rPr>
        <w:t>the resource’s high sustained limit</w:t>
      </w:r>
      <w:r w:rsidR="00D53143" w:rsidRPr="002F1A3F">
        <w:rPr>
          <w:rFonts w:ascii="Arial" w:hAnsi="Arial" w:cs="Arial"/>
        </w:rPr>
        <w:t xml:space="preserve">, (2) </w:t>
      </w:r>
      <w:r w:rsidR="004444BF">
        <w:rPr>
          <w:rFonts w:ascii="Arial" w:hAnsi="Arial" w:cs="Arial"/>
        </w:rPr>
        <w:t>be able</w:t>
      </w:r>
      <w:r w:rsidR="00D53143" w:rsidRPr="002F1A3F">
        <w:rPr>
          <w:rFonts w:ascii="Arial" w:hAnsi="Arial" w:cs="Arial"/>
        </w:rPr>
        <w:t xml:space="preserve"> to be online and dispatchable within two hours of being called on for deployment and (3) have the dispatchable flexibility to address inter-hour operational challenges.</w:t>
      </w:r>
    </w:p>
  </w:footnote>
  <w:footnote w:id="3">
    <w:p w14:paraId="38A888EC" w14:textId="77777777" w:rsidR="00D53143" w:rsidRPr="002F1A3F" w:rsidRDefault="00A71C34">
      <w:pPr>
        <w:pStyle w:val="FootnoteText"/>
        <w:rPr>
          <w:rFonts w:ascii="Arial" w:hAnsi="Arial" w:cs="Arial"/>
          <w:i/>
          <w:iCs/>
        </w:rPr>
      </w:pPr>
      <w:r w:rsidRPr="002F1A3F">
        <w:rPr>
          <w:rStyle w:val="FootnoteReference"/>
          <w:rFonts w:ascii="Arial" w:hAnsi="Arial" w:cs="Arial"/>
        </w:rPr>
        <w:footnoteRef/>
      </w:r>
      <w:r w:rsidRPr="002F1A3F">
        <w:rPr>
          <w:rFonts w:ascii="Arial" w:hAnsi="Arial" w:cs="Arial"/>
        </w:rPr>
        <w:t xml:space="preserve"> </w:t>
      </w:r>
      <w:r w:rsidRPr="002F1A3F">
        <w:rPr>
          <w:rFonts w:ascii="Arial" w:hAnsi="Arial" w:cs="Arial"/>
          <w:i/>
          <w:iCs/>
        </w:rPr>
        <w:t>See,</w:t>
      </w:r>
      <w:r w:rsidRPr="002F1A3F">
        <w:rPr>
          <w:rFonts w:ascii="Arial" w:hAnsi="Arial" w:cs="Arial"/>
        </w:rPr>
        <w:t xml:space="preserve"> </w:t>
      </w:r>
      <w:r w:rsidRPr="002F1A3F">
        <w:rPr>
          <w:rFonts w:ascii="Arial" w:hAnsi="Arial" w:cs="Arial"/>
          <w:i/>
          <w:iCs/>
        </w:rPr>
        <w:t>e.g.</w:t>
      </w:r>
      <w:r w:rsidRPr="002F1A3F">
        <w:rPr>
          <w:rFonts w:ascii="Arial" w:hAnsi="Arial" w:cs="Arial"/>
        </w:rPr>
        <w:t xml:space="preserve">, Combs v. Roark Amusement &amp; Vending, L.P. 422 S.W.3d 632, 637 (Tex. 2013) (barring the Comptroller of Public Accounts from imposing </w:t>
      </w:r>
      <w:r w:rsidR="00B82246" w:rsidRPr="002F1A3F">
        <w:rPr>
          <w:rFonts w:ascii="Arial" w:hAnsi="Arial" w:cs="Arial"/>
        </w:rPr>
        <w:t>any “extra-statutory requirement” that was absent in the plain language of the statute in question).</w:t>
      </w:r>
    </w:p>
  </w:footnote>
  <w:footnote w:id="4">
    <w:p w14:paraId="34999130" w14:textId="77777777" w:rsidR="002F1A3F" w:rsidRPr="002F1A3F" w:rsidRDefault="00A71C34">
      <w:pPr>
        <w:pStyle w:val="FootnoteText"/>
      </w:pPr>
      <w:r w:rsidRPr="002F1A3F">
        <w:rPr>
          <w:rStyle w:val="FootnoteReference"/>
          <w:rFonts w:ascii="Arial" w:hAnsi="Arial" w:cs="Arial"/>
        </w:rPr>
        <w:footnoteRef/>
      </w:r>
      <w:r w:rsidRPr="002F1A3F">
        <w:rPr>
          <w:rFonts w:ascii="Arial" w:hAnsi="Arial" w:cs="Arial"/>
        </w:rPr>
        <w:t xml:space="preserve"> </w:t>
      </w:r>
      <w:r w:rsidRPr="002F1A3F">
        <w:rPr>
          <w:rFonts w:ascii="Arial" w:hAnsi="Arial" w:cs="Arial"/>
          <w:i/>
          <w:iCs/>
        </w:rPr>
        <w:t>See, e.g.</w:t>
      </w:r>
      <w:r w:rsidRPr="002F1A3F">
        <w:rPr>
          <w:rFonts w:ascii="Arial" w:hAnsi="Arial" w:cs="Arial"/>
        </w:rPr>
        <w:t>, City of El Paso v. Public Utility Com</w:t>
      </w:r>
      <w:r w:rsidR="006D0317">
        <w:rPr>
          <w:rFonts w:ascii="Arial" w:hAnsi="Arial" w:cs="Arial"/>
        </w:rPr>
        <w:t>missio</w:t>
      </w:r>
      <w:r w:rsidRPr="002F1A3F">
        <w:rPr>
          <w:rFonts w:ascii="Arial" w:hAnsi="Arial" w:cs="Arial"/>
        </w:rPr>
        <w:t>n of Texas, 883 S.W.2d 179 at 184 (Tex. 1994).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D96F" w14:textId="2F02CD7C" w:rsidR="006E3F38" w:rsidRPr="006E3F38" w:rsidRDefault="006E3F38" w:rsidP="006E3F38">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6060C90"/>
    <w:multiLevelType w:val="hybridMultilevel"/>
    <w:tmpl w:val="246208DE"/>
    <w:lvl w:ilvl="0" w:tplc="FFFFFFFF">
      <w:start w:val="1"/>
      <w:numFmt w:val="bullet"/>
      <w:pStyle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1238201039">
    <w:abstractNumId w:val="0"/>
  </w:num>
  <w:num w:numId="2" w16cid:durableId="812409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37668"/>
    <w:rsid w:val="00075A94"/>
    <w:rsid w:val="000C2BFA"/>
    <w:rsid w:val="00132855"/>
    <w:rsid w:val="001510F0"/>
    <w:rsid w:val="00152993"/>
    <w:rsid w:val="00170297"/>
    <w:rsid w:val="001A227D"/>
    <w:rsid w:val="001E2032"/>
    <w:rsid w:val="00202BCE"/>
    <w:rsid w:val="0026022A"/>
    <w:rsid w:val="002D3AC7"/>
    <w:rsid w:val="002F1A3F"/>
    <w:rsid w:val="003010C0"/>
    <w:rsid w:val="0031364A"/>
    <w:rsid w:val="00332A97"/>
    <w:rsid w:val="00350C00"/>
    <w:rsid w:val="00366113"/>
    <w:rsid w:val="00371954"/>
    <w:rsid w:val="003C270C"/>
    <w:rsid w:val="003D0994"/>
    <w:rsid w:val="003E27A5"/>
    <w:rsid w:val="00422EFB"/>
    <w:rsid w:val="00423824"/>
    <w:rsid w:val="00433EE8"/>
    <w:rsid w:val="0043567D"/>
    <w:rsid w:val="004444BF"/>
    <w:rsid w:val="004B7B90"/>
    <w:rsid w:val="004E2C19"/>
    <w:rsid w:val="00507738"/>
    <w:rsid w:val="00597307"/>
    <w:rsid w:val="005A2CD3"/>
    <w:rsid w:val="005D284C"/>
    <w:rsid w:val="00604512"/>
    <w:rsid w:val="00633E23"/>
    <w:rsid w:val="006539E3"/>
    <w:rsid w:val="00673B94"/>
    <w:rsid w:val="00680AC6"/>
    <w:rsid w:val="006835D8"/>
    <w:rsid w:val="00687749"/>
    <w:rsid w:val="006C316E"/>
    <w:rsid w:val="006D0317"/>
    <w:rsid w:val="006D0F7C"/>
    <w:rsid w:val="006E3F38"/>
    <w:rsid w:val="006F378F"/>
    <w:rsid w:val="007269C4"/>
    <w:rsid w:val="0074209E"/>
    <w:rsid w:val="007F2CA8"/>
    <w:rsid w:val="007F7161"/>
    <w:rsid w:val="0085559E"/>
    <w:rsid w:val="008642D2"/>
    <w:rsid w:val="00883557"/>
    <w:rsid w:val="00896B1B"/>
    <w:rsid w:val="008A31DF"/>
    <w:rsid w:val="008E17F4"/>
    <w:rsid w:val="008E3DFE"/>
    <w:rsid w:val="008E559E"/>
    <w:rsid w:val="00916080"/>
    <w:rsid w:val="00921A68"/>
    <w:rsid w:val="009D1515"/>
    <w:rsid w:val="009E5E98"/>
    <w:rsid w:val="00A015C4"/>
    <w:rsid w:val="00A15172"/>
    <w:rsid w:val="00A71C34"/>
    <w:rsid w:val="00B5080A"/>
    <w:rsid w:val="00B62832"/>
    <w:rsid w:val="00B82246"/>
    <w:rsid w:val="00B943AE"/>
    <w:rsid w:val="00BC1819"/>
    <w:rsid w:val="00BD7258"/>
    <w:rsid w:val="00C0598D"/>
    <w:rsid w:val="00C07B14"/>
    <w:rsid w:val="00C11956"/>
    <w:rsid w:val="00C602E5"/>
    <w:rsid w:val="00C748FD"/>
    <w:rsid w:val="00CF189F"/>
    <w:rsid w:val="00D22B08"/>
    <w:rsid w:val="00D4046E"/>
    <w:rsid w:val="00D4362F"/>
    <w:rsid w:val="00D51005"/>
    <w:rsid w:val="00D53143"/>
    <w:rsid w:val="00DA493A"/>
    <w:rsid w:val="00DD4739"/>
    <w:rsid w:val="00DE5F33"/>
    <w:rsid w:val="00E07B54"/>
    <w:rsid w:val="00E11F78"/>
    <w:rsid w:val="00E41357"/>
    <w:rsid w:val="00E621E1"/>
    <w:rsid w:val="00EC55B3"/>
    <w:rsid w:val="00EE6681"/>
    <w:rsid w:val="00F47079"/>
    <w:rsid w:val="00F96FB2"/>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2C50A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FootnoteText">
    <w:name w:val="footnote text"/>
    <w:basedOn w:val="Normal"/>
    <w:link w:val="FootnoteTextChar"/>
    <w:rsid w:val="008E17F4"/>
    <w:rPr>
      <w:sz w:val="20"/>
      <w:szCs w:val="20"/>
    </w:rPr>
  </w:style>
  <w:style w:type="character" w:customStyle="1" w:styleId="FootnoteTextChar">
    <w:name w:val="Footnote Text Char"/>
    <w:basedOn w:val="DefaultParagraphFont"/>
    <w:link w:val="FootnoteText"/>
    <w:rsid w:val="008E17F4"/>
  </w:style>
  <w:style w:type="character" w:styleId="FootnoteReference">
    <w:name w:val="footnote reference"/>
    <w:rsid w:val="008E17F4"/>
    <w:rPr>
      <w:vertAlign w:val="superscript"/>
    </w:rPr>
  </w:style>
  <w:style w:type="paragraph" w:styleId="Revision">
    <w:name w:val="Revision"/>
    <w:hidden/>
    <w:uiPriority w:val="99"/>
    <w:semiHidden/>
    <w:rsid w:val="002D3AC7"/>
    <w:rPr>
      <w:sz w:val="24"/>
      <w:szCs w:val="24"/>
    </w:rPr>
  </w:style>
  <w:style w:type="character" w:styleId="UnresolvedMention">
    <w:name w:val="Unresolved Mention"/>
    <w:basedOn w:val="DefaultParagraphFont"/>
    <w:uiPriority w:val="99"/>
    <w:semiHidden/>
    <w:unhideWhenUsed/>
    <w:rsid w:val="006E3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udd.Messer@poweralliance.org" TargetMode="External"/><Relationship Id="rId3" Type="http://schemas.openxmlformats.org/officeDocument/2006/relationships/settings" Target="settings.xml"/><Relationship Id="rId7" Type="http://schemas.openxmlformats.org/officeDocument/2006/relationships/hyperlink" Target="https://www.ercot.com/mktrules/issues/NPRR12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2024-09-24T16:47:00Z</dcterms:created>
  <dcterms:modified xsi:type="dcterms:W3CDTF">2024-09-24T16:48:00Z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2024-09-24T16:47:10Z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bedb9b23-e8a5-40b8-913c-8eed919bf707</vt:lpwstr>
  </property>
  <property fmtid="{D5CDD505-2E9C-101B-9397-08002B2CF9AE}" pid="8" name="MSIP_Label_7084cbda-52b8-46fb-a7b7-cb5bd465ed85_ContentBits">
    <vt:lpwstr>0</vt:lpwstr>
  </property>
</Properties>
</file>