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7D0CE6" w:rsidP="007D0CE6">
            <w:pPr>
              <w:pStyle w:val="Header"/>
              <w:spacing w:before="120" w:after="120"/>
              <w:jc w:val="center"/>
            </w:pPr>
            <w:hyperlink r:id="rId11" w:history="1">
              <w:r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67FE2" w:rsidRPr="00E01925" w14:paraId="398BCBF4" w14:textId="77777777" w:rsidTr="24F11E7A">
        <w:trPr>
          <w:trHeight w:val="518"/>
        </w:trPr>
        <w:tc>
          <w:tcPr>
            <w:tcW w:w="2880" w:type="dxa"/>
            <w:gridSpan w:val="2"/>
            <w:shd w:val="clear" w:color="auto" w:fill="FFFFFF" w:themeFill="background1"/>
            <w:vAlign w:val="center"/>
          </w:tcPr>
          <w:p w14:paraId="3A20C7F8" w14:textId="77777777" w:rsidR="00067FE2" w:rsidRPr="00E01925" w:rsidRDefault="00067FE2" w:rsidP="00DC564E">
            <w:pPr>
              <w:pStyle w:val="Header"/>
              <w:spacing w:before="120" w:after="120"/>
              <w:rPr>
                <w:bCs w:val="0"/>
              </w:rPr>
            </w:pPr>
            <w:r w:rsidRPr="00E01925">
              <w:rPr>
                <w:bCs w:val="0"/>
              </w:rPr>
              <w:t>Date Posted</w:t>
            </w:r>
          </w:p>
        </w:tc>
        <w:tc>
          <w:tcPr>
            <w:tcW w:w="7560" w:type="dxa"/>
            <w:gridSpan w:val="2"/>
            <w:vAlign w:val="center"/>
          </w:tcPr>
          <w:p w14:paraId="16A45634" w14:textId="586442A9" w:rsidR="00067FE2" w:rsidRPr="00E01925" w:rsidRDefault="00DC564E" w:rsidP="00DC564E">
            <w:pPr>
              <w:pStyle w:val="NormalArial"/>
              <w:spacing w:before="120" w:after="120"/>
            </w:pPr>
            <w:r>
              <w:t>July 2, 2024</w:t>
            </w:r>
          </w:p>
        </w:tc>
      </w:tr>
      <w:tr w:rsidR="00067FE2" w14:paraId="788C839C" w14:textId="77777777" w:rsidTr="24F11E7A">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DC564E">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9369842" w:rsidR="009D17F0" w:rsidRPr="00FB509B" w:rsidRDefault="0066370F" w:rsidP="00DC564E">
            <w:pPr>
              <w:pStyle w:val="NormalArial"/>
              <w:spacing w:before="120" w:after="120"/>
            </w:pPr>
            <w:r w:rsidRPr="00FB509B">
              <w:t>Normal</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lastRenderedPageBreak/>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557EADA9"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45DCAA48" w14:textId="7C10F436"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3D7D653F" w14:textId="570B7717" w:rsidR="00C17280" w:rsidRDefault="00C17280" w:rsidP="00C17280">
            <w:pPr>
              <w:pStyle w:val="NormalArial"/>
              <w:spacing w:before="120"/>
              <w:ind w:left="432" w:hanging="432"/>
              <w:rPr>
                <w:rFonts w:cs="Arial"/>
                <w:color w:val="000000"/>
              </w:rPr>
            </w:pPr>
            <w:r>
              <w:object w:dxaOrig="225" w:dyaOrig="225" w14:anchorId="3F93E454">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0EA1FA9B" w14:textId="1C83F1D7" w:rsidR="00C17280" w:rsidRDefault="00C17280" w:rsidP="00C17280">
            <w:pPr>
              <w:pStyle w:val="NormalArial"/>
              <w:spacing w:before="120"/>
              <w:rPr>
                <w:iCs/>
                <w:kern w:val="24"/>
              </w:rPr>
            </w:pPr>
            <w:r>
              <w:object w:dxaOrig="225" w:dyaOrig="225" w14:anchorId="27AB4EC6">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7717C22E" w14:textId="100B7385" w:rsidR="00C17280" w:rsidRDefault="00C17280" w:rsidP="00C17280">
            <w:pPr>
              <w:pStyle w:val="NormalArial"/>
              <w:spacing w:before="120"/>
              <w:rPr>
                <w:iCs/>
                <w:kern w:val="24"/>
              </w:rPr>
            </w:pPr>
            <w:r>
              <w:object w:dxaOrig="225" w:dyaOrig="225" w14:anchorId="71F9B6C0">
                <v:shape id="_x0000_i1045" type="#_x0000_t75" style="width:15.75pt;height:15pt" o:ole="">
                  <v:imagedata r:id="rId12" o:title=""/>
                </v:shape>
                <w:control r:id="rId21" w:name="TextBox14" w:shapeid="_x0000_i1045"/>
              </w:object>
            </w:r>
            <w:r>
              <w:t xml:space="preserve">  </w:t>
            </w:r>
            <w:r>
              <w:rPr>
                <w:iCs/>
                <w:kern w:val="24"/>
              </w:rPr>
              <w:t>Regulatory requirements</w:t>
            </w:r>
          </w:p>
          <w:p w14:paraId="65814F8D" w14:textId="37F87DF5" w:rsidR="00C17280" w:rsidRDefault="00C17280" w:rsidP="00C17280">
            <w:pPr>
              <w:pStyle w:val="NormalArial"/>
              <w:spacing w:before="120"/>
              <w:rPr>
                <w:rFonts w:cs="Arial"/>
                <w:color w:val="000000"/>
              </w:rPr>
            </w:pPr>
            <w:r>
              <w:object w:dxaOrig="225" w:dyaOrig="225" w14:anchorId="13E4E621">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(please select ONLY ONE – if more than one apply, please select the ONE that is most relevant)</w:t>
            </w:r>
          </w:p>
        </w:tc>
      </w:tr>
      <w:tr w:rsidR="00625E5D" w14:paraId="3F80A5FA" w14:textId="77777777" w:rsidTr="24F11E7A">
        <w:trPr>
          <w:trHeight w:val="518"/>
        </w:trPr>
        <w:tc>
          <w:tcPr>
            <w:tcW w:w="2880" w:type="dxa"/>
            <w:gridSpan w:val="2"/>
            <w:tcBorders>
              <w:bottom w:val="single" w:sz="4" w:space="0" w:color="auto"/>
            </w:tcBorders>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tcBorders>
              <w:bottom w:val="single" w:sz="4" w:space="0" w:color="auto"/>
            </w:tcBorders>
            <w:vAlign w:val="center"/>
          </w:tcPr>
          <w:p w14:paraId="313E5647" w14:textId="0AD058B1"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3A220269" w:rsidR="009A3772" w:rsidRDefault="007D0CE6">
            <w:pPr>
              <w:pStyle w:val="NormalArial"/>
            </w:pPr>
            <w:hyperlink r:id="rId23" w:history="1">
              <w:r w:rsidR="00E507A4" w:rsidRPr="00714198">
                <w:rPr>
                  <w:rStyle w:val="Hyperlink"/>
                </w:rPr>
                <w:t>Kimberly.Rainwater@ercot.com</w:t>
              </w:r>
            </w:hyperlink>
            <w:r w:rsidR="00B937A8" w:rsidDel="00B937A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7D0CE6">
            <w:pPr>
              <w:pStyle w:val="NormalArial"/>
            </w:pPr>
            <w:hyperlink r:id="rId25"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160026514"/>
      <w:bookmarkStart w:id="2" w:name="_Toc204048490"/>
      <w:bookmarkStart w:id="3" w:name="_Toc400526075"/>
      <w:bookmarkStart w:id="4" w:name="_Toc405534393"/>
      <w:bookmarkStart w:id="5" w:name="_Toc406570406"/>
      <w:bookmarkStart w:id="6" w:name="_Toc410910558"/>
      <w:bookmarkStart w:id="7" w:name="_Toc411840986"/>
      <w:bookmarkStart w:id="8" w:name="_Toc422146948"/>
      <w:bookmarkStart w:id="9" w:name="_Toc433020544"/>
      <w:bookmarkStart w:id="10" w:name="_Toc437261985"/>
      <w:bookmarkStart w:id="11" w:name="_Toc478375156"/>
      <w:bookmarkStart w:id="12" w:name="_Toc160026539"/>
      <w:bookmarkStart w:id="13" w:name="_Toc478375173"/>
      <w:bookmarkStart w:id="14" w:name="_Toc160026558"/>
      <w:bookmarkStart w:id="15" w:name="_Toc204048507"/>
      <w:bookmarkStart w:id="16" w:name="_Toc400526094"/>
      <w:bookmarkStart w:id="17" w:name="_Toc405534412"/>
      <w:bookmarkStart w:id="18" w:name="_Toc406570425"/>
      <w:bookmarkStart w:id="19" w:name="_Toc410910577"/>
      <w:bookmarkStart w:id="20" w:name="_Toc411841005"/>
      <w:bookmarkStart w:id="21" w:name="_Toc422146967"/>
      <w:bookmarkStart w:id="22" w:name="_Toc433020563"/>
      <w:bookmarkStart w:id="23" w:name="_Toc437262004"/>
      <w:bookmarkStart w:id="24" w:name="_Toc478375176"/>
      <w:bookmarkStart w:id="25" w:name="_Toc160026561"/>
      <w:bookmarkStart w:id="26" w:name="_Toc204048546"/>
      <w:bookmarkStart w:id="27" w:name="_Toc400526146"/>
      <w:bookmarkStart w:id="28" w:name="_Toc405534464"/>
      <w:bookmarkStart w:id="29" w:name="_Toc406570477"/>
      <w:bookmarkStart w:id="30" w:name="_Toc410910629"/>
      <w:bookmarkStart w:id="31" w:name="_Toc411841057"/>
      <w:bookmarkStart w:id="32" w:name="_Toc422147019"/>
      <w:bookmarkStart w:id="33" w:name="_Toc433020615"/>
      <w:bookmarkStart w:id="34" w:name="_Toc437262056"/>
      <w:bookmarkStart w:id="35" w:name="_Toc478375231"/>
      <w:bookmarkStart w:id="36" w:name="_Toc160026622"/>
      <w:bookmarkStart w:id="37" w:name="_Toc400526149"/>
      <w:bookmarkStart w:id="38" w:name="_Toc405534467"/>
      <w:bookmarkStart w:id="39" w:name="_Toc406570480"/>
      <w:bookmarkStart w:id="40" w:name="_Toc410910632"/>
      <w:bookmarkStart w:id="41" w:name="_Toc411841060"/>
      <w:bookmarkStart w:id="42" w:name="_Toc422147022"/>
      <w:bookmarkStart w:id="43" w:name="_Toc433020618"/>
      <w:bookmarkStart w:id="44" w:name="_Toc437262059"/>
      <w:bookmarkStart w:id="45" w:name="_Toc478375234"/>
      <w:bookmarkStart w:id="46" w:name="_Toc160026625"/>
      <w:bookmarkStart w:id="47" w:name="_Toc160026669"/>
      <w:bookmarkStart w:id="48" w:name="_Toc204048579"/>
      <w:bookmarkStart w:id="49" w:name="_Toc400526193"/>
      <w:bookmarkStart w:id="50" w:name="_Toc405534511"/>
      <w:bookmarkStart w:id="51" w:name="_Toc406570524"/>
      <w:bookmarkStart w:id="52" w:name="_Toc410910676"/>
      <w:bookmarkStart w:id="53" w:name="_Toc411841104"/>
      <w:bookmarkStart w:id="54" w:name="_Toc422147066"/>
      <w:bookmarkStart w:id="55" w:name="_Toc433020662"/>
      <w:bookmarkStart w:id="56" w:name="_Toc437262103"/>
      <w:bookmarkStart w:id="57" w:name="_Toc478375280"/>
      <w:bookmarkStart w:id="58" w:name="_Toc160026688"/>
      <w:bookmarkStart w:id="59" w:name="_Toc160026694"/>
      <w:bookmarkStart w:id="60" w:name="_Toc160026740"/>
      <w:bookmarkStart w:id="61" w:name="_Toc400526240"/>
      <w:bookmarkStart w:id="62" w:name="_Toc405534558"/>
      <w:bookmarkStart w:id="63" w:name="_Toc406570571"/>
      <w:bookmarkStart w:id="64" w:name="_Toc410910723"/>
      <w:bookmarkStart w:id="65" w:name="_Toc411841152"/>
      <w:bookmarkStart w:id="66" w:name="_Toc422147114"/>
      <w:bookmarkStart w:id="67" w:name="_Toc433020710"/>
      <w:bookmarkStart w:id="68" w:name="_Toc437262148"/>
      <w:bookmarkStart w:id="69" w:name="_Toc478375326"/>
      <w:bookmarkStart w:id="70" w:name="_Toc160026759"/>
      <w:bookmarkStart w:id="71" w:name="_Toc170303407"/>
      <w:bookmarkStart w:id="72" w:name="_Toc73216004"/>
      <w:bookmarkStart w:id="73" w:name="_Toc397504946"/>
      <w:bookmarkStart w:id="74" w:name="_Toc402357074"/>
      <w:bookmarkStart w:id="75" w:name="_Toc422486454"/>
      <w:bookmarkStart w:id="76" w:name="_Toc433093306"/>
      <w:bookmarkStart w:id="77" w:name="_Toc433093464"/>
      <w:bookmarkStart w:id="78" w:name="_Toc440874693"/>
      <w:bookmarkStart w:id="79" w:name="_Toc448142248"/>
      <w:bookmarkStart w:id="80" w:name="_Toc448142405"/>
      <w:bookmarkStart w:id="81" w:name="_Toc458770241"/>
      <w:bookmarkStart w:id="82" w:name="_Toc459294209"/>
      <w:bookmarkStart w:id="83" w:name="_Toc463262702"/>
      <w:bookmarkStart w:id="84" w:name="_Toc468286776"/>
      <w:bookmarkStart w:id="85" w:name="_Toc481502822"/>
      <w:bookmarkStart w:id="86" w:name="_Toc496079990"/>
      <w:bookmarkStart w:id="87" w:name="_Toc170303452"/>
      <w:r w:rsidRPr="00AE0E6D">
        <w:t>3.1.3.2</w:t>
      </w:r>
      <w:r w:rsidRPr="00AE0E6D">
        <w:tab/>
        <w:t>Resources</w:t>
      </w:r>
      <w:bookmarkEnd w:id="1"/>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Outages, and post those statistics to the </w:t>
      </w:r>
      <w:del w:id="88" w:author="ERCOT" w:date="2024-07-02T12:21:00Z">
        <w:r w:rsidDel="00127F84">
          <w:delText>MIS Secure Area</w:delText>
        </w:r>
      </w:del>
      <w:ins w:id="89"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2"/>
      <w:bookmarkEnd w:id="3"/>
      <w:bookmarkEnd w:id="4"/>
      <w:bookmarkEnd w:id="5"/>
      <w:bookmarkEnd w:id="6"/>
      <w:bookmarkEnd w:id="7"/>
      <w:bookmarkEnd w:id="8"/>
      <w:bookmarkEnd w:id="9"/>
      <w:bookmarkEnd w:id="10"/>
      <w:bookmarkEnd w:id="11"/>
      <w:bookmarkEnd w:id="12"/>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Within one hour of receipt by ERCOT, all Transmission Facilities Outages that have been submitted into the ERCOT Outage Scheduler, excluding Private Use Network transmission Outages;</w:t>
      </w:r>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Outages; </w:t>
      </w:r>
    </w:p>
    <w:p w14:paraId="500595E2" w14:textId="77777777" w:rsidR="002D7D98" w:rsidRDefault="002D7D98" w:rsidP="002D7D98">
      <w:pPr>
        <w:pStyle w:val="List"/>
      </w:pPr>
      <w:r>
        <w:t xml:space="preserve">(c) </w:t>
      </w:r>
      <w:r>
        <w:tab/>
        <w:t>Once each day, Outage Scheduler notes related to the coordination of Outages;</w:t>
      </w:r>
    </w:p>
    <w:p w14:paraId="0153E156" w14:textId="68E3C2D2" w:rsidR="002D7D98" w:rsidRDefault="002D7D98" w:rsidP="002D7D98">
      <w:pPr>
        <w:pStyle w:val="List"/>
      </w:pPr>
      <w:r>
        <w:lastRenderedPageBreak/>
        <w:t>(d)</w:t>
      </w:r>
      <w:r>
        <w:tab/>
        <w:t xml:space="preserve">At least annually, an updated list of High Impact Transmission Elements (HITEs) pursuant to Section 3.1.8, High Impact Transmission Element (HITE) Identification; </w:t>
      </w:r>
      <w:del w:id="90" w:author="ERCOT" w:date="2024-07-02T12:22:00Z">
        <w:r w:rsidDel="00127F84">
          <w:delText>and</w:delText>
        </w:r>
      </w:del>
    </w:p>
    <w:p w14:paraId="09F858BE" w14:textId="1EE10A1B" w:rsidR="002D7D98" w:rsidRDefault="002D7D98" w:rsidP="002D7D98">
      <w:pPr>
        <w:pStyle w:val="List"/>
        <w:rPr>
          <w:ins w:id="91" w:author="ERCOT" w:date="2024-07-02T12:22:00Z"/>
        </w:rPr>
      </w:pPr>
      <w:r>
        <w:t>(e)</w:t>
      </w:r>
      <w:r>
        <w:tab/>
        <w:t>Once each day, list of HIOs submitted with 90-days or less notice that are accepted or approved</w:t>
      </w:r>
      <w:del w:id="92" w:author="ERCOT" w:date="2024-07-02T12:22:00Z">
        <w:r w:rsidDel="00127F84">
          <w:delText>.</w:delText>
        </w:r>
      </w:del>
      <w:ins w:id="93" w:author="ERCOT" w:date="2024-07-02T12:22:00Z">
        <w:r w:rsidR="0074725E">
          <w:t>; and</w:t>
        </w:r>
      </w:ins>
    </w:p>
    <w:p w14:paraId="777683B5" w14:textId="4C6B6CA7" w:rsidR="0074725E" w:rsidRDefault="0074725E" w:rsidP="002D7D98">
      <w:pPr>
        <w:pStyle w:val="List"/>
      </w:pPr>
      <w:ins w:id="94" w:author="ERCOT" w:date="2024-07-02T12:22:00Z">
        <w:r>
          <w:t>(f)</w:t>
        </w:r>
        <w:r>
          <w:tab/>
          <w:t>An updated list of current and future equipment in the Outage Sche</w:t>
        </w:r>
      </w:ins>
      <w:ins w:id="95"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3"/>
      <w:bookmarkEnd w:id="14"/>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6"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t>3.2.2</w:t>
      </w:r>
      <w:r>
        <w:tab/>
        <w:t>Demand Forecasts</w:t>
      </w:r>
      <w:bookmarkEnd w:id="15"/>
      <w:bookmarkEnd w:id="16"/>
      <w:bookmarkEnd w:id="17"/>
      <w:bookmarkEnd w:id="18"/>
      <w:bookmarkEnd w:id="19"/>
      <w:bookmarkEnd w:id="20"/>
      <w:bookmarkEnd w:id="21"/>
      <w:bookmarkEnd w:id="22"/>
      <w:bookmarkEnd w:id="23"/>
      <w:bookmarkEnd w:id="24"/>
      <w:bookmarkEnd w:id="25"/>
    </w:p>
    <w:p w14:paraId="2A03FC94" w14:textId="364C3585" w:rsidR="00BA482B" w:rsidRPr="002D7D98" w:rsidRDefault="00BA482B" w:rsidP="00BA482B">
      <w:pPr>
        <w:pStyle w:val="BodyTextNumbered"/>
      </w:pPr>
      <w:r>
        <w:t>(1)</w:t>
      </w:r>
      <w:r>
        <w:tab/>
        <w:t xml:space="preserve">Monthly, ERCOT shall </w:t>
      </w:r>
      <w:del w:id="97" w:author="ERCOT" w:date="2024-07-02T12:23:00Z">
        <w:r w:rsidDel="0074725E">
          <w:delText xml:space="preserve">develop </w:delText>
        </w:r>
      </w:del>
      <w:ins w:id="98" w:author="ERCOT" w:date="2024-07-02T12:23:00Z">
        <w:r w:rsidR="0074725E">
          <w:t xml:space="preserve">post on </w:t>
        </w:r>
      </w:ins>
      <w:ins w:id="99" w:author="ERCOT" w:date="2024-07-02T12:39:00Z">
        <w:r w:rsidR="00A14FC1">
          <w:t>t</w:t>
        </w:r>
      </w:ins>
      <w:ins w:id="100" w:author="ERCOT" w:date="2024-07-02T12:23:00Z">
        <w:r w:rsidR="0074725E">
          <w:t>he E</w:t>
        </w:r>
      </w:ins>
      <w:ins w:id="101"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2" w:author="ERCOT" w:date="2024-07-02T12:24:00Z">
        <w:r w:rsidRPr="002D7D98" w:rsidDel="0074725E">
          <w:delText>MIS Secure Area</w:delText>
        </w:r>
      </w:del>
      <w:ins w:id="103"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6"/>
      <w:bookmarkEnd w:id="27"/>
      <w:bookmarkEnd w:id="28"/>
      <w:bookmarkEnd w:id="29"/>
      <w:bookmarkEnd w:id="30"/>
      <w:bookmarkEnd w:id="31"/>
      <w:bookmarkEnd w:id="32"/>
      <w:bookmarkEnd w:id="33"/>
      <w:bookmarkEnd w:id="34"/>
      <w:bookmarkEnd w:id="35"/>
      <w:bookmarkEnd w:id="36"/>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lastRenderedPageBreak/>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Confidentiality,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4" w:author="ERCOT" w:date="2024-07-02T12:25:00Z">
        <w:r w:rsidR="0074725E">
          <w:t>make available to TSPs and/or Distribution Service Provider (DSPs)</w:t>
        </w:r>
      </w:ins>
      <w:del w:id="105" w:author="ERCOT" w:date="2024-07-02T12:25:00Z">
        <w:r w:rsidDel="0074725E">
          <w:delText xml:space="preserve">post </w:delText>
        </w:r>
      </w:del>
      <w:r>
        <w:t>the schedule for updating transmission information</w:t>
      </w:r>
      <w:del w:id="106" w:author="ERCOT" w:date="2024-07-02T12:25:00Z">
        <w:r w:rsidDel="0074725E">
          <w:delText xml:space="preserve"> on the MIS Secure Area</w:delText>
        </w:r>
      </w:del>
      <w:r>
        <w:t>.</w:t>
      </w:r>
    </w:p>
    <w:p w14:paraId="4E249453" w14:textId="77777777" w:rsidR="00BA482B" w:rsidRDefault="00BA482B" w:rsidP="00BA482B">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7"/>
      <w:bookmarkEnd w:id="38"/>
      <w:bookmarkEnd w:id="39"/>
      <w:bookmarkEnd w:id="40"/>
      <w:bookmarkEnd w:id="41"/>
      <w:bookmarkEnd w:id="42"/>
      <w:bookmarkEnd w:id="43"/>
      <w:bookmarkEnd w:id="44"/>
      <w:bookmarkEnd w:id="45"/>
      <w:bookmarkEnd w:id="46"/>
    </w:p>
    <w:p w14:paraId="4ADC1AC4" w14:textId="1A714D3D" w:rsidR="00BA482B" w:rsidRDefault="00BA482B" w:rsidP="00BA482B">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7"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w:t>
      </w:r>
      <w:r>
        <w:lastRenderedPageBreak/>
        <w:t xml:space="preserve">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t>(6)</w:t>
      </w:r>
      <w:r>
        <w:tab/>
        <w:t xml:space="preserve">ERCOT may update the model on an interim basis, outside of the timeline described in Section 3.10.1, Time Line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 xml:space="preserve">A TSP and Resource Entity, with ERCOT’s assistance, shall validate its portion of the Network Operations Model according to the timeline provided in Section 3.10.1.  </w:t>
      </w:r>
      <w:r>
        <w:lastRenderedPageBreak/>
        <w:t>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(8)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7"/>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8"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09" w:author="ERCOT" w:date="2024-07-02T12:27:00Z">
              <w:r w:rsidR="004F1533">
                <w:rPr>
                  <w:iCs/>
                  <w:szCs w:val="20"/>
                </w:rPr>
                <w:t>, except for reports of State Estimator convergence rates 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lastRenderedPageBreak/>
        <w:t>3.12</w:t>
      </w:r>
      <w:r>
        <w:tab/>
        <w:t>Load Forecasting</w:t>
      </w:r>
      <w:bookmarkEnd w:id="48"/>
      <w:bookmarkEnd w:id="49"/>
      <w:bookmarkEnd w:id="50"/>
      <w:bookmarkEnd w:id="51"/>
      <w:bookmarkEnd w:id="52"/>
      <w:bookmarkEnd w:id="53"/>
      <w:bookmarkEnd w:id="54"/>
      <w:bookmarkEnd w:id="55"/>
      <w:bookmarkEnd w:id="56"/>
      <w:bookmarkEnd w:id="57"/>
      <w:bookmarkEnd w:id="58"/>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t>(b)</w:t>
      </w:r>
      <w:r>
        <w:tab/>
        <w:t xml:space="preserve">ERCOT shall develop and post monthly on the </w:t>
      </w:r>
      <w:del w:id="110" w:author="ERCOT" w:date="2024-07-02T12:29:00Z">
        <w:r w:rsidDel="0050444B">
          <w:delText xml:space="preserve">Market Information System (MIS) Secure Area </w:delText>
        </w:r>
      </w:del>
      <w:ins w:id="111"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2" w:author="ERCOT" w:date="2024-07-02T12:29:00Z">
              <w:r w:rsidRPr="00E64C1E" w:rsidDel="0050444B">
                <w:rPr>
                  <w:iCs/>
                </w:rPr>
                <w:delText xml:space="preserve">MIS </w:delText>
              </w:r>
            </w:del>
            <w:ins w:id="113"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ERCOT shall produce and post to the ERCOT website an Intra-Hour Load Forecast (IHLF) that provides a rolling two hour five minute forecast of ERCOT-wide Load.</w:t>
      </w:r>
    </w:p>
    <w:p w14:paraId="028D2BA4" w14:textId="77777777" w:rsidR="00BA482B" w:rsidRDefault="00BA482B" w:rsidP="00BA482B">
      <w:pPr>
        <w:pStyle w:val="H3"/>
        <w:spacing w:before="480"/>
      </w:pPr>
      <w:r>
        <w:lastRenderedPageBreak/>
        <w:t>3.14.1</w:t>
      </w:r>
      <w:r>
        <w:tab/>
        <w:t>Reliability Must Run</w:t>
      </w:r>
      <w:bookmarkEnd w:id="59"/>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t>(i)</w:t>
      </w:r>
      <w:r>
        <w:tab/>
        <w:t>Re-dispatch/reconfiguration through operator instruction;</w:t>
      </w:r>
    </w:p>
    <w:p w14:paraId="62F2E2E9" w14:textId="77777777" w:rsidR="00BA482B" w:rsidRDefault="00BA482B" w:rsidP="00BA482B">
      <w:pPr>
        <w:spacing w:after="240"/>
        <w:ind w:left="2160" w:hanging="720"/>
      </w:pPr>
      <w:r>
        <w:t>(ii)</w:t>
      </w:r>
      <w:r>
        <w:tab/>
        <w:t>Automatic Mitigation Plans (AMPs) and Remedial Action Plans (RAPs);</w:t>
      </w:r>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 xml:space="preserve">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w:t>
      </w:r>
      <w:r>
        <w:lastRenderedPageBreak/>
        <w:t>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 xml:space="preserve">A Resource Entity cannot be compelled to enter into an RMR Agreement.  A Resource Entity that owns or controls a Generation Resource that is uneconomic to remain in service can voluntarily petition ERCOT for contracted RMR status by following the </w:t>
      </w:r>
      <w:r>
        <w:lastRenderedPageBreak/>
        <w:t>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4" w:author="ERCOT" w:date="2024-07-02T12:30:00Z">
        <w:r w:rsidDel="008B3F0A">
          <w:delText>MIS Secure Area</w:delText>
        </w:r>
      </w:del>
      <w:ins w:id="115"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t>(i)</w:t>
      </w:r>
      <w:r>
        <w:tab/>
        <w:t>Participating in the bilateral energy market;</w:t>
      </w:r>
    </w:p>
    <w:p w14:paraId="7BB6F012" w14:textId="77777777" w:rsidR="00BA482B" w:rsidRDefault="00BA482B" w:rsidP="00BA482B">
      <w:pPr>
        <w:pStyle w:val="List2"/>
      </w:pPr>
      <w:r>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60"/>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6" w:author="ERCOT" w:date="2024-07-02T12:34:00Z">
        <w:r w:rsidR="00B603A3">
          <w:t>ERCOT website</w:t>
        </w:r>
      </w:ins>
      <w:del w:id="117"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lastRenderedPageBreak/>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w:t>
      </w:r>
      <w:r>
        <w:lastRenderedPageBreak/>
        <w:t>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lastRenderedPageBreak/>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66245E63" w14:textId="77777777" w:rsidR="00BA482B" w:rsidRPr="00EE66C8" w:rsidRDefault="00BA482B" w:rsidP="00B42B6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1"/>
      <w:bookmarkEnd w:id="62"/>
      <w:bookmarkEnd w:id="63"/>
      <w:bookmarkEnd w:id="64"/>
      <w:bookmarkEnd w:id="65"/>
      <w:bookmarkEnd w:id="66"/>
      <w:bookmarkEnd w:id="67"/>
      <w:bookmarkEnd w:id="68"/>
      <w:bookmarkEnd w:id="69"/>
      <w:bookmarkEnd w:id="70"/>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18" w:author="ERCOT" w:date="2024-07-02T12:35:00Z">
        <w:r w:rsidR="00CF343C">
          <w:t xml:space="preserve"> on </w:t>
        </w:r>
      </w:ins>
      <w:ins w:id="119" w:author="ERCOT" w:date="2024-07-02T14:13:00Z">
        <w:r w:rsidR="00174042">
          <w:t>t</w:t>
        </w:r>
      </w:ins>
      <w:ins w:id="120"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1"/>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 xml:space="preserve">Time = From 1800 in the Day-Ahead  up to one hour </w:t>
            </w:r>
            <w:r>
              <w:lastRenderedPageBreak/>
              <w:t>before the start of the Operating Hour</w:t>
            </w:r>
          </w:p>
        </w:tc>
        <w:tc>
          <w:tcPr>
            <w:tcW w:w="3596" w:type="dxa"/>
          </w:tcPr>
          <w:p w14:paraId="40600ECE" w14:textId="77777777" w:rsidR="00BA482B" w:rsidRDefault="00BA482B" w:rsidP="00B42B60">
            <w:pPr>
              <w:pStyle w:val="TableBody"/>
              <w:spacing w:after="0"/>
            </w:pPr>
            <w:r>
              <w:lastRenderedPageBreak/>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lastRenderedPageBreak/>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t xml:space="preserve">Request Resource decommitments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1" w:author="ERCOT" w:date="2024-07-02T14:13:00Z">
              <w:r w:rsidDel="00174042">
                <w:lastRenderedPageBreak/>
                <w:delText>Post shift schedules</w:delText>
              </w:r>
            </w:del>
            <w:del w:id="122"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lastRenderedPageBreak/>
              <w:t>Validate Energy Trades, Capacity Trades, Self-Schedules, and Ancillary Service Trades and identify invalid or mismatched trades</w:t>
            </w:r>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decommitments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Publish Notice of Need to Procure Additional Ancillary Service capacity if required</w:t>
            </w:r>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At the end of the Adjustment Period snap-shot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Update Short-Term PhotoVoltaic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[NPRR1010 and NPRR1014:  Insert applicable portions of the items below upon system implementation of the Real-Time 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w:t>
      </w:r>
      <w:r>
        <w:lastRenderedPageBreak/>
        <w:t>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lastRenderedPageBreak/>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3" w:author="ERCOT" w:date="2024-07-02T12:38:00Z"/>
        </w:rPr>
      </w:pPr>
      <w:del w:id="124" w:author="ERCOT" w:date="2024-07-02T12:38:00Z">
        <w:r w:rsidDel="00F102DA">
          <w:lastRenderedPageBreak/>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A5E1C7" w:rsidR="00D176CF" w:rsidRDefault="00FA0933">
    <w:pPr>
      <w:pStyle w:val="Footer"/>
      <w:tabs>
        <w:tab w:val="clear" w:pos="4320"/>
        <w:tab w:val="clear" w:pos="8640"/>
        <w:tab w:val="right" w:pos="9360"/>
      </w:tabs>
      <w:rPr>
        <w:rFonts w:ascii="Arial" w:hAnsi="Arial" w:cs="Arial"/>
        <w:sz w:val="18"/>
      </w:rPr>
    </w:pPr>
    <w:bookmarkStart w:id="125" w:name="_Hlk160447317"/>
    <w:r>
      <w:rPr>
        <w:rFonts w:ascii="Arial" w:hAnsi="Arial" w:cs="Arial"/>
        <w:sz w:val="18"/>
      </w:rPr>
      <w:t>NPRR</w:t>
    </w:r>
    <w:r w:rsidR="007D0CE6">
      <w:rPr>
        <w:rFonts w:ascii="Arial" w:hAnsi="Arial" w:cs="Arial"/>
        <w:sz w:val="18"/>
      </w:rPr>
      <w:t>1240</w:t>
    </w:r>
    <w:r>
      <w:rPr>
        <w:rFonts w:ascii="Arial" w:hAnsi="Arial" w:cs="Arial"/>
        <w:sz w:val="18"/>
      </w:rPr>
      <w:t>,</w:t>
    </w:r>
    <w:r w:rsidR="007A09B8" w:rsidRPr="007A09B8">
      <w:rPr>
        <w:rFonts w:ascii="Arial" w:hAnsi="Arial" w:cs="Arial"/>
        <w:sz w:val="18"/>
      </w:rPr>
      <w:t xml:space="preserve"> Access to </w:t>
    </w:r>
    <w:r w:rsidR="002D72D2">
      <w:rPr>
        <w:rFonts w:ascii="Arial" w:hAnsi="Arial" w:cs="Arial"/>
        <w:sz w:val="18"/>
      </w:rPr>
      <w:t>Transmission Planning Information</w:t>
    </w:r>
    <w:r w:rsidR="007A09B8" w:rsidRPr="007A09B8">
      <w:rPr>
        <w:rFonts w:ascii="Arial" w:hAnsi="Arial" w:cs="Arial"/>
        <w:sz w:val="18"/>
      </w:rPr>
      <w:t xml:space="preserve"> </w:t>
    </w:r>
    <w:r w:rsidR="00F60727">
      <w:rPr>
        <w:rFonts w:ascii="Arial" w:hAnsi="Arial" w:cs="Arial"/>
        <w:sz w:val="18"/>
      </w:rPr>
      <w:t>0702</w:t>
    </w:r>
    <w:r w:rsidR="007A09B8" w:rsidRPr="007A09B8">
      <w:rPr>
        <w:rFonts w:ascii="Arial" w:hAnsi="Arial" w:cs="Arial"/>
        <w:sz w:val="18"/>
      </w:rPr>
      <w:t>2</w:t>
    </w:r>
    <w:r w:rsidR="0060384B">
      <w:rPr>
        <w:rFonts w:ascii="Arial" w:hAnsi="Arial" w:cs="Arial"/>
        <w:sz w:val="18"/>
      </w:rPr>
      <w:t>4</w:t>
    </w:r>
    <w:bookmarkEnd w:id="125"/>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2348C24"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6"/>
  </w:num>
  <w:num w:numId="3" w16cid:durableId="807943382">
    <w:abstractNumId w:val="17"/>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4"/>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5"/>
  </w:num>
  <w:num w:numId="25" w16cid:durableId="1284462803">
    <w:abstractNumId w:val="8"/>
  </w:num>
  <w:num w:numId="26" w16cid:durableId="8579365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5BD0"/>
    <w:rsid w:val="000C7AFF"/>
    <w:rsid w:val="000D1AEB"/>
    <w:rsid w:val="000D22E9"/>
    <w:rsid w:val="000D3E64"/>
    <w:rsid w:val="000F13C5"/>
    <w:rsid w:val="000F4FC4"/>
    <w:rsid w:val="000F66FA"/>
    <w:rsid w:val="001026C1"/>
    <w:rsid w:val="001054C4"/>
    <w:rsid w:val="00105A36"/>
    <w:rsid w:val="00106809"/>
    <w:rsid w:val="00110351"/>
    <w:rsid w:val="00111FDE"/>
    <w:rsid w:val="001267E0"/>
    <w:rsid w:val="00127F84"/>
    <w:rsid w:val="001313B4"/>
    <w:rsid w:val="0013489D"/>
    <w:rsid w:val="001352AA"/>
    <w:rsid w:val="0013709E"/>
    <w:rsid w:val="001424DE"/>
    <w:rsid w:val="0014546D"/>
    <w:rsid w:val="0015006E"/>
    <w:rsid w:val="001500D9"/>
    <w:rsid w:val="001510EE"/>
    <w:rsid w:val="00154BF0"/>
    <w:rsid w:val="00156DB7"/>
    <w:rsid w:val="00157228"/>
    <w:rsid w:val="00160C3C"/>
    <w:rsid w:val="00174042"/>
    <w:rsid w:val="001770D6"/>
    <w:rsid w:val="0017783C"/>
    <w:rsid w:val="0019314C"/>
    <w:rsid w:val="0019348E"/>
    <w:rsid w:val="001A563B"/>
    <w:rsid w:val="001B0B57"/>
    <w:rsid w:val="001B15E1"/>
    <w:rsid w:val="001B4B5A"/>
    <w:rsid w:val="001B5350"/>
    <w:rsid w:val="001E22C4"/>
    <w:rsid w:val="001F38F0"/>
    <w:rsid w:val="001F4E70"/>
    <w:rsid w:val="00204544"/>
    <w:rsid w:val="00204EEA"/>
    <w:rsid w:val="002066C8"/>
    <w:rsid w:val="00236C61"/>
    <w:rsid w:val="00237430"/>
    <w:rsid w:val="00237BCE"/>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4484"/>
    <w:rsid w:val="002C63E6"/>
    <w:rsid w:val="002C6BF0"/>
    <w:rsid w:val="002C788C"/>
    <w:rsid w:val="002D382A"/>
    <w:rsid w:val="002D72D2"/>
    <w:rsid w:val="002D7D98"/>
    <w:rsid w:val="002E64DB"/>
    <w:rsid w:val="002F1EDD"/>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4709"/>
    <w:rsid w:val="00386C35"/>
    <w:rsid w:val="003A2412"/>
    <w:rsid w:val="003A3D77"/>
    <w:rsid w:val="003B5AED"/>
    <w:rsid w:val="003C6B7B"/>
    <w:rsid w:val="003D2264"/>
    <w:rsid w:val="003E16B6"/>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12197"/>
    <w:rsid w:val="00523962"/>
    <w:rsid w:val="00525120"/>
    <w:rsid w:val="005277E9"/>
    <w:rsid w:val="00533D2F"/>
    <w:rsid w:val="00534C6C"/>
    <w:rsid w:val="005359E7"/>
    <w:rsid w:val="00560DBE"/>
    <w:rsid w:val="0057149D"/>
    <w:rsid w:val="005734EB"/>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10FCA"/>
    <w:rsid w:val="00612E4F"/>
    <w:rsid w:val="006135AA"/>
    <w:rsid w:val="00615C7C"/>
    <w:rsid w:val="00615D5E"/>
    <w:rsid w:val="00622E99"/>
    <w:rsid w:val="00625E5D"/>
    <w:rsid w:val="0063024F"/>
    <w:rsid w:val="00631D16"/>
    <w:rsid w:val="006417A1"/>
    <w:rsid w:val="00651490"/>
    <w:rsid w:val="00655D2F"/>
    <w:rsid w:val="0066370F"/>
    <w:rsid w:val="00666BC0"/>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213B"/>
    <w:rsid w:val="009554F2"/>
    <w:rsid w:val="00957EF4"/>
    <w:rsid w:val="00961A11"/>
    <w:rsid w:val="00963A51"/>
    <w:rsid w:val="00966309"/>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F66CB"/>
    <w:rsid w:val="00A01BF7"/>
    <w:rsid w:val="00A025A5"/>
    <w:rsid w:val="00A02BB2"/>
    <w:rsid w:val="00A0579F"/>
    <w:rsid w:val="00A06F48"/>
    <w:rsid w:val="00A07A22"/>
    <w:rsid w:val="00A14FC1"/>
    <w:rsid w:val="00A22ECB"/>
    <w:rsid w:val="00A24A5A"/>
    <w:rsid w:val="00A26A92"/>
    <w:rsid w:val="00A30EF5"/>
    <w:rsid w:val="00A362F4"/>
    <w:rsid w:val="00A42796"/>
    <w:rsid w:val="00A4418D"/>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232A"/>
    <w:rsid w:val="00F04A86"/>
    <w:rsid w:val="00F05A69"/>
    <w:rsid w:val="00F102DA"/>
    <w:rsid w:val="00F20C84"/>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509B"/>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customXml/itemProps2.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263E9DC9-9076-4C11-81FB-1D28734990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7310</Words>
  <Characters>41985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2013-11-16T00:11:00Z</cp:lastPrinted>
  <dcterms:created xsi:type="dcterms:W3CDTF">2024-07-02T19:49:00Z</dcterms:created>
  <dcterms:modified xsi:type="dcterms:W3CDTF">2024-07-02T19:52:00Z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