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F236DA" w14:paraId="20186A82" w14:textId="77777777" w:rsidTr="00B51C10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74DD1" w14:textId="77777777" w:rsidR="00F236DA" w:rsidRDefault="00F236DA" w:rsidP="00C852FB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E50F525" w14:textId="6A27BF94" w:rsidR="00F236DA" w:rsidRDefault="00954B93" w:rsidP="00C852FB">
            <w:pPr>
              <w:pStyle w:val="Header"/>
              <w:spacing w:before="120" w:after="120"/>
              <w:jc w:val="center"/>
            </w:pPr>
            <w:hyperlink r:id="rId8" w:history="1">
              <w:r w:rsidR="00F236DA" w:rsidRPr="00F236DA">
                <w:rPr>
                  <w:rStyle w:val="Hyperlink"/>
                </w:rPr>
                <w:t>1219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D9870F" w14:textId="77777777" w:rsidR="00F236DA" w:rsidRDefault="00F236DA" w:rsidP="00C852FB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E1F4149" w14:textId="77777777" w:rsidR="00F236DA" w:rsidRDefault="00F236DA" w:rsidP="00C852FB">
            <w:pPr>
              <w:pStyle w:val="Header"/>
              <w:spacing w:before="120" w:after="120"/>
            </w:pPr>
            <w:r>
              <w:t>Methodology Revisions and New Definitions for the</w:t>
            </w:r>
            <w:r w:rsidRPr="009866CB">
              <w:t xml:space="preserve"> Report on Capacity, Demand and Reserves in the ERCOT Region</w:t>
            </w:r>
            <w:r>
              <w:t xml:space="preserve"> (CDR)</w:t>
            </w:r>
          </w:p>
        </w:tc>
      </w:tr>
      <w:tr w:rsidR="00F236DA" w14:paraId="12C048EB" w14:textId="77777777" w:rsidTr="00B51C10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BAC0A9" w14:textId="77777777" w:rsidR="00F236DA" w:rsidRDefault="00F236DA" w:rsidP="00B51C10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DFF85" w14:textId="77777777" w:rsidR="00F236DA" w:rsidRDefault="00F236DA" w:rsidP="00B51C10">
            <w:pPr>
              <w:pStyle w:val="NormalArial"/>
            </w:pPr>
          </w:p>
        </w:tc>
      </w:tr>
      <w:tr w:rsidR="00F236DA" w14:paraId="566366B7" w14:textId="77777777" w:rsidTr="00B51C10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0A4D" w14:textId="77777777" w:rsidR="00F236DA" w:rsidRDefault="00F236DA" w:rsidP="00B51C10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F3E" w14:textId="4EDA36F0" w:rsidR="00F236DA" w:rsidRDefault="00484ABB" w:rsidP="00B51C10">
            <w:pPr>
              <w:pStyle w:val="NormalArial"/>
            </w:pPr>
            <w:r>
              <w:t>August 12</w:t>
            </w:r>
            <w:r w:rsidR="00F236DA">
              <w:t>, 2024</w:t>
            </w:r>
          </w:p>
        </w:tc>
      </w:tr>
      <w:tr w:rsidR="00F236DA" w14:paraId="19B16275" w14:textId="77777777" w:rsidTr="00B51C10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86ACC" w14:textId="77777777" w:rsidR="00F236DA" w:rsidRDefault="00F236DA" w:rsidP="00B51C10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5F8AA" w14:textId="77777777" w:rsidR="00F236DA" w:rsidRDefault="00F236DA" w:rsidP="00B51C10">
            <w:pPr>
              <w:pStyle w:val="NormalArial"/>
            </w:pPr>
          </w:p>
        </w:tc>
      </w:tr>
      <w:tr w:rsidR="00F236DA" w14:paraId="352A8658" w14:textId="77777777" w:rsidTr="00B51C10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1AEE08" w14:textId="77777777" w:rsidR="00F236DA" w:rsidRDefault="00F236DA" w:rsidP="00B51C10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236DA" w14:paraId="6BE30B10" w14:textId="77777777" w:rsidTr="00B51C10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70A4DA" w14:textId="77777777" w:rsidR="00F236DA" w:rsidRPr="00EC55B3" w:rsidRDefault="00F236DA" w:rsidP="00B51C10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6B711297" w14:textId="77777777" w:rsidR="00F236DA" w:rsidRDefault="00F236DA" w:rsidP="00B51C10">
            <w:pPr>
              <w:pStyle w:val="NormalArial"/>
            </w:pPr>
            <w:r>
              <w:t>Pete Warnken</w:t>
            </w:r>
          </w:p>
        </w:tc>
      </w:tr>
      <w:tr w:rsidR="00F236DA" w14:paraId="1C56E430" w14:textId="77777777" w:rsidTr="00B51C10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02C4759" w14:textId="77777777" w:rsidR="00F236DA" w:rsidRPr="00EC55B3" w:rsidRDefault="00F236DA" w:rsidP="00B51C10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DB9CF6A" w14:textId="77777777" w:rsidR="00F236DA" w:rsidRDefault="00954B93" w:rsidP="00B51C10">
            <w:pPr>
              <w:pStyle w:val="NormalArial"/>
            </w:pPr>
            <w:hyperlink r:id="rId9" w:history="1">
              <w:r w:rsidR="00F236DA" w:rsidRPr="008C7DBB">
                <w:rPr>
                  <w:rStyle w:val="Hyperlink"/>
                </w:rPr>
                <w:t>Pete.Warnken@ercot.com</w:t>
              </w:r>
            </w:hyperlink>
          </w:p>
        </w:tc>
      </w:tr>
      <w:tr w:rsidR="00F236DA" w14:paraId="0A9D2D23" w14:textId="77777777" w:rsidTr="00B51C10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CBCA9" w14:textId="77777777" w:rsidR="00F236DA" w:rsidRPr="00EC55B3" w:rsidRDefault="00F236DA" w:rsidP="00B51C10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85E7436" w14:textId="77777777" w:rsidR="00F236DA" w:rsidRDefault="00F236DA" w:rsidP="00B51C10">
            <w:pPr>
              <w:pStyle w:val="NormalArial"/>
            </w:pPr>
            <w:r>
              <w:t>ERCOT</w:t>
            </w:r>
          </w:p>
        </w:tc>
      </w:tr>
      <w:tr w:rsidR="00F236DA" w14:paraId="01A40EF7" w14:textId="77777777" w:rsidTr="00B51C10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D9524F" w14:textId="77777777" w:rsidR="00F236DA" w:rsidRPr="00EC55B3" w:rsidRDefault="00F236DA" w:rsidP="00B51C10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377C31" w14:textId="77777777" w:rsidR="00F236DA" w:rsidRDefault="00F236DA" w:rsidP="00B51C10">
            <w:pPr>
              <w:pStyle w:val="NormalArial"/>
            </w:pPr>
            <w:r>
              <w:t>512-248-6705</w:t>
            </w:r>
          </w:p>
        </w:tc>
      </w:tr>
      <w:tr w:rsidR="00F236DA" w14:paraId="25FF6CFC" w14:textId="77777777" w:rsidTr="00B51C10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DEBED3" w14:textId="77777777" w:rsidR="00F236DA" w:rsidRPr="00EC55B3" w:rsidRDefault="00F236DA" w:rsidP="00B51C10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54B54C2" w14:textId="77777777" w:rsidR="00F236DA" w:rsidRDefault="00F236DA" w:rsidP="00B51C10">
            <w:pPr>
              <w:pStyle w:val="NormalArial"/>
            </w:pPr>
          </w:p>
        </w:tc>
      </w:tr>
      <w:tr w:rsidR="00F236DA" w14:paraId="2FE8C433" w14:textId="77777777" w:rsidTr="00B51C10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04BADA" w14:textId="77777777" w:rsidR="00F236DA" w:rsidRPr="00EC55B3" w:rsidDel="00075A94" w:rsidRDefault="00F236DA" w:rsidP="00B51C10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812155" w14:textId="4CD312C0" w:rsidR="00F236DA" w:rsidRDefault="00F236DA" w:rsidP="00B51C10">
            <w:pPr>
              <w:pStyle w:val="NormalArial"/>
            </w:pPr>
            <w:r>
              <w:t>Not applicable</w:t>
            </w:r>
          </w:p>
        </w:tc>
      </w:tr>
    </w:tbl>
    <w:p w14:paraId="2AC2BF58" w14:textId="77777777" w:rsidR="00F236DA" w:rsidRDefault="00F236DA" w:rsidP="00F236DA">
      <w:pPr>
        <w:pStyle w:val="NormalArial"/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F236DA" w:rsidRPr="00B5080A" w14:paraId="2ABCE010" w14:textId="77777777" w:rsidTr="00C55351">
        <w:trPr>
          <w:trHeight w:val="422"/>
          <w:jc w:val="center"/>
        </w:trPr>
        <w:tc>
          <w:tcPr>
            <w:tcW w:w="10350" w:type="dxa"/>
            <w:vAlign w:val="center"/>
          </w:tcPr>
          <w:p w14:paraId="0C33652B" w14:textId="77777777" w:rsidR="00F236DA" w:rsidRPr="00075A94" w:rsidRDefault="00F236DA" w:rsidP="00B51C10">
            <w:pPr>
              <w:pStyle w:val="Header"/>
              <w:jc w:val="center"/>
            </w:pPr>
            <w:r w:rsidRPr="001A10A2">
              <w:t>Comments</w:t>
            </w:r>
          </w:p>
        </w:tc>
      </w:tr>
    </w:tbl>
    <w:p w14:paraId="0D90C048" w14:textId="5C9C7C5C" w:rsidR="003C5A76" w:rsidRDefault="00A91E88" w:rsidP="003C5A76">
      <w:pPr>
        <w:pStyle w:val="NormalArial"/>
        <w:spacing w:before="120" w:after="120"/>
      </w:pPr>
      <w:r>
        <w:t xml:space="preserve">ERCOT </w:t>
      </w:r>
      <w:r w:rsidR="003C5A76">
        <w:t xml:space="preserve">submits these comments to provide additional data for the Reliability &amp; Markets (R&amp;M) Committee and ERCOT Board of Directors consideration of Nodal Protocol Revision Request (NPRR) </w:t>
      </w:r>
      <w:r w:rsidR="00F41CA8">
        <w:t>1219</w:t>
      </w:r>
      <w:r w:rsidR="003C5A76" w:rsidRPr="007A186E">
        <w:t>. The NPRR was recommended for approval by the Technical Advisory Committee (TAC) on Ju</w:t>
      </w:r>
      <w:r w:rsidR="00A939EC">
        <w:t>ly 31</w:t>
      </w:r>
      <w:r w:rsidR="003C5A76" w:rsidRPr="007A186E">
        <w:t>, 2024.  As indicated at TAC, ERCOT supports NPRR1</w:t>
      </w:r>
      <w:r w:rsidR="00A939EC">
        <w:t>219</w:t>
      </w:r>
      <w:r w:rsidR="003C5A76" w:rsidRPr="007A186E">
        <w:t>.</w:t>
      </w:r>
    </w:p>
    <w:p w14:paraId="405AA965" w14:textId="77347BEC" w:rsidR="00B163E2" w:rsidRDefault="006D6829" w:rsidP="003C5A76">
      <w:pPr>
        <w:pStyle w:val="NormalArial"/>
        <w:spacing w:before="120" w:after="120"/>
      </w:pPr>
      <w:r w:rsidRPr="006D6829">
        <w:t>The methodologies used to develop Planning Reserve Margins</w:t>
      </w:r>
      <w:r w:rsidR="00716801">
        <w:t xml:space="preserve"> (PRMs)</w:t>
      </w:r>
      <w:r w:rsidRPr="006D6829">
        <w:t xml:space="preserve"> and other elements of the </w:t>
      </w:r>
      <w:r w:rsidR="00716801" w:rsidRPr="009866CB">
        <w:t>Report on Capacity, Demand and Reserves in the ERCOT Region</w:t>
      </w:r>
      <w:r w:rsidR="00716801">
        <w:t xml:space="preserve"> (</w:t>
      </w:r>
      <w:r w:rsidRPr="006D6829">
        <w:t>CDR</w:t>
      </w:r>
      <w:r w:rsidR="00716801">
        <w:t>)</w:t>
      </w:r>
      <w:r w:rsidRPr="006D6829">
        <w:t xml:space="preserve"> are outlined in the ERCOT Nodal Protocols</w:t>
      </w:r>
      <w:r>
        <w:t xml:space="preserve">.  </w:t>
      </w:r>
      <w:r w:rsidR="00E83B0C">
        <w:t>The main purpose of the</w:t>
      </w:r>
      <w:r w:rsidR="00F2339B">
        <w:t xml:space="preserve"> CDR</w:t>
      </w:r>
      <w:r w:rsidR="00E83B0C">
        <w:t xml:space="preserve"> </w:t>
      </w:r>
      <w:r w:rsidR="00373244" w:rsidRPr="00373244">
        <w:t xml:space="preserve">is to provide forecasted </w:t>
      </w:r>
      <w:r w:rsidR="00716801">
        <w:t>PRMs</w:t>
      </w:r>
      <w:r w:rsidR="00373244" w:rsidRPr="00373244">
        <w:t xml:space="preserve">. The </w:t>
      </w:r>
      <w:r w:rsidR="00716801">
        <w:t xml:space="preserve">PRM </w:t>
      </w:r>
      <w:r w:rsidR="00373244" w:rsidRPr="00373244">
        <w:t xml:space="preserve">represents the percentage of </w:t>
      </w:r>
      <w:r w:rsidR="008D71E6">
        <w:t>R</w:t>
      </w:r>
      <w:r w:rsidR="00373244" w:rsidRPr="00373244">
        <w:t xml:space="preserve">esource capacity, in excess of firm electricity </w:t>
      </w:r>
      <w:r w:rsidR="008D71E6">
        <w:t>D</w:t>
      </w:r>
      <w:r w:rsidR="00373244" w:rsidRPr="00373244">
        <w:t xml:space="preserve">emand, available to cover uncertainty in future </w:t>
      </w:r>
      <w:r w:rsidR="008D71E6">
        <w:t>D</w:t>
      </w:r>
      <w:r w:rsidR="00373244" w:rsidRPr="00373244">
        <w:t xml:space="preserve">emand, generator availability and new </w:t>
      </w:r>
      <w:r w:rsidR="008D71E6">
        <w:t>R</w:t>
      </w:r>
      <w:r w:rsidR="00373244" w:rsidRPr="00373244">
        <w:t xml:space="preserve">esource supply. </w:t>
      </w:r>
      <w:r w:rsidR="00B112D7">
        <w:t xml:space="preserve"> As the grid continues to evolve, so must our accounting</w:t>
      </w:r>
      <w:r w:rsidR="00C6080A">
        <w:t xml:space="preserve"> and reporting of </w:t>
      </w:r>
      <w:r w:rsidR="00B112D7">
        <w:t xml:space="preserve">the </w:t>
      </w:r>
      <w:r w:rsidR="008D71E6">
        <w:t>R</w:t>
      </w:r>
      <w:r w:rsidR="00B112D7">
        <w:t xml:space="preserve">esources available, expected </w:t>
      </w:r>
      <w:r w:rsidR="008D71E6">
        <w:t>D</w:t>
      </w:r>
      <w:r w:rsidR="00B112D7">
        <w:t xml:space="preserve">emand and resulting reserves for multiple time periods.  </w:t>
      </w:r>
    </w:p>
    <w:p w14:paraId="0DCE776E" w14:textId="4E2BB01E" w:rsidR="003D0CC7" w:rsidRDefault="006718BE" w:rsidP="003C5A76">
      <w:pPr>
        <w:pStyle w:val="NormalArial"/>
        <w:spacing w:before="120" w:after="120"/>
      </w:pPr>
      <w:r>
        <w:t xml:space="preserve">Below are </w:t>
      </w:r>
      <w:r w:rsidR="003C33C4">
        <w:t xml:space="preserve">key </w:t>
      </w:r>
      <w:r>
        <w:t>proposed chang</w:t>
      </w:r>
      <w:r w:rsidR="003C33C4">
        <w:t xml:space="preserve">es </w:t>
      </w:r>
      <w:r w:rsidR="00DD3AF3">
        <w:t xml:space="preserve">and </w:t>
      </w:r>
      <w:r w:rsidR="00252345">
        <w:t xml:space="preserve">related benefits </w:t>
      </w:r>
      <w:r w:rsidR="00677BE6">
        <w:t xml:space="preserve">intended </w:t>
      </w:r>
      <w:r w:rsidR="00D13898">
        <w:t xml:space="preserve">to provide </w:t>
      </w:r>
      <w:r w:rsidR="00E154E5">
        <w:t xml:space="preserve">additional information on the capacity, </w:t>
      </w:r>
      <w:r w:rsidR="008D71E6">
        <w:t>D</w:t>
      </w:r>
      <w:r w:rsidR="00F73064">
        <w:t>emand,</w:t>
      </w:r>
      <w:r w:rsidR="00E154E5">
        <w:t xml:space="preserve"> and reserves for the ERCOT region</w:t>
      </w:r>
      <w:r w:rsidR="001C5735">
        <w:t>.</w:t>
      </w:r>
      <w:r>
        <w:t xml:space="preserve"> </w:t>
      </w:r>
    </w:p>
    <w:p w14:paraId="77F3A79A" w14:textId="77777777" w:rsidR="00C852FB" w:rsidRDefault="00C852FB" w:rsidP="003C5A76">
      <w:pPr>
        <w:pStyle w:val="NormalArial"/>
        <w:spacing w:before="120" w:after="120"/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4140"/>
        <w:gridCol w:w="6030"/>
      </w:tblGrid>
      <w:tr w:rsidR="00743C1F" w:rsidRPr="00F333C9" w14:paraId="0D915B94" w14:textId="77777777" w:rsidTr="00D8322F">
        <w:tc>
          <w:tcPr>
            <w:tcW w:w="4140" w:type="dxa"/>
            <w:shd w:val="clear" w:color="auto" w:fill="D9D9D9" w:themeFill="background1" w:themeFillShade="D9"/>
          </w:tcPr>
          <w:p w14:paraId="603F7890" w14:textId="77777777" w:rsidR="00743C1F" w:rsidRPr="002237D2" w:rsidRDefault="00743C1F" w:rsidP="00F86F4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237D2">
              <w:rPr>
                <w:rFonts w:ascii="Arial" w:hAnsi="Arial" w:cs="Arial"/>
                <w:b/>
                <w:bCs/>
              </w:rPr>
              <w:t>Proposed CDR Change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14:paraId="7E012911" w14:textId="4FF744A7" w:rsidR="00743C1F" w:rsidRPr="002237D2" w:rsidRDefault="00743C1F" w:rsidP="00F86F4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237D2">
              <w:rPr>
                <w:rFonts w:ascii="Arial" w:hAnsi="Arial" w:cs="Arial"/>
                <w:b/>
                <w:bCs/>
              </w:rPr>
              <w:t>Benefits</w:t>
            </w:r>
          </w:p>
        </w:tc>
      </w:tr>
      <w:tr w:rsidR="00743C1F" w:rsidRPr="00315B6E" w14:paraId="20F527D2" w14:textId="77777777" w:rsidTr="00D8322F">
        <w:tc>
          <w:tcPr>
            <w:tcW w:w="4140" w:type="dxa"/>
          </w:tcPr>
          <w:p w14:paraId="1C72ED8C" w14:textId="71C3B4C3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>Adopt Effective Load Carrying Capabilities (</w:t>
            </w:r>
            <w:r w:rsidRPr="004E6CCD">
              <w:rPr>
                <w:rFonts w:ascii="Arial" w:hAnsi="Arial" w:cs="Arial"/>
              </w:rPr>
              <w:t>ELCCs</w:t>
            </w:r>
            <w:r w:rsidRPr="002237D2">
              <w:rPr>
                <w:rFonts w:ascii="Arial" w:hAnsi="Arial" w:cs="Arial"/>
              </w:rPr>
              <w:t>) for reporting Inverter-Based Resource (IBR) capacity contributions.</w:t>
            </w:r>
          </w:p>
        </w:tc>
        <w:tc>
          <w:tcPr>
            <w:tcW w:w="6030" w:type="dxa"/>
          </w:tcPr>
          <w:p w14:paraId="247B1584" w14:textId="2A3D96CB" w:rsidR="00743C1F" w:rsidRPr="002237D2" w:rsidRDefault="002A3586" w:rsidP="00F86F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wind and solar Resources, c</w:t>
            </w:r>
            <w:r w:rsidR="001326B0">
              <w:rPr>
                <w:rFonts w:ascii="Arial" w:hAnsi="Arial" w:cs="Arial"/>
              </w:rPr>
              <w:t xml:space="preserve">urrent reporting utilizes peak average capacity contributions </w:t>
            </w:r>
            <w:r>
              <w:rPr>
                <w:rFonts w:ascii="Arial" w:hAnsi="Arial" w:cs="Arial"/>
              </w:rPr>
              <w:t xml:space="preserve">(or what ERCOT </w:t>
            </w:r>
            <w:r w:rsidRPr="002A3586">
              <w:rPr>
                <w:rFonts w:ascii="Arial" w:hAnsi="Arial" w:cs="Arial"/>
              </w:rPr>
              <w:t xml:space="preserve">expects to be available on an average basis during seasonal peak </w:t>
            </w:r>
            <w:r w:rsidR="00716801">
              <w:rPr>
                <w:rFonts w:ascii="Arial" w:hAnsi="Arial" w:cs="Arial"/>
              </w:rPr>
              <w:t>D</w:t>
            </w:r>
            <w:r w:rsidRPr="002A3586">
              <w:rPr>
                <w:rFonts w:ascii="Arial" w:hAnsi="Arial" w:cs="Arial"/>
              </w:rPr>
              <w:t>emand hours</w:t>
            </w:r>
            <w:r>
              <w:rPr>
                <w:rFonts w:ascii="Arial" w:hAnsi="Arial" w:cs="Arial"/>
              </w:rPr>
              <w:t>)</w:t>
            </w:r>
            <w:r w:rsidR="00DB5FF1">
              <w:rPr>
                <w:rFonts w:ascii="Arial" w:hAnsi="Arial" w:cs="Arial"/>
              </w:rPr>
              <w:t>.</w:t>
            </w:r>
            <w:r w:rsidR="009F26C0">
              <w:rPr>
                <w:rFonts w:ascii="Arial" w:hAnsi="Arial" w:cs="Arial"/>
              </w:rPr>
              <w:t xml:space="preserve">  </w:t>
            </w:r>
            <w:r w:rsidR="00FA3783">
              <w:rPr>
                <w:rFonts w:ascii="Arial" w:hAnsi="Arial" w:cs="Arial"/>
              </w:rPr>
              <w:t>As t</w:t>
            </w:r>
            <w:r w:rsidR="009F26C0">
              <w:rPr>
                <w:rFonts w:ascii="Arial" w:hAnsi="Arial" w:cs="Arial"/>
              </w:rPr>
              <w:t xml:space="preserve">here is not a prescribed </w:t>
            </w:r>
            <w:r w:rsidR="00FA3783">
              <w:rPr>
                <w:rFonts w:ascii="Arial" w:hAnsi="Arial" w:cs="Arial"/>
              </w:rPr>
              <w:t xml:space="preserve">Protocol </w:t>
            </w:r>
            <w:r w:rsidR="009F26C0">
              <w:rPr>
                <w:rFonts w:ascii="Arial" w:hAnsi="Arial" w:cs="Arial"/>
              </w:rPr>
              <w:t xml:space="preserve">methodology for determining the </w:t>
            </w:r>
            <w:r w:rsidR="009F26C0">
              <w:rPr>
                <w:rFonts w:ascii="Arial" w:hAnsi="Arial" w:cs="Arial"/>
              </w:rPr>
              <w:lastRenderedPageBreak/>
              <w:t>pea</w:t>
            </w:r>
            <w:r w:rsidR="000D6C12">
              <w:rPr>
                <w:rFonts w:ascii="Arial" w:hAnsi="Arial" w:cs="Arial"/>
              </w:rPr>
              <w:t>k average capacity contribution of battery storage</w:t>
            </w:r>
            <w:r w:rsidR="004119F0">
              <w:rPr>
                <w:rFonts w:ascii="Arial" w:hAnsi="Arial" w:cs="Arial"/>
              </w:rPr>
              <w:t>, battery</w:t>
            </w:r>
            <w:r w:rsidR="000D6C12">
              <w:rPr>
                <w:rFonts w:ascii="Arial" w:hAnsi="Arial" w:cs="Arial"/>
              </w:rPr>
              <w:t xml:space="preserve"> contribution in recent CDRs has been reported as zero.</w:t>
            </w:r>
            <w:r w:rsidR="00DB5FF1">
              <w:rPr>
                <w:rFonts w:ascii="Arial" w:hAnsi="Arial" w:cs="Arial"/>
              </w:rPr>
              <w:t xml:space="preserve">  Replacing </w:t>
            </w:r>
            <w:r w:rsidR="002E457C">
              <w:rPr>
                <w:rFonts w:ascii="Arial" w:hAnsi="Arial" w:cs="Arial"/>
              </w:rPr>
              <w:t xml:space="preserve">peak average capacity contribution </w:t>
            </w:r>
            <w:r w:rsidR="00DB5FF1">
              <w:rPr>
                <w:rFonts w:ascii="Arial" w:hAnsi="Arial" w:cs="Arial"/>
              </w:rPr>
              <w:t xml:space="preserve">with </w:t>
            </w:r>
            <w:r w:rsidR="00743C1F" w:rsidRPr="002237D2">
              <w:rPr>
                <w:rFonts w:ascii="Arial" w:hAnsi="Arial" w:cs="Arial"/>
              </w:rPr>
              <w:t xml:space="preserve">ELCCs will provide capacity contributions that align with those realized in the probabilistic simulations that support reliability standard assessment and reserve margin studies. Meeting a given reliability target is the basis for ELCC estimation. The CDR’s </w:t>
            </w:r>
            <w:r w:rsidR="00390562">
              <w:rPr>
                <w:rFonts w:ascii="Arial" w:hAnsi="Arial" w:cs="Arial"/>
              </w:rPr>
              <w:t>PRMs</w:t>
            </w:r>
            <w:r w:rsidR="00743C1F" w:rsidRPr="002237D2">
              <w:rPr>
                <w:rFonts w:ascii="Arial" w:hAnsi="Arial" w:cs="Arial"/>
              </w:rPr>
              <w:t xml:space="preserve"> will thus be directly comparable with those produced by the probabilistic studies.</w:t>
            </w:r>
          </w:p>
        </w:tc>
      </w:tr>
      <w:tr w:rsidR="00743C1F" w:rsidRPr="00315B6E" w14:paraId="052658A6" w14:textId="77777777" w:rsidTr="00D8322F">
        <w:tc>
          <w:tcPr>
            <w:tcW w:w="4140" w:type="dxa"/>
          </w:tcPr>
          <w:p w14:paraId="780565F9" w14:textId="29572EDA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lastRenderedPageBreak/>
              <w:t xml:space="preserve">Report </w:t>
            </w:r>
            <w:r w:rsidR="008D71E6">
              <w:rPr>
                <w:rFonts w:ascii="Arial" w:hAnsi="Arial" w:cs="Arial"/>
              </w:rPr>
              <w:t>R</w:t>
            </w:r>
            <w:r w:rsidRPr="002237D2">
              <w:rPr>
                <w:rFonts w:ascii="Arial" w:hAnsi="Arial" w:cs="Arial"/>
              </w:rPr>
              <w:t xml:space="preserve">esource adequacy information for </w:t>
            </w:r>
            <w:r w:rsidR="00B932EE">
              <w:rPr>
                <w:rFonts w:ascii="Arial" w:hAnsi="Arial" w:cs="Arial"/>
              </w:rPr>
              <w:t>all</w:t>
            </w:r>
            <w:r w:rsidRPr="002237D2">
              <w:rPr>
                <w:rFonts w:ascii="Arial" w:hAnsi="Arial" w:cs="Arial"/>
              </w:rPr>
              <w:t xml:space="preserve"> seasons.</w:t>
            </w:r>
          </w:p>
        </w:tc>
        <w:tc>
          <w:tcPr>
            <w:tcW w:w="6030" w:type="dxa"/>
          </w:tcPr>
          <w:p w14:paraId="0225F4A0" w14:textId="0B3286D0" w:rsidR="00743C1F" w:rsidRPr="002237D2" w:rsidRDefault="008B25CB" w:rsidP="00F86F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9E0412">
              <w:rPr>
                <w:rFonts w:ascii="Arial" w:hAnsi="Arial" w:cs="Arial"/>
              </w:rPr>
              <w:t xml:space="preserve">Protocols require </w:t>
            </w:r>
            <w:r>
              <w:rPr>
                <w:rFonts w:ascii="Arial" w:hAnsi="Arial" w:cs="Arial"/>
              </w:rPr>
              <w:t>reporting only for Summer and Winter seasons</w:t>
            </w:r>
            <w:r w:rsidR="009E0412">
              <w:rPr>
                <w:rFonts w:ascii="Arial" w:hAnsi="Arial" w:cs="Arial"/>
              </w:rPr>
              <w:t xml:space="preserve"> which does not </w:t>
            </w:r>
            <w:r w:rsidR="003D376A">
              <w:rPr>
                <w:rFonts w:ascii="Arial" w:hAnsi="Arial" w:cs="Arial"/>
              </w:rPr>
              <w:t>communicate varying operating characteristics</w:t>
            </w:r>
            <w:r w:rsidR="009E0412">
              <w:rPr>
                <w:rFonts w:ascii="Arial" w:hAnsi="Arial" w:cs="Arial"/>
              </w:rPr>
              <w:t xml:space="preserve"> </w:t>
            </w:r>
            <w:r w:rsidR="00881A5F">
              <w:rPr>
                <w:rFonts w:ascii="Arial" w:hAnsi="Arial" w:cs="Arial"/>
              </w:rPr>
              <w:t>of the shoulder months</w:t>
            </w:r>
            <w:r>
              <w:rPr>
                <w:rFonts w:ascii="Arial" w:hAnsi="Arial" w:cs="Arial"/>
              </w:rPr>
              <w:t xml:space="preserve">.  </w:t>
            </w:r>
            <w:r w:rsidR="00743C1F" w:rsidRPr="002237D2">
              <w:rPr>
                <w:rFonts w:ascii="Arial" w:hAnsi="Arial" w:cs="Arial"/>
              </w:rPr>
              <w:t xml:space="preserve">Expanding the CDR’s reporting seasons </w:t>
            </w:r>
            <w:r w:rsidR="00FE3B2A">
              <w:rPr>
                <w:rFonts w:ascii="Arial" w:hAnsi="Arial" w:cs="Arial"/>
              </w:rPr>
              <w:t>provides more granular information on</w:t>
            </w:r>
            <w:r w:rsidR="00743C1F" w:rsidRPr="002237D2">
              <w:rPr>
                <w:rFonts w:ascii="Arial" w:hAnsi="Arial" w:cs="Arial"/>
              </w:rPr>
              <w:t xml:space="preserve"> the </w:t>
            </w:r>
            <w:r w:rsidR="008D71E6">
              <w:rPr>
                <w:rFonts w:ascii="Arial" w:hAnsi="Arial" w:cs="Arial"/>
              </w:rPr>
              <w:t>R</w:t>
            </w:r>
            <w:r w:rsidR="00743C1F" w:rsidRPr="002237D2">
              <w:rPr>
                <w:rFonts w:ascii="Arial" w:hAnsi="Arial" w:cs="Arial"/>
              </w:rPr>
              <w:t xml:space="preserve">esource adequacy </w:t>
            </w:r>
            <w:r w:rsidR="007F40BD">
              <w:rPr>
                <w:rFonts w:ascii="Arial" w:hAnsi="Arial" w:cs="Arial"/>
              </w:rPr>
              <w:t xml:space="preserve">for each </w:t>
            </w:r>
            <w:r w:rsidR="00A51A74">
              <w:rPr>
                <w:rFonts w:ascii="Arial" w:hAnsi="Arial" w:cs="Arial"/>
              </w:rPr>
              <w:t>period</w:t>
            </w:r>
            <w:r w:rsidR="007F40BD">
              <w:rPr>
                <w:rFonts w:ascii="Arial" w:hAnsi="Arial" w:cs="Arial"/>
              </w:rPr>
              <w:t xml:space="preserve"> which allows </w:t>
            </w:r>
            <w:r w:rsidR="00743C1F" w:rsidRPr="002237D2">
              <w:rPr>
                <w:rFonts w:ascii="Arial" w:hAnsi="Arial" w:cs="Arial"/>
              </w:rPr>
              <w:t xml:space="preserve">risks that are present during the </w:t>
            </w:r>
            <w:r w:rsidR="006E5115">
              <w:rPr>
                <w:rFonts w:ascii="Arial" w:hAnsi="Arial" w:cs="Arial"/>
              </w:rPr>
              <w:t>S</w:t>
            </w:r>
            <w:r w:rsidR="00743C1F" w:rsidRPr="002237D2">
              <w:rPr>
                <w:rFonts w:ascii="Arial" w:hAnsi="Arial" w:cs="Arial"/>
              </w:rPr>
              <w:t xml:space="preserve">pring and </w:t>
            </w:r>
            <w:r w:rsidR="006E5115">
              <w:rPr>
                <w:rFonts w:ascii="Arial" w:hAnsi="Arial" w:cs="Arial"/>
              </w:rPr>
              <w:t>F</w:t>
            </w:r>
            <w:r w:rsidR="00743C1F" w:rsidRPr="002237D2">
              <w:rPr>
                <w:rFonts w:ascii="Arial" w:hAnsi="Arial" w:cs="Arial"/>
              </w:rPr>
              <w:t>all (such as the impact of significantly more planned outages during these seasons)</w:t>
            </w:r>
            <w:r w:rsidR="00700133">
              <w:rPr>
                <w:rFonts w:ascii="Arial" w:hAnsi="Arial" w:cs="Arial"/>
              </w:rPr>
              <w:t xml:space="preserve"> to be represented</w:t>
            </w:r>
            <w:r w:rsidR="00743C1F" w:rsidRPr="002237D2">
              <w:rPr>
                <w:rFonts w:ascii="Arial" w:hAnsi="Arial" w:cs="Arial"/>
              </w:rPr>
              <w:t>.</w:t>
            </w:r>
          </w:p>
        </w:tc>
      </w:tr>
      <w:tr w:rsidR="00743C1F" w:rsidRPr="00315B6E" w14:paraId="1312B2FE" w14:textId="77777777" w:rsidTr="00D8322F">
        <w:tc>
          <w:tcPr>
            <w:tcW w:w="4140" w:type="dxa"/>
          </w:tcPr>
          <w:p w14:paraId="2B238677" w14:textId="65611930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 xml:space="preserve">Report </w:t>
            </w:r>
            <w:r w:rsidR="008D71E6">
              <w:rPr>
                <w:rFonts w:ascii="Arial" w:hAnsi="Arial" w:cs="Arial"/>
              </w:rPr>
              <w:t>R</w:t>
            </w:r>
            <w:r w:rsidRPr="002237D2">
              <w:rPr>
                <w:rFonts w:ascii="Arial" w:hAnsi="Arial" w:cs="Arial"/>
              </w:rPr>
              <w:t xml:space="preserve">esource adequacy information for the seasonal net peak </w:t>
            </w:r>
            <w:r w:rsidR="00422730">
              <w:rPr>
                <w:rFonts w:ascii="Arial" w:hAnsi="Arial" w:cs="Arial"/>
              </w:rPr>
              <w:t>L</w:t>
            </w:r>
            <w:r w:rsidRPr="002237D2">
              <w:rPr>
                <w:rFonts w:ascii="Arial" w:hAnsi="Arial" w:cs="Arial"/>
              </w:rPr>
              <w:t>oad hours.</w:t>
            </w:r>
          </w:p>
        </w:tc>
        <w:tc>
          <w:tcPr>
            <w:tcW w:w="6030" w:type="dxa"/>
          </w:tcPr>
          <w:p w14:paraId="0CEA4982" w14:textId="26296071" w:rsidR="00743C1F" w:rsidRPr="002237D2" w:rsidRDefault="00DE126E" w:rsidP="00F86F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additional IBRs such as solar continue to be added to the grid, it is important to not only report on forecasted peak </w:t>
            </w:r>
            <w:r w:rsidR="008D71E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emand</w:t>
            </w:r>
            <w:r w:rsidR="00CF25D3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, but also</w:t>
            </w:r>
            <w:r w:rsidR="00CF25D3">
              <w:rPr>
                <w:rFonts w:ascii="Arial" w:hAnsi="Arial" w:cs="Arial"/>
              </w:rPr>
              <w:t xml:space="preserve"> net peak </w:t>
            </w:r>
            <w:r w:rsidR="00422730">
              <w:rPr>
                <w:rFonts w:ascii="Arial" w:hAnsi="Arial" w:cs="Arial"/>
              </w:rPr>
              <w:t>L</w:t>
            </w:r>
            <w:r w:rsidR="00CF25D3">
              <w:rPr>
                <w:rFonts w:ascii="Arial" w:hAnsi="Arial" w:cs="Arial"/>
              </w:rPr>
              <w:t>oad hours</w:t>
            </w:r>
            <w:r w:rsidR="00035ED0">
              <w:rPr>
                <w:rFonts w:ascii="Arial" w:hAnsi="Arial" w:cs="Arial"/>
              </w:rPr>
              <w:t xml:space="preserve"> to communicate </w:t>
            </w:r>
            <w:r w:rsidR="008D71E6">
              <w:rPr>
                <w:rFonts w:ascii="Arial" w:hAnsi="Arial" w:cs="Arial"/>
              </w:rPr>
              <w:t>R</w:t>
            </w:r>
            <w:r w:rsidR="00035ED0">
              <w:rPr>
                <w:rFonts w:ascii="Arial" w:hAnsi="Arial" w:cs="Arial"/>
              </w:rPr>
              <w:t xml:space="preserve">esource adequacy needs at </w:t>
            </w:r>
            <w:r w:rsidR="00662A3D">
              <w:rPr>
                <w:rFonts w:ascii="Arial" w:hAnsi="Arial" w:cs="Arial"/>
              </w:rPr>
              <w:t>the most critical periods of the day</w:t>
            </w:r>
            <w:r w:rsidR="00CF25D3">
              <w:rPr>
                <w:rFonts w:ascii="Arial" w:hAnsi="Arial" w:cs="Arial"/>
              </w:rPr>
              <w:t xml:space="preserve">.  </w:t>
            </w:r>
            <w:r w:rsidR="00584F35">
              <w:rPr>
                <w:rFonts w:ascii="Arial" w:hAnsi="Arial" w:cs="Arial"/>
              </w:rPr>
              <w:t xml:space="preserve">Net peak </w:t>
            </w:r>
            <w:r w:rsidR="00422730">
              <w:rPr>
                <w:rFonts w:ascii="Arial" w:hAnsi="Arial" w:cs="Arial"/>
              </w:rPr>
              <w:t>L</w:t>
            </w:r>
            <w:r w:rsidR="00584F35">
              <w:rPr>
                <w:rFonts w:ascii="Arial" w:hAnsi="Arial" w:cs="Arial"/>
              </w:rPr>
              <w:t xml:space="preserve">oad is the </w:t>
            </w:r>
            <w:r w:rsidR="00422730">
              <w:rPr>
                <w:rFonts w:ascii="Arial" w:hAnsi="Arial" w:cs="Arial"/>
              </w:rPr>
              <w:t>L</w:t>
            </w:r>
            <w:r w:rsidR="00584F35">
              <w:rPr>
                <w:rFonts w:ascii="Arial" w:hAnsi="Arial" w:cs="Arial"/>
              </w:rPr>
              <w:t xml:space="preserve">oad minus the </w:t>
            </w:r>
            <w:r w:rsidR="00815213">
              <w:rPr>
                <w:rFonts w:ascii="Arial" w:hAnsi="Arial" w:cs="Arial"/>
              </w:rPr>
              <w:t xml:space="preserve">solar and wind generation for the same period.  </w:t>
            </w:r>
          </w:p>
        </w:tc>
      </w:tr>
      <w:tr w:rsidR="00743C1F" w:rsidRPr="00315B6E" w14:paraId="3FCE8A9C" w14:textId="77777777" w:rsidTr="00D8322F">
        <w:tc>
          <w:tcPr>
            <w:tcW w:w="4140" w:type="dxa"/>
          </w:tcPr>
          <w:p w14:paraId="7FF66426" w14:textId="66DE889F" w:rsidR="00743C1F" w:rsidRPr="00423534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 xml:space="preserve">Include two additional </w:t>
            </w:r>
            <w:r w:rsidR="008D71E6">
              <w:rPr>
                <w:rFonts w:ascii="Arial" w:hAnsi="Arial" w:cs="Arial"/>
              </w:rPr>
              <w:t>R</w:t>
            </w:r>
            <w:r w:rsidRPr="002237D2">
              <w:rPr>
                <w:rFonts w:ascii="Arial" w:hAnsi="Arial" w:cs="Arial"/>
              </w:rPr>
              <w:t>esource eligibility criteria for CDR reserve margin inclusion</w:t>
            </w:r>
            <w:r w:rsidR="00423534">
              <w:rPr>
                <w:rFonts w:ascii="Arial" w:hAnsi="Arial" w:cs="Arial"/>
              </w:rPr>
              <w:t>.</w:t>
            </w:r>
          </w:p>
        </w:tc>
        <w:tc>
          <w:tcPr>
            <w:tcW w:w="6030" w:type="dxa"/>
          </w:tcPr>
          <w:p w14:paraId="2A6D02B6" w14:textId="7A53E0DF" w:rsidR="00743C1F" w:rsidRPr="002237D2" w:rsidRDefault="001369D2" w:rsidP="00F86F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="00FB00EB">
              <w:rPr>
                <w:rFonts w:ascii="Arial" w:hAnsi="Arial" w:cs="Arial"/>
              </w:rPr>
              <w:t xml:space="preserve">future </w:t>
            </w:r>
            <w:r w:rsidR="008D71E6">
              <w:rPr>
                <w:rFonts w:ascii="Arial" w:hAnsi="Arial" w:cs="Arial"/>
              </w:rPr>
              <w:t>R</w:t>
            </w:r>
            <w:r w:rsidR="002A19CC">
              <w:rPr>
                <w:rFonts w:ascii="Arial" w:hAnsi="Arial" w:cs="Arial"/>
              </w:rPr>
              <w:t xml:space="preserve">esources to be included in </w:t>
            </w:r>
            <w:r w:rsidR="00FB00EB">
              <w:rPr>
                <w:rFonts w:ascii="Arial" w:hAnsi="Arial" w:cs="Arial"/>
              </w:rPr>
              <w:t xml:space="preserve">planned </w:t>
            </w:r>
            <w:r w:rsidR="002A19CC">
              <w:rPr>
                <w:rFonts w:ascii="Arial" w:hAnsi="Arial" w:cs="Arial"/>
              </w:rPr>
              <w:t xml:space="preserve">capacity calculations, they must meet certain eligibility </w:t>
            </w:r>
            <w:r w:rsidR="00094E06">
              <w:rPr>
                <w:rFonts w:ascii="Arial" w:hAnsi="Arial" w:cs="Arial"/>
              </w:rPr>
              <w:t xml:space="preserve">criteria.  The following additional criteria have been </w:t>
            </w:r>
            <w:r w:rsidR="003A6509">
              <w:rPr>
                <w:rFonts w:ascii="Arial" w:hAnsi="Arial" w:cs="Arial"/>
              </w:rPr>
              <w:t>included</w:t>
            </w:r>
            <w:r w:rsidR="00094E06">
              <w:rPr>
                <w:rFonts w:ascii="Arial" w:hAnsi="Arial" w:cs="Arial"/>
              </w:rPr>
              <w:t xml:space="preserve"> to </w:t>
            </w:r>
            <w:r w:rsidR="00F669C6">
              <w:rPr>
                <w:rFonts w:ascii="Arial" w:hAnsi="Arial" w:cs="Arial"/>
              </w:rPr>
              <w:t xml:space="preserve">provide </w:t>
            </w:r>
            <w:r w:rsidR="00441886">
              <w:rPr>
                <w:rFonts w:ascii="Arial" w:hAnsi="Arial" w:cs="Arial"/>
              </w:rPr>
              <w:t>added</w:t>
            </w:r>
            <w:r w:rsidR="00F669C6">
              <w:rPr>
                <w:rFonts w:ascii="Arial" w:hAnsi="Arial" w:cs="Arial"/>
              </w:rPr>
              <w:t xml:space="preserve"> certainty in planned </w:t>
            </w:r>
            <w:r w:rsidR="008D71E6">
              <w:rPr>
                <w:rFonts w:ascii="Arial" w:hAnsi="Arial" w:cs="Arial"/>
              </w:rPr>
              <w:t>R</w:t>
            </w:r>
            <w:r w:rsidR="00F669C6">
              <w:rPr>
                <w:rFonts w:ascii="Arial" w:hAnsi="Arial" w:cs="Arial"/>
              </w:rPr>
              <w:t>esource forecasts:</w:t>
            </w:r>
          </w:p>
          <w:p w14:paraId="6BB36114" w14:textId="7EE82C94" w:rsidR="00423534" w:rsidRDefault="00423534" w:rsidP="00F86F42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 xml:space="preserve">A written notice from the </w:t>
            </w:r>
            <w:r w:rsidR="000E5067">
              <w:rPr>
                <w:rFonts w:ascii="Arial" w:hAnsi="Arial" w:cs="Arial"/>
              </w:rPr>
              <w:t>Transmission Service Provider (</w:t>
            </w:r>
            <w:r w:rsidRPr="002237D2">
              <w:rPr>
                <w:rFonts w:ascii="Arial" w:hAnsi="Arial" w:cs="Arial"/>
              </w:rPr>
              <w:t>TSP</w:t>
            </w:r>
            <w:r w:rsidR="000E5067">
              <w:rPr>
                <w:rFonts w:ascii="Arial" w:hAnsi="Arial" w:cs="Arial"/>
              </w:rPr>
              <w:t>)</w:t>
            </w:r>
            <w:r w:rsidRPr="002237D2">
              <w:rPr>
                <w:rFonts w:ascii="Arial" w:hAnsi="Arial" w:cs="Arial"/>
              </w:rPr>
              <w:t xml:space="preserve"> that the Interconnecting Entity (IE) has provided a notice to proceed with interconnection construction</w:t>
            </w:r>
            <w:r w:rsidR="00441886">
              <w:rPr>
                <w:rFonts w:ascii="Arial" w:hAnsi="Arial" w:cs="Arial"/>
              </w:rPr>
              <w:t xml:space="preserve">; and </w:t>
            </w:r>
          </w:p>
          <w:p w14:paraId="34446B20" w14:textId="2C03367C" w:rsidR="00743C1F" w:rsidRPr="002237D2" w:rsidRDefault="00423534" w:rsidP="00F86F42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>A notice from the TSP that financial security to fund the interconnection facilities has been provided by the IE</w:t>
            </w:r>
            <w:r w:rsidR="00441886">
              <w:rPr>
                <w:rFonts w:ascii="Arial" w:hAnsi="Arial" w:cs="Arial"/>
              </w:rPr>
              <w:t>.</w:t>
            </w:r>
          </w:p>
        </w:tc>
      </w:tr>
      <w:tr w:rsidR="00743C1F" w:rsidRPr="00315B6E" w14:paraId="77BDD363" w14:textId="77777777" w:rsidTr="00D8322F">
        <w:tc>
          <w:tcPr>
            <w:tcW w:w="4140" w:type="dxa"/>
          </w:tcPr>
          <w:p w14:paraId="71A8504B" w14:textId="46CE4A31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>Include Energy Storage Resources</w:t>
            </w:r>
            <w:r w:rsidR="00C32951">
              <w:rPr>
                <w:rFonts w:ascii="Arial" w:hAnsi="Arial" w:cs="Arial"/>
              </w:rPr>
              <w:t xml:space="preserve"> (ESRs)</w:t>
            </w:r>
            <w:r w:rsidRPr="002237D2">
              <w:rPr>
                <w:rFonts w:ascii="Arial" w:hAnsi="Arial" w:cs="Arial"/>
              </w:rPr>
              <w:t xml:space="preserve"> in the CDR along with associated ELCCs.</w:t>
            </w:r>
          </w:p>
        </w:tc>
        <w:tc>
          <w:tcPr>
            <w:tcW w:w="6030" w:type="dxa"/>
          </w:tcPr>
          <w:p w14:paraId="612230FA" w14:textId="2B0F243B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 xml:space="preserve">ESRs are currently not a recognized </w:t>
            </w:r>
            <w:r w:rsidR="008D71E6">
              <w:rPr>
                <w:rFonts w:ascii="Arial" w:hAnsi="Arial" w:cs="Arial"/>
              </w:rPr>
              <w:t>R</w:t>
            </w:r>
            <w:r w:rsidRPr="002237D2">
              <w:rPr>
                <w:rFonts w:ascii="Arial" w:hAnsi="Arial" w:cs="Arial"/>
              </w:rPr>
              <w:t xml:space="preserve">esource for CDR capacity accounting and </w:t>
            </w:r>
            <w:r w:rsidR="00390562">
              <w:rPr>
                <w:rFonts w:ascii="Arial" w:hAnsi="Arial" w:cs="Arial"/>
              </w:rPr>
              <w:t>PRM</w:t>
            </w:r>
            <w:r w:rsidRPr="002237D2">
              <w:rPr>
                <w:rFonts w:ascii="Arial" w:hAnsi="Arial" w:cs="Arial"/>
              </w:rPr>
              <w:t xml:space="preserve"> calculation purposes.</w:t>
            </w:r>
            <w:r w:rsidR="009E05B9">
              <w:rPr>
                <w:rFonts w:ascii="Arial" w:hAnsi="Arial" w:cs="Arial"/>
              </w:rPr>
              <w:t xml:space="preserve">  As ESR</w:t>
            </w:r>
            <w:r w:rsidR="00A122B1">
              <w:rPr>
                <w:rFonts w:ascii="Arial" w:hAnsi="Arial" w:cs="Arial"/>
              </w:rPr>
              <w:t xml:space="preserve">s </w:t>
            </w:r>
            <w:r w:rsidR="009E05B9">
              <w:rPr>
                <w:rFonts w:ascii="Arial" w:hAnsi="Arial" w:cs="Arial"/>
              </w:rPr>
              <w:t>continues to increase</w:t>
            </w:r>
            <w:r w:rsidR="004C2AB6">
              <w:rPr>
                <w:rFonts w:ascii="Arial" w:hAnsi="Arial" w:cs="Arial"/>
              </w:rPr>
              <w:t xml:space="preserve"> on the </w:t>
            </w:r>
            <w:r w:rsidR="004C2AB6">
              <w:rPr>
                <w:rFonts w:ascii="Arial" w:hAnsi="Arial" w:cs="Arial"/>
              </w:rPr>
              <w:lastRenderedPageBreak/>
              <w:t>system</w:t>
            </w:r>
            <w:r w:rsidR="00A122B1">
              <w:rPr>
                <w:rFonts w:ascii="Arial" w:hAnsi="Arial" w:cs="Arial"/>
              </w:rPr>
              <w:t xml:space="preserve">, including their </w:t>
            </w:r>
            <w:r w:rsidR="004C2AB6">
              <w:rPr>
                <w:rFonts w:ascii="Arial" w:hAnsi="Arial" w:cs="Arial"/>
              </w:rPr>
              <w:t xml:space="preserve">capacity contribution provides a more accurate </w:t>
            </w:r>
            <w:r w:rsidR="00FC457B">
              <w:rPr>
                <w:rFonts w:ascii="Arial" w:hAnsi="Arial" w:cs="Arial"/>
              </w:rPr>
              <w:t xml:space="preserve">assessment of the </w:t>
            </w:r>
            <w:r w:rsidR="008D71E6">
              <w:rPr>
                <w:rFonts w:ascii="Arial" w:hAnsi="Arial" w:cs="Arial"/>
              </w:rPr>
              <w:t>R</w:t>
            </w:r>
            <w:r w:rsidR="00FC457B">
              <w:rPr>
                <w:rFonts w:ascii="Arial" w:hAnsi="Arial" w:cs="Arial"/>
              </w:rPr>
              <w:t xml:space="preserve">esources available to meet </w:t>
            </w:r>
            <w:r w:rsidR="008D71E6">
              <w:rPr>
                <w:rFonts w:ascii="Arial" w:hAnsi="Arial" w:cs="Arial"/>
              </w:rPr>
              <w:t>D</w:t>
            </w:r>
            <w:r w:rsidR="00FC457B">
              <w:rPr>
                <w:rFonts w:ascii="Arial" w:hAnsi="Arial" w:cs="Arial"/>
              </w:rPr>
              <w:t>emand.</w:t>
            </w:r>
          </w:p>
        </w:tc>
      </w:tr>
      <w:tr w:rsidR="00743C1F" w:rsidRPr="00315B6E" w14:paraId="213EC413" w14:textId="77777777" w:rsidTr="00D8322F">
        <w:tc>
          <w:tcPr>
            <w:tcW w:w="4140" w:type="dxa"/>
          </w:tcPr>
          <w:p w14:paraId="486384BC" w14:textId="77777777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lastRenderedPageBreak/>
              <w:t>Change the Energy Response Service (ERS) forecast method from a three-year historical average of seasonal procurement amounts to the most current seasonal procurement amount with ERCOT adjustment to reflect ERS program changes.</w:t>
            </w:r>
          </w:p>
        </w:tc>
        <w:tc>
          <w:tcPr>
            <w:tcW w:w="6030" w:type="dxa"/>
          </w:tcPr>
          <w:p w14:paraId="7574E9EB" w14:textId="282E23A2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>The current method can produce unrealistic forecasts given a significant change in ERS program specification during one of the historical years used in the calculations.</w:t>
            </w:r>
            <w:r w:rsidR="0012174C">
              <w:rPr>
                <w:rFonts w:ascii="Arial" w:hAnsi="Arial" w:cs="Arial"/>
              </w:rPr>
              <w:t xml:space="preserve">  </w:t>
            </w:r>
            <w:r w:rsidRPr="002237D2">
              <w:rPr>
                <w:rFonts w:ascii="Arial" w:hAnsi="Arial" w:cs="Arial"/>
              </w:rPr>
              <w:t>Allowing ERCOT to adjust the forecast based on expected program changes produces more accurate ERS forecasts.</w:t>
            </w:r>
          </w:p>
        </w:tc>
      </w:tr>
      <w:tr w:rsidR="00743C1F" w:rsidRPr="00315B6E" w14:paraId="6F645A56" w14:textId="77777777" w:rsidTr="00D8322F">
        <w:tc>
          <w:tcPr>
            <w:tcW w:w="4140" w:type="dxa"/>
          </w:tcPr>
          <w:p w14:paraId="7FF4CF5C" w14:textId="77777777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 xml:space="preserve">Specification of a CDR release schedule and a requirement to issue a Market Notice if a CDR release is expected to be late. </w:t>
            </w:r>
          </w:p>
        </w:tc>
        <w:tc>
          <w:tcPr>
            <w:tcW w:w="6030" w:type="dxa"/>
          </w:tcPr>
          <w:p w14:paraId="6DC4010B" w14:textId="66505DFE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>Provides Market Participants and other stakeholders certainty regarding CDR availability timing.</w:t>
            </w:r>
          </w:p>
          <w:p w14:paraId="1368F052" w14:textId="77777777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</w:p>
          <w:p w14:paraId="3BD82DDD" w14:textId="3432D0EF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43C1F" w14:paraId="55913A1C" w14:textId="77777777" w:rsidTr="00D8322F">
        <w:tc>
          <w:tcPr>
            <w:tcW w:w="4140" w:type="dxa"/>
          </w:tcPr>
          <w:p w14:paraId="77EA9A63" w14:textId="094C9B56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 xml:space="preserve">Include Distribution Voltage Control as a </w:t>
            </w:r>
            <w:r w:rsidR="00422730">
              <w:rPr>
                <w:rFonts w:ascii="Arial" w:hAnsi="Arial" w:cs="Arial"/>
              </w:rPr>
              <w:t>L</w:t>
            </w:r>
            <w:r w:rsidRPr="002237D2">
              <w:rPr>
                <w:rFonts w:ascii="Arial" w:hAnsi="Arial" w:cs="Arial"/>
              </w:rPr>
              <w:t>oad forecast adjustment.</w:t>
            </w:r>
          </w:p>
        </w:tc>
        <w:tc>
          <w:tcPr>
            <w:tcW w:w="6030" w:type="dxa"/>
          </w:tcPr>
          <w:p w14:paraId="7E31BF9F" w14:textId="2FDEF749" w:rsidR="00743C1F" w:rsidRPr="002237D2" w:rsidRDefault="00743C1F" w:rsidP="00F86F42">
            <w:pPr>
              <w:spacing w:before="120" w:after="120"/>
              <w:rPr>
                <w:rFonts w:ascii="Arial" w:hAnsi="Arial" w:cs="Arial"/>
              </w:rPr>
            </w:pPr>
            <w:r w:rsidRPr="002237D2">
              <w:rPr>
                <w:rFonts w:ascii="Arial" w:hAnsi="Arial" w:cs="Arial"/>
              </w:rPr>
              <w:t>Aligns the CDR with a previous Protocol change</w:t>
            </w:r>
            <w:r w:rsidR="00275F42">
              <w:rPr>
                <w:rFonts w:ascii="Arial" w:hAnsi="Arial" w:cs="Arial"/>
              </w:rPr>
              <w:t xml:space="preserve">s resulting from </w:t>
            </w:r>
            <w:r w:rsidRPr="00422730">
              <w:rPr>
                <w:rFonts w:ascii="Arial" w:hAnsi="Arial" w:cs="Arial"/>
              </w:rPr>
              <w:t>NPRR1105</w:t>
            </w:r>
            <w:r w:rsidR="00275F42" w:rsidRPr="00422730">
              <w:rPr>
                <w:rFonts w:ascii="Arial" w:hAnsi="Arial" w:cs="Arial"/>
              </w:rPr>
              <w:t>,</w:t>
            </w:r>
            <w:r w:rsidR="00422730">
              <w:rPr>
                <w:rFonts w:ascii="Arial" w:hAnsi="Arial" w:cs="Arial"/>
              </w:rPr>
              <w:t xml:space="preserve"> Option to Deploy Distribution Voltage Reduction Measures Prior to Energy Emergency Alert (EEA),</w:t>
            </w:r>
            <w:r w:rsidR="00275F42" w:rsidRPr="00422730">
              <w:rPr>
                <w:rFonts w:ascii="Arial" w:hAnsi="Arial" w:cs="Arial"/>
              </w:rPr>
              <w:t xml:space="preserve"> which</w:t>
            </w:r>
            <w:r w:rsidRPr="00422730">
              <w:rPr>
                <w:rFonts w:ascii="Arial" w:hAnsi="Arial" w:cs="Arial"/>
              </w:rPr>
              <w:t xml:space="preserve"> allows ERCOT to instruct </w:t>
            </w:r>
            <w:r w:rsidR="00275F42" w:rsidRPr="00422730">
              <w:rPr>
                <w:rFonts w:ascii="Arial" w:hAnsi="Arial" w:cs="Arial"/>
              </w:rPr>
              <w:t>Transmission and</w:t>
            </w:r>
            <w:r w:rsidR="00F86F42">
              <w:rPr>
                <w:rFonts w:ascii="Arial" w:hAnsi="Arial" w:cs="Arial"/>
              </w:rPr>
              <w:t>/or</w:t>
            </w:r>
            <w:r w:rsidR="00275F42" w:rsidRPr="00422730">
              <w:rPr>
                <w:rFonts w:ascii="Arial" w:hAnsi="Arial" w:cs="Arial"/>
              </w:rPr>
              <w:t xml:space="preserve"> Distribution</w:t>
            </w:r>
            <w:r w:rsidR="00275F42">
              <w:rPr>
                <w:rFonts w:ascii="Arial" w:hAnsi="Arial" w:cs="Arial"/>
              </w:rPr>
              <w:t xml:space="preserve"> Service Providers</w:t>
            </w:r>
            <w:r w:rsidRPr="002237D2">
              <w:rPr>
                <w:rFonts w:ascii="Arial" w:hAnsi="Arial" w:cs="Arial"/>
              </w:rPr>
              <w:t xml:space="preserve"> </w:t>
            </w:r>
            <w:r w:rsidR="00F86F42">
              <w:rPr>
                <w:rFonts w:ascii="Arial" w:hAnsi="Arial" w:cs="Arial"/>
              </w:rPr>
              <w:t xml:space="preserve">(TDSPs) </w:t>
            </w:r>
            <w:r w:rsidRPr="002237D2">
              <w:rPr>
                <w:rFonts w:ascii="Arial" w:hAnsi="Arial" w:cs="Arial"/>
              </w:rPr>
              <w:t>to deploy available distribution voltage reduction measures prior to ERCOT declaring an EEA</w:t>
            </w:r>
            <w:r w:rsidR="000457E7">
              <w:rPr>
                <w:rFonts w:ascii="Arial" w:hAnsi="Arial" w:cs="Arial"/>
              </w:rPr>
              <w:t>.</w:t>
            </w:r>
          </w:p>
        </w:tc>
      </w:tr>
    </w:tbl>
    <w:p w14:paraId="5B90D197" w14:textId="77777777" w:rsidR="00E62548" w:rsidRDefault="00E62548" w:rsidP="00C55351">
      <w:pPr>
        <w:pStyle w:val="NormalArial"/>
        <w:spacing w:before="120" w:after="12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236DA" w14:paraId="168748B5" w14:textId="77777777" w:rsidTr="00B51C1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D30C30" w14:textId="77777777" w:rsidR="00F236DA" w:rsidRDefault="00F236DA" w:rsidP="00B51C10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C779ECB" w14:textId="0A0044AA" w:rsidR="00732B65" w:rsidRPr="00716801" w:rsidRDefault="00F236DA" w:rsidP="00716801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5D57F60F" w:rsidR="009A3772" w:rsidRDefault="00F236DA">
            <w:pPr>
              <w:pStyle w:val="Header"/>
              <w:jc w:val="center"/>
            </w:pPr>
            <w:r>
              <w:t xml:space="preserve">Revised </w:t>
            </w:r>
            <w:r w:rsidR="009A3772">
              <w:t>Proposed Protocol Language</w:t>
            </w:r>
          </w:p>
        </w:tc>
      </w:tr>
    </w:tbl>
    <w:p w14:paraId="319775F9" w14:textId="4756DFBC" w:rsidR="00F0693E" w:rsidRPr="00716801" w:rsidRDefault="00484ABB" w:rsidP="00716801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sectPr w:rsidR="00F0693E" w:rsidRPr="00716801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783E" w14:textId="77777777" w:rsidR="00DE650B" w:rsidRDefault="00DE650B">
      <w:r>
        <w:separator/>
      </w:r>
    </w:p>
  </w:endnote>
  <w:endnote w:type="continuationSeparator" w:id="0">
    <w:p w14:paraId="01564EC1" w14:textId="77777777" w:rsidR="00DE650B" w:rsidRDefault="00D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1CD2" w14:textId="0CB95A30" w:rsidR="00D176CF" w:rsidRPr="00313D88" w:rsidRDefault="00701FB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1219</w:t>
    </w:r>
    <w:r w:rsidR="00313D88" w:rsidRPr="00313D88">
      <w:rPr>
        <w:rFonts w:ascii="Arial" w:hAnsi="Arial" w:cs="Arial"/>
        <w:sz w:val="18"/>
        <w:szCs w:val="18"/>
      </w:rPr>
      <w:t>NPRR-</w:t>
    </w:r>
    <w:r w:rsidR="00716801">
      <w:rPr>
        <w:rFonts w:ascii="Arial" w:hAnsi="Arial" w:cs="Arial"/>
        <w:sz w:val="18"/>
        <w:szCs w:val="18"/>
      </w:rPr>
      <w:t>12</w:t>
    </w:r>
    <w:r w:rsidR="00313D88" w:rsidRPr="00313D88">
      <w:rPr>
        <w:rFonts w:ascii="Arial" w:hAnsi="Arial" w:cs="Arial"/>
        <w:sz w:val="18"/>
        <w:szCs w:val="18"/>
      </w:rPr>
      <w:t xml:space="preserve"> </w:t>
    </w:r>
    <w:r w:rsidR="00F236DA">
      <w:rPr>
        <w:rFonts w:ascii="Arial" w:hAnsi="Arial" w:cs="Arial"/>
        <w:sz w:val="18"/>
        <w:szCs w:val="18"/>
      </w:rPr>
      <w:t>ERCOT Comments 0</w:t>
    </w:r>
    <w:r w:rsidR="002E21BC">
      <w:rPr>
        <w:rFonts w:ascii="Arial" w:hAnsi="Arial" w:cs="Arial"/>
        <w:sz w:val="18"/>
        <w:szCs w:val="18"/>
      </w:rPr>
      <w:t>812</w:t>
    </w:r>
    <w:r w:rsidR="00F236DA">
      <w:rPr>
        <w:rFonts w:ascii="Arial" w:hAnsi="Arial" w:cs="Arial"/>
        <w:sz w:val="18"/>
        <w:szCs w:val="18"/>
      </w:rPr>
      <w:t>24</w:t>
    </w:r>
    <w:r w:rsidR="00D176CF" w:rsidRPr="00313D88">
      <w:rPr>
        <w:rFonts w:ascii="Arial" w:hAnsi="Arial" w:cs="Arial"/>
        <w:sz w:val="18"/>
        <w:szCs w:val="18"/>
      </w:rPr>
      <w:tab/>
      <w:t xml:space="preserve">Page </w:t>
    </w:r>
    <w:r w:rsidR="00D176CF" w:rsidRPr="00313D88">
      <w:rPr>
        <w:rFonts w:ascii="Arial" w:hAnsi="Arial" w:cs="Arial"/>
        <w:sz w:val="18"/>
        <w:szCs w:val="18"/>
      </w:rPr>
      <w:fldChar w:fldCharType="begin"/>
    </w:r>
    <w:r w:rsidR="00D176CF" w:rsidRPr="00313D88">
      <w:rPr>
        <w:rFonts w:ascii="Arial" w:hAnsi="Arial" w:cs="Arial"/>
        <w:sz w:val="18"/>
        <w:szCs w:val="18"/>
      </w:rPr>
      <w:instrText xml:space="preserve"> PAGE </w:instrText>
    </w:r>
    <w:r w:rsidR="00D176CF" w:rsidRPr="00313D88">
      <w:rPr>
        <w:rFonts w:ascii="Arial" w:hAnsi="Arial" w:cs="Arial"/>
        <w:sz w:val="18"/>
        <w:szCs w:val="18"/>
      </w:rPr>
      <w:fldChar w:fldCharType="separate"/>
    </w:r>
    <w:r w:rsidR="006E4597" w:rsidRPr="00313D88">
      <w:rPr>
        <w:rFonts w:ascii="Arial" w:hAnsi="Arial" w:cs="Arial"/>
        <w:noProof/>
        <w:sz w:val="18"/>
        <w:szCs w:val="18"/>
      </w:rPr>
      <w:t>1</w:t>
    </w:r>
    <w:r w:rsidR="00D176CF" w:rsidRPr="00313D88">
      <w:rPr>
        <w:rFonts w:ascii="Arial" w:hAnsi="Arial" w:cs="Arial"/>
        <w:sz w:val="18"/>
        <w:szCs w:val="18"/>
      </w:rPr>
      <w:fldChar w:fldCharType="end"/>
    </w:r>
    <w:r w:rsidR="00D176CF" w:rsidRPr="00313D88">
      <w:rPr>
        <w:rFonts w:ascii="Arial" w:hAnsi="Arial" w:cs="Arial"/>
        <w:sz w:val="18"/>
        <w:szCs w:val="18"/>
      </w:rPr>
      <w:t xml:space="preserve"> of </w:t>
    </w:r>
    <w:r w:rsidR="00D176CF" w:rsidRPr="00313D88">
      <w:rPr>
        <w:rFonts w:ascii="Arial" w:hAnsi="Arial" w:cs="Arial"/>
        <w:sz w:val="18"/>
        <w:szCs w:val="18"/>
      </w:rPr>
      <w:fldChar w:fldCharType="begin"/>
    </w:r>
    <w:r w:rsidR="00D176CF" w:rsidRPr="00313D88">
      <w:rPr>
        <w:rFonts w:ascii="Arial" w:hAnsi="Arial" w:cs="Arial"/>
        <w:sz w:val="18"/>
        <w:szCs w:val="18"/>
      </w:rPr>
      <w:instrText xml:space="preserve"> NUMPAGES </w:instrText>
    </w:r>
    <w:r w:rsidR="00D176CF" w:rsidRPr="00313D88">
      <w:rPr>
        <w:rFonts w:ascii="Arial" w:hAnsi="Arial" w:cs="Arial"/>
        <w:sz w:val="18"/>
        <w:szCs w:val="18"/>
      </w:rPr>
      <w:fldChar w:fldCharType="separate"/>
    </w:r>
    <w:r w:rsidR="006E4597" w:rsidRPr="00313D88">
      <w:rPr>
        <w:rFonts w:ascii="Arial" w:hAnsi="Arial" w:cs="Arial"/>
        <w:noProof/>
        <w:sz w:val="18"/>
        <w:szCs w:val="18"/>
      </w:rPr>
      <w:t>2</w:t>
    </w:r>
    <w:r w:rsidR="00D176CF" w:rsidRPr="00313D88">
      <w:rPr>
        <w:rFonts w:ascii="Arial" w:hAnsi="Arial" w:cs="Arial"/>
        <w:sz w:val="18"/>
        <w:szCs w:val="18"/>
      </w:rPr>
      <w:fldChar w:fldCharType="end"/>
    </w:r>
  </w:p>
  <w:p w14:paraId="24F97763" w14:textId="77777777" w:rsidR="00D176CF" w:rsidRPr="00313D88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313D88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90DC" w14:textId="77777777" w:rsidR="00DE650B" w:rsidRDefault="00DE650B">
      <w:r>
        <w:separator/>
      </w:r>
    </w:p>
  </w:footnote>
  <w:footnote w:type="continuationSeparator" w:id="0">
    <w:p w14:paraId="397B0766" w14:textId="77777777" w:rsidR="00DE650B" w:rsidRDefault="00DE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D309" w14:textId="3976481F" w:rsidR="00D176CF" w:rsidRDefault="001A10A2" w:rsidP="006E4597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0543C4"/>
    <w:multiLevelType w:val="hybridMultilevel"/>
    <w:tmpl w:val="814814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641BB"/>
    <w:multiLevelType w:val="hybridMultilevel"/>
    <w:tmpl w:val="3EFC9514"/>
    <w:lvl w:ilvl="0" w:tplc="BFF226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307CB"/>
    <w:multiLevelType w:val="hybridMultilevel"/>
    <w:tmpl w:val="20526D1C"/>
    <w:lvl w:ilvl="0" w:tplc="B07067B0">
      <w:numFmt w:val="bullet"/>
      <w:lvlText w:val="•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4D46EB4"/>
    <w:multiLevelType w:val="hybridMultilevel"/>
    <w:tmpl w:val="74D21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32452"/>
    <w:multiLevelType w:val="hybridMultilevel"/>
    <w:tmpl w:val="17FA2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D02BF"/>
    <w:multiLevelType w:val="hybridMultilevel"/>
    <w:tmpl w:val="9BB0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900D0"/>
    <w:multiLevelType w:val="hybridMultilevel"/>
    <w:tmpl w:val="D06C4392"/>
    <w:lvl w:ilvl="0" w:tplc="6E46E30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2071"/>
    <w:multiLevelType w:val="hybridMultilevel"/>
    <w:tmpl w:val="706656EC"/>
    <w:lvl w:ilvl="0" w:tplc="9DE613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F124875"/>
    <w:multiLevelType w:val="hybridMultilevel"/>
    <w:tmpl w:val="0BB0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E2293"/>
    <w:multiLevelType w:val="hybridMultilevel"/>
    <w:tmpl w:val="1E46DC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9117511">
    <w:abstractNumId w:val="0"/>
  </w:num>
  <w:num w:numId="2" w16cid:durableId="367798150">
    <w:abstractNumId w:val="19"/>
  </w:num>
  <w:num w:numId="3" w16cid:durableId="1607889353">
    <w:abstractNumId w:val="21"/>
  </w:num>
  <w:num w:numId="4" w16cid:durableId="341320191">
    <w:abstractNumId w:val="1"/>
  </w:num>
  <w:num w:numId="5" w16cid:durableId="1958296571">
    <w:abstractNumId w:val="14"/>
  </w:num>
  <w:num w:numId="6" w16cid:durableId="262619047">
    <w:abstractNumId w:val="14"/>
  </w:num>
  <w:num w:numId="7" w16cid:durableId="776406936">
    <w:abstractNumId w:val="14"/>
  </w:num>
  <w:num w:numId="8" w16cid:durableId="1470980249">
    <w:abstractNumId w:val="14"/>
  </w:num>
  <w:num w:numId="9" w16cid:durableId="2080206664">
    <w:abstractNumId w:val="14"/>
  </w:num>
  <w:num w:numId="10" w16cid:durableId="1402215452">
    <w:abstractNumId w:val="14"/>
  </w:num>
  <w:num w:numId="11" w16cid:durableId="1265113900">
    <w:abstractNumId w:val="14"/>
  </w:num>
  <w:num w:numId="12" w16cid:durableId="1608073832">
    <w:abstractNumId w:val="14"/>
  </w:num>
  <w:num w:numId="13" w16cid:durableId="721757119">
    <w:abstractNumId w:val="14"/>
  </w:num>
  <w:num w:numId="14" w16cid:durableId="487477675">
    <w:abstractNumId w:val="5"/>
  </w:num>
  <w:num w:numId="15" w16cid:durableId="607011371">
    <w:abstractNumId w:val="13"/>
  </w:num>
  <w:num w:numId="16" w16cid:durableId="115492300">
    <w:abstractNumId w:val="16"/>
  </w:num>
  <w:num w:numId="17" w16cid:durableId="898783196">
    <w:abstractNumId w:val="18"/>
  </w:num>
  <w:num w:numId="18" w16cid:durableId="3169618">
    <w:abstractNumId w:val="6"/>
  </w:num>
  <w:num w:numId="19" w16cid:durableId="706687386">
    <w:abstractNumId w:val="15"/>
  </w:num>
  <w:num w:numId="20" w16cid:durableId="1926109512">
    <w:abstractNumId w:val="3"/>
  </w:num>
  <w:num w:numId="21" w16cid:durableId="24212997">
    <w:abstractNumId w:val="9"/>
  </w:num>
  <w:num w:numId="22" w16cid:durableId="1861779194">
    <w:abstractNumId w:val="2"/>
  </w:num>
  <w:num w:numId="23" w16cid:durableId="1839038140">
    <w:abstractNumId w:val="12"/>
  </w:num>
  <w:num w:numId="24" w16cid:durableId="1681350460">
    <w:abstractNumId w:val="11"/>
  </w:num>
  <w:num w:numId="25" w16cid:durableId="1309632491">
    <w:abstractNumId w:val="20"/>
  </w:num>
  <w:num w:numId="26" w16cid:durableId="1171336780">
    <w:abstractNumId w:val="7"/>
  </w:num>
  <w:num w:numId="27" w16cid:durableId="885872579">
    <w:abstractNumId w:val="4"/>
  </w:num>
  <w:num w:numId="28" w16cid:durableId="81266857">
    <w:abstractNumId w:val="17"/>
  </w:num>
  <w:num w:numId="29" w16cid:durableId="1584993729">
    <w:abstractNumId w:val="10"/>
  </w:num>
  <w:num w:numId="30" w16cid:durableId="15927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884"/>
    <w:rsid w:val="00004B04"/>
    <w:rsid w:val="00006711"/>
    <w:rsid w:val="00010E2B"/>
    <w:rsid w:val="00010FF4"/>
    <w:rsid w:val="0002000E"/>
    <w:rsid w:val="00035ED0"/>
    <w:rsid w:val="00040817"/>
    <w:rsid w:val="00045531"/>
    <w:rsid w:val="000457E7"/>
    <w:rsid w:val="00060A5A"/>
    <w:rsid w:val="00061CBA"/>
    <w:rsid w:val="00062030"/>
    <w:rsid w:val="000631A7"/>
    <w:rsid w:val="00064B44"/>
    <w:rsid w:val="00067D63"/>
    <w:rsid w:val="00067FE2"/>
    <w:rsid w:val="0007682E"/>
    <w:rsid w:val="000814EB"/>
    <w:rsid w:val="00094E06"/>
    <w:rsid w:val="000A1E12"/>
    <w:rsid w:val="000A3BF6"/>
    <w:rsid w:val="000A5A67"/>
    <w:rsid w:val="000B4C00"/>
    <w:rsid w:val="000C2FA9"/>
    <w:rsid w:val="000C5CFC"/>
    <w:rsid w:val="000D1AEB"/>
    <w:rsid w:val="000D3E64"/>
    <w:rsid w:val="000D6C12"/>
    <w:rsid w:val="000E5067"/>
    <w:rsid w:val="000E65D5"/>
    <w:rsid w:val="000F13C5"/>
    <w:rsid w:val="00105A36"/>
    <w:rsid w:val="00106608"/>
    <w:rsid w:val="00111681"/>
    <w:rsid w:val="00111EF1"/>
    <w:rsid w:val="001201B0"/>
    <w:rsid w:val="0012174C"/>
    <w:rsid w:val="00124356"/>
    <w:rsid w:val="001313B4"/>
    <w:rsid w:val="001326B0"/>
    <w:rsid w:val="001369D2"/>
    <w:rsid w:val="0014546D"/>
    <w:rsid w:val="001500D9"/>
    <w:rsid w:val="00150907"/>
    <w:rsid w:val="00156DB7"/>
    <w:rsid w:val="00157228"/>
    <w:rsid w:val="00160C3C"/>
    <w:rsid w:val="00172201"/>
    <w:rsid w:val="001723A4"/>
    <w:rsid w:val="00174E7A"/>
    <w:rsid w:val="0017783C"/>
    <w:rsid w:val="00182E15"/>
    <w:rsid w:val="00185B5D"/>
    <w:rsid w:val="0019314C"/>
    <w:rsid w:val="001950D0"/>
    <w:rsid w:val="001A10A2"/>
    <w:rsid w:val="001B26C9"/>
    <w:rsid w:val="001C2CFD"/>
    <w:rsid w:val="001C5735"/>
    <w:rsid w:val="001D4145"/>
    <w:rsid w:val="001D532A"/>
    <w:rsid w:val="001D5E09"/>
    <w:rsid w:val="001F38F0"/>
    <w:rsid w:val="0021096D"/>
    <w:rsid w:val="00217241"/>
    <w:rsid w:val="00220BDA"/>
    <w:rsid w:val="002237D2"/>
    <w:rsid w:val="00224706"/>
    <w:rsid w:val="00231351"/>
    <w:rsid w:val="00237430"/>
    <w:rsid w:val="00237C8F"/>
    <w:rsid w:val="002417E3"/>
    <w:rsid w:val="00241E80"/>
    <w:rsid w:val="00252345"/>
    <w:rsid w:val="00264BC8"/>
    <w:rsid w:val="00266F33"/>
    <w:rsid w:val="002673CC"/>
    <w:rsid w:val="00272559"/>
    <w:rsid w:val="00275F42"/>
    <w:rsid w:val="00276A99"/>
    <w:rsid w:val="002819B7"/>
    <w:rsid w:val="00286AD9"/>
    <w:rsid w:val="002966F3"/>
    <w:rsid w:val="002A19CC"/>
    <w:rsid w:val="002A2381"/>
    <w:rsid w:val="002A3586"/>
    <w:rsid w:val="002A62B5"/>
    <w:rsid w:val="002B69F3"/>
    <w:rsid w:val="002B6B51"/>
    <w:rsid w:val="002B763A"/>
    <w:rsid w:val="002C3D79"/>
    <w:rsid w:val="002C4A71"/>
    <w:rsid w:val="002D1306"/>
    <w:rsid w:val="002D1C9E"/>
    <w:rsid w:val="002D382A"/>
    <w:rsid w:val="002E21BC"/>
    <w:rsid w:val="002E457C"/>
    <w:rsid w:val="002E692C"/>
    <w:rsid w:val="002F080C"/>
    <w:rsid w:val="002F1EDD"/>
    <w:rsid w:val="002F2370"/>
    <w:rsid w:val="003013F2"/>
    <w:rsid w:val="0030232A"/>
    <w:rsid w:val="0030572A"/>
    <w:rsid w:val="0030694A"/>
    <w:rsid w:val="003069F4"/>
    <w:rsid w:val="00313D88"/>
    <w:rsid w:val="003258E8"/>
    <w:rsid w:val="00325DE3"/>
    <w:rsid w:val="00331881"/>
    <w:rsid w:val="00332271"/>
    <w:rsid w:val="00333184"/>
    <w:rsid w:val="0035105A"/>
    <w:rsid w:val="00360920"/>
    <w:rsid w:val="00373244"/>
    <w:rsid w:val="00380DF3"/>
    <w:rsid w:val="0038164C"/>
    <w:rsid w:val="00384709"/>
    <w:rsid w:val="00386C35"/>
    <w:rsid w:val="00386C71"/>
    <w:rsid w:val="00390562"/>
    <w:rsid w:val="00397A11"/>
    <w:rsid w:val="003A2F63"/>
    <w:rsid w:val="003A3D77"/>
    <w:rsid w:val="003A6509"/>
    <w:rsid w:val="003B3A9F"/>
    <w:rsid w:val="003B5AED"/>
    <w:rsid w:val="003B6F70"/>
    <w:rsid w:val="003C32B6"/>
    <w:rsid w:val="003C33C4"/>
    <w:rsid w:val="003C5A76"/>
    <w:rsid w:val="003C6B7B"/>
    <w:rsid w:val="003D0CC7"/>
    <w:rsid w:val="003D2444"/>
    <w:rsid w:val="003D376A"/>
    <w:rsid w:val="003E70BE"/>
    <w:rsid w:val="003F116C"/>
    <w:rsid w:val="003F20E8"/>
    <w:rsid w:val="0040729D"/>
    <w:rsid w:val="00410615"/>
    <w:rsid w:val="004119F0"/>
    <w:rsid w:val="00411CA4"/>
    <w:rsid w:val="004123AF"/>
    <w:rsid w:val="004135BD"/>
    <w:rsid w:val="00415386"/>
    <w:rsid w:val="00422730"/>
    <w:rsid w:val="00423534"/>
    <w:rsid w:val="004249CF"/>
    <w:rsid w:val="00426747"/>
    <w:rsid w:val="004302A4"/>
    <w:rsid w:val="00433E76"/>
    <w:rsid w:val="00441886"/>
    <w:rsid w:val="00441F13"/>
    <w:rsid w:val="004463BA"/>
    <w:rsid w:val="0046293A"/>
    <w:rsid w:val="00481E2D"/>
    <w:rsid w:val="004822D4"/>
    <w:rsid w:val="00484200"/>
    <w:rsid w:val="00484ABB"/>
    <w:rsid w:val="004925FC"/>
    <w:rsid w:val="0049290B"/>
    <w:rsid w:val="004A30B1"/>
    <w:rsid w:val="004A4451"/>
    <w:rsid w:val="004A7CC4"/>
    <w:rsid w:val="004C2AB6"/>
    <w:rsid w:val="004D3958"/>
    <w:rsid w:val="004D4322"/>
    <w:rsid w:val="004D787D"/>
    <w:rsid w:val="004E5ACE"/>
    <w:rsid w:val="004E6CCD"/>
    <w:rsid w:val="005008DF"/>
    <w:rsid w:val="00502EF3"/>
    <w:rsid w:val="005045D0"/>
    <w:rsid w:val="00517CD7"/>
    <w:rsid w:val="00521005"/>
    <w:rsid w:val="00532076"/>
    <w:rsid w:val="00534C6C"/>
    <w:rsid w:val="005512EA"/>
    <w:rsid w:val="00570D4E"/>
    <w:rsid w:val="00580E6A"/>
    <w:rsid w:val="005841C0"/>
    <w:rsid w:val="00584F35"/>
    <w:rsid w:val="0059260F"/>
    <w:rsid w:val="005A51D6"/>
    <w:rsid w:val="005B6E53"/>
    <w:rsid w:val="005C38F2"/>
    <w:rsid w:val="005E153A"/>
    <w:rsid w:val="005E313D"/>
    <w:rsid w:val="005E5074"/>
    <w:rsid w:val="005F7328"/>
    <w:rsid w:val="00612E4F"/>
    <w:rsid w:val="00615D5E"/>
    <w:rsid w:val="00622E99"/>
    <w:rsid w:val="00625E5D"/>
    <w:rsid w:val="00636F31"/>
    <w:rsid w:val="00654009"/>
    <w:rsid w:val="00662A3D"/>
    <w:rsid w:val="0066370F"/>
    <w:rsid w:val="006718BE"/>
    <w:rsid w:val="0067444C"/>
    <w:rsid w:val="0067734F"/>
    <w:rsid w:val="00677BE6"/>
    <w:rsid w:val="00684000"/>
    <w:rsid w:val="00691939"/>
    <w:rsid w:val="00692F5F"/>
    <w:rsid w:val="00694338"/>
    <w:rsid w:val="0069591F"/>
    <w:rsid w:val="006A0784"/>
    <w:rsid w:val="006A697B"/>
    <w:rsid w:val="006B23E2"/>
    <w:rsid w:val="006B4DDE"/>
    <w:rsid w:val="006C3573"/>
    <w:rsid w:val="006D6829"/>
    <w:rsid w:val="006D6EAA"/>
    <w:rsid w:val="006E3AAF"/>
    <w:rsid w:val="006E4205"/>
    <w:rsid w:val="006E4597"/>
    <w:rsid w:val="006E5115"/>
    <w:rsid w:val="006E6849"/>
    <w:rsid w:val="006F0C5D"/>
    <w:rsid w:val="006F6518"/>
    <w:rsid w:val="00700133"/>
    <w:rsid w:val="00701FBD"/>
    <w:rsid w:val="00703088"/>
    <w:rsid w:val="007114EF"/>
    <w:rsid w:val="00716801"/>
    <w:rsid w:val="00716EA7"/>
    <w:rsid w:val="00732B65"/>
    <w:rsid w:val="007346C2"/>
    <w:rsid w:val="00743968"/>
    <w:rsid w:val="00743C1F"/>
    <w:rsid w:val="00753926"/>
    <w:rsid w:val="00765822"/>
    <w:rsid w:val="00780AF1"/>
    <w:rsid w:val="00785415"/>
    <w:rsid w:val="00791CB9"/>
    <w:rsid w:val="00793130"/>
    <w:rsid w:val="00797751"/>
    <w:rsid w:val="007A1BE1"/>
    <w:rsid w:val="007A23A0"/>
    <w:rsid w:val="007A42B4"/>
    <w:rsid w:val="007B220C"/>
    <w:rsid w:val="007B3233"/>
    <w:rsid w:val="007B5A42"/>
    <w:rsid w:val="007B6FC2"/>
    <w:rsid w:val="007C199B"/>
    <w:rsid w:val="007D2616"/>
    <w:rsid w:val="007D3073"/>
    <w:rsid w:val="007D64B9"/>
    <w:rsid w:val="007D72D4"/>
    <w:rsid w:val="007E0452"/>
    <w:rsid w:val="007E6285"/>
    <w:rsid w:val="007F2A85"/>
    <w:rsid w:val="007F40BD"/>
    <w:rsid w:val="0080080B"/>
    <w:rsid w:val="00804488"/>
    <w:rsid w:val="008052FD"/>
    <w:rsid w:val="008070C0"/>
    <w:rsid w:val="0080796A"/>
    <w:rsid w:val="00807C89"/>
    <w:rsid w:val="00807E98"/>
    <w:rsid w:val="00811C12"/>
    <w:rsid w:val="00812DFF"/>
    <w:rsid w:val="00815213"/>
    <w:rsid w:val="008160E9"/>
    <w:rsid w:val="00823486"/>
    <w:rsid w:val="0084440D"/>
    <w:rsid w:val="00845778"/>
    <w:rsid w:val="00881A5F"/>
    <w:rsid w:val="00886625"/>
    <w:rsid w:val="00887E28"/>
    <w:rsid w:val="00892325"/>
    <w:rsid w:val="008953B9"/>
    <w:rsid w:val="008A69A6"/>
    <w:rsid w:val="008A740C"/>
    <w:rsid w:val="008B25CB"/>
    <w:rsid w:val="008C51C7"/>
    <w:rsid w:val="008D02CB"/>
    <w:rsid w:val="008D4EEB"/>
    <w:rsid w:val="008D5645"/>
    <w:rsid w:val="008D5C3A"/>
    <w:rsid w:val="008D6DDB"/>
    <w:rsid w:val="008D7043"/>
    <w:rsid w:val="008D71E6"/>
    <w:rsid w:val="008E042F"/>
    <w:rsid w:val="008E3985"/>
    <w:rsid w:val="008E6DA2"/>
    <w:rsid w:val="008F7646"/>
    <w:rsid w:val="00904F87"/>
    <w:rsid w:val="00907B1E"/>
    <w:rsid w:val="0091267B"/>
    <w:rsid w:val="009239AF"/>
    <w:rsid w:val="00927B6A"/>
    <w:rsid w:val="00932744"/>
    <w:rsid w:val="009354EF"/>
    <w:rsid w:val="0094108C"/>
    <w:rsid w:val="00943AFD"/>
    <w:rsid w:val="00946907"/>
    <w:rsid w:val="0094796B"/>
    <w:rsid w:val="0095671E"/>
    <w:rsid w:val="0096387F"/>
    <w:rsid w:val="00963A51"/>
    <w:rsid w:val="00980813"/>
    <w:rsid w:val="00983B6E"/>
    <w:rsid w:val="009866CB"/>
    <w:rsid w:val="0099243C"/>
    <w:rsid w:val="009936F8"/>
    <w:rsid w:val="00996E55"/>
    <w:rsid w:val="009A3772"/>
    <w:rsid w:val="009A4102"/>
    <w:rsid w:val="009A4F10"/>
    <w:rsid w:val="009B0C4F"/>
    <w:rsid w:val="009B4357"/>
    <w:rsid w:val="009C2268"/>
    <w:rsid w:val="009C3E3E"/>
    <w:rsid w:val="009C48C4"/>
    <w:rsid w:val="009D17F0"/>
    <w:rsid w:val="009E0412"/>
    <w:rsid w:val="009E05B9"/>
    <w:rsid w:val="009E5258"/>
    <w:rsid w:val="009F1EF3"/>
    <w:rsid w:val="009F22B5"/>
    <w:rsid w:val="009F26C0"/>
    <w:rsid w:val="009F2AA8"/>
    <w:rsid w:val="00A0521C"/>
    <w:rsid w:val="00A05B4E"/>
    <w:rsid w:val="00A06D01"/>
    <w:rsid w:val="00A10DAE"/>
    <w:rsid w:val="00A1129E"/>
    <w:rsid w:val="00A122B1"/>
    <w:rsid w:val="00A14CE3"/>
    <w:rsid w:val="00A31CE7"/>
    <w:rsid w:val="00A42796"/>
    <w:rsid w:val="00A4659A"/>
    <w:rsid w:val="00A51A74"/>
    <w:rsid w:val="00A5311D"/>
    <w:rsid w:val="00A6329C"/>
    <w:rsid w:val="00A63B59"/>
    <w:rsid w:val="00A674FC"/>
    <w:rsid w:val="00A74016"/>
    <w:rsid w:val="00A83EBA"/>
    <w:rsid w:val="00A91E88"/>
    <w:rsid w:val="00A939EC"/>
    <w:rsid w:val="00A95A2D"/>
    <w:rsid w:val="00A97032"/>
    <w:rsid w:val="00AA51A1"/>
    <w:rsid w:val="00AB76A5"/>
    <w:rsid w:val="00AD2514"/>
    <w:rsid w:val="00AD2699"/>
    <w:rsid w:val="00AD2B4C"/>
    <w:rsid w:val="00AD3B58"/>
    <w:rsid w:val="00AE4D79"/>
    <w:rsid w:val="00AE6351"/>
    <w:rsid w:val="00AF56C6"/>
    <w:rsid w:val="00AF7CB2"/>
    <w:rsid w:val="00B032E8"/>
    <w:rsid w:val="00B05244"/>
    <w:rsid w:val="00B112D7"/>
    <w:rsid w:val="00B163E2"/>
    <w:rsid w:val="00B34158"/>
    <w:rsid w:val="00B34B99"/>
    <w:rsid w:val="00B57F96"/>
    <w:rsid w:val="00B6057D"/>
    <w:rsid w:val="00B64250"/>
    <w:rsid w:val="00B67892"/>
    <w:rsid w:val="00B67BC8"/>
    <w:rsid w:val="00B76262"/>
    <w:rsid w:val="00B932EE"/>
    <w:rsid w:val="00BA0A56"/>
    <w:rsid w:val="00BA4D33"/>
    <w:rsid w:val="00BB06AF"/>
    <w:rsid w:val="00BB2F54"/>
    <w:rsid w:val="00BC2B84"/>
    <w:rsid w:val="00BC2D06"/>
    <w:rsid w:val="00BD0004"/>
    <w:rsid w:val="00BD544C"/>
    <w:rsid w:val="00BD6A59"/>
    <w:rsid w:val="00BD6EEC"/>
    <w:rsid w:val="00BE0229"/>
    <w:rsid w:val="00BE0846"/>
    <w:rsid w:val="00BE53A9"/>
    <w:rsid w:val="00C0245D"/>
    <w:rsid w:val="00C178D5"/>
    <w:rsid w:val="00C206E3"/>
    <w:rsid w:val="00C22799"/>
    <w:rsid w:val="00C32951"/>
    <w:rsid w:val="00C44D7D"/>
    <w:rsid w:val="00C52A0F"/>
    <w:rsid w:val="00C53352"/>
    <w:rsid w:val="00C53651"/>
    <w:rsid w:val="00C541E0"/>
    <w:rsid w:val="00C55351"/>
    <w:rsid w:val="00C6080A"/>
    <w:rsid w:val="00C744EB"/>
    <w:rsid w:val="00C852FB"/>
    <w:rsid w:val="00C90702"/>
    <w:rsid w:val="00C917FF"/>
    <w:rsid w:val="00C91BEC"/>
    <w:rsid w:val="00C9766A"/>
    <w:rsid w:val="00CA47C7"/>
    <w:rsid w:val="00CB0BE1"/>
    <w:rsid w:val="00CC3B79"/>
    <w:rsid w:val="00CC4F39"/>
    <w:rsid w:val="00CC5425"/>
    <w:rsid w:val="00CD544C"/>
    <w:rsid w:val="00CD751F"/>
    <w:rsid w:val="00CE6BD5"/>
    <w:rsid w:val="00CF06C8"/>
    <w:rsid w:val="00CF0B2A"/>
    <w:rsid w:val="00CF221D"/>
    <w:rsid w:val="00CF25D3"/>
    <w:rsid w:val="00CF4256"/>
    <w:rsid w:val="00CF79BB"/>
    <w:rsid w:val="00D01506"/>
    <w:rsid w:val="00D04FE8"/>
    <w:rsid w:val="00D13898"/>
    <w:rsid w:val="00D176CF"/>
    <w:rsid w:val="00D17AD5"/>
    <w:rsid w:val="00D26616"/>
    <w:rsid w:val="00D271E3"/>
    <w:rsid w:val="00D30E2E"/>
    <w:rsid w:val="00D47A80"/>
    <w:rsid w:val="00D6225F"/>
    <w:rsid w:val="00D713AF"/>
    <w:rsid w:val="00D72CD5"/>
    <w:rsid w:val="00D8017E"/>
    <w:rsid w:val="00D81F72"/>
    <w:rsid w:val="00D8322F"/>
    <w:rsid w:val="00D83F21"/>
    <w:rsid w:val="00D85807"/>
    <w:rsid w:val="00D86BB8"/>
    <w:rsid w:val="00D87349"/>
    <w:rsid w:val="00D90604"/>
    <w:rsid w:val="00D91EE9"/>
    <w:rsid w:val="00D9627A"/>
    <w:rsid w:val="00D97220"/>
    <w:rsid w:val="00DA6F01"/>
    <w:rsid w:val="00DB0512"/>
    <w:rsid w:val="00DB5FF1"/>
    <w:rsid w:val="00DC06A2"/>
    <w:rsid w:val="00DC3BE7"/>
    <w:rsid w:val="00DD3AF3"/>
    <w:rsid w:val="00DD4D5A"/>
    <w:rsid w:val="00DE126E"/>
    <w:rsid w:val="00DE650B"/>
    <w:rsid w:val="00DF0034"/>
    <w:rsid w:val="00DF7AE5"/>
    <w:rsid w:val="00E030EF"/>
    <w:rsid w:val="00E04511"/>
    <w:rsid w:val="00E116F7"/>
    <w:rsid w:val="00E14D47"/>
    <w:rsid w:val="00E154E5"/>
    <w:rsid w:val="00E1641C"/>
    <w:rsid w:val="00E1676C"/>
    <w:rsid w:val="00E21DD8"/>
    <w:rsid w:val="00E26708"/>
    <w:rsid w:val="00E34958"/>
    <w:rsid w:val="00E35A26"/>
    <w:rsid w:val="00E37AB0"/>
    <w:rsid w:val="00E55445"/>
    <w:rsid w:val="00E61B47"/>
    <w:rsid w:val="00E62548"/>
    <w:rsid w:val="00E71C39"/>
    <w:rsid w:val="00E8058C"/>
    <w:rsid w:val="00E83B0C"/>
    <w:rsid w:val="00EA56E6"/>
    <w:rsid w:val="00EA694D"/>
    <w:rsid w:val="00EB2EBD"/>
    <w:rsid w:val="00EC335F"/>
    <w:rsid w:val="00EC48FB"/>
    <w:rsid w:val="00ED1AE3"/>
    <w:rsid w:val="00EE1FF5"/>
    <w:rsid w:val="00EE5799"/>
    <w:rsid w:val="00EF232A"/>
    <w:rsid w:val="00F0095A"/>
    <w:rsid w:val="00F05513"/>
    <w:rsid w:val="00F05A69"/>
    <w:rsid w:val="00F0693E"/>
    <w:rsid w:val="00F14947"/>
    <w:rsid w:val="00F2214A"/>
    <w:rsid w:val="00F23049"/>
    <w:rsid w:val="00F2339B"/>
    <w:rsid w:val="00F236DA"/>
    <w:rsid w:val="00F2656C"/>
    <w:rsid w:val="00F40868"/>
    <w:rsid w:val="00F41CA8"/>
    <w:rsid w:val="00F41D1D"/>
    <w:rsid w:val="00F43FFD"/>
    <w:rsid w:val="00F44236"/>
    <w:rsid w:val="00F52517"/>
    <w:rsid w:val="00F669C6"/>
    <w:rsid w:val="00F670BC"/>
    <w:rsid w:val="00F73064"/>
    <w:rsid w:val="00F77E0A"/>
    <w:rsid w:val="00F86F42"/>
    <w:rsid w:val="00F94447"/>
    <w:rsid w:val="00F94B2A"/>
    <w:rsid w:val="00F97927"/>
    <w:rsid w:val="00F97E0D"/>
    <w:rsid w:val="00FA1B75"/>
    <w:rsid w:val="00FA3783"/>
    <w:rsid w:val="00FA404F"/>
    <w:rsid w:val="00FA57B2"/>
    <w:rsid w:val="00FA70E3"/>
    <w:rsid w:val="00FB00EB"/>
    <w:rsid w:val="00FB509B"/>
    <w:rsid w:val="00FC3D4B"/>
    <w:rsid w:val="00FC457B"/>
    <w:rsid w:val="00FC6312"/>
    <w:rsid w:val="00FE2A85"/>
    <w:rsid w:val="00FE36E3"/>
    <w:rsid w:val="00FE3B2A"/>
    <w:rsid w:val="00FE6B01"/>
    <w:rsid w:val="00FE6E9B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link w:val="H5Char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link w:val="H6Char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link w:val="ListIntroductionChar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BodyTextNumberedChar1">
    <w:name w:val="Body Text Numbered Char1"/>
    <w:link w:val="BodyTextNumbered"/>
    <w:rsid w:val="009C2268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9C2268"/>
    <w:pPr>
      <w:ind w:left="720" w:hanging="720"/>
    </w:pPr>
    <w:rPr>
      <w:iCs/>
      <w:szCs w:val="20"/>
    </w:rPr>
  </w:style>
  <w:style w:type="character" w:customStyle="1" w:styleId="H5Char">
    <w:name w:val="H5 Char"/>
    <w:link w:val="H5"/>
    <w:rsid w:val="009C2268"/>
    <w:rPr>
      <w:b/>
      <w:bCs/>
      <w:i/>
      <w:iCs/>
      <w:sz w:val="24"/>
      <w:szCs w:val="26"/>
    </w:rPr>
  </w:style>
  <w:style w:type="character" w:customStyle="1" w:styleId="H3Char">
    <w:name w:val="H3 Char"/>
    <w:link w:val="H3"/>
    <w:rsid w:val="009C2268"/>
    <w:rPr>
      <w:b/>
      <w:bCs/>
      <w:i/>
      <w:sz w:val="24"/>
    </w:rPr>
  </w:style>
  <w:style w:type="character" w:customStyle="1" w:styleId="H4Char">
    <w:name w:val="H4 Char"/>
    <w:link w:val="H4"/>
    <w:rsid w:val="009C2268"/>
    <w:rPr>
      <w:b/>
      <w:bCs/>
      <w:snapToGrid w:val="0"/>
      <w:sz w:val="24"/>
    </w:rPr>
  </w:style>
  <w:style w:type="character" w:customStyle="1" w:styleId="H2Char">
    <w:name w:val="H2 Char"/>
    <w:link w:val="H2"/>
    <w:rsid w:val="009C2268"/>
    <w:rPr>
      <w:b/>
      <w:sz w:val="24"/>
    </w:rPr>
  </w:style>
  <w:style w:type="paragraph" w:styleId="ListParagraph">
    <w:name w:val="List Paragraph"/>
    <w:basedOn w:val="Normal"/>
    <w:uiPriority w:val="34"/>
    <w:qFormat/>
    <w:rsid w:val="00517CD7"/>
    <w:pPr>
      <w:ind w:left="720"/>
      <w:contextualSpacing/>
    </w:pPr>
    <w:rPr>
      <w:szCs w:val="20"/>
    </w:rPr>
  </w:style>
  <w:style w:type="character" w:customStyle="1" w:styleId="H6Char">
    <w:name w:val="H6 Char"/>
    <w:link w:val="H6"/>
    <w:rsid w:val="00EE1FF5"/>
    <w:rPr>
      <w:b/>
      <w:bCs/>
      <w:sz w:val="24"/>
      <w:szCs w:val="22"/>
    </w:rPr>
  </w:style>
  <w:style w:type="character" w:customStyle="1" w:styleId="H3Char1">
    <w:name w:val="H3 Char1"/>
    <w:rsid w:val="00F0693E"/>
    <w:rPr>
      <w:b/>
      <w:bCs/>
      <w:i/>
      <w:sz w:val="24"/>
      <w:lang w:val="en-US" w:eastAsia="en-US" w:bidi="ar-SA"/>
    </w:rPr>
  </w:style>
  <w:style w:type="character" w:customStyle="1" w:styleId="ListIntroductionChar">
    <w:name w:val="List Introduction Char"/>
    <w:link w:val="ListIntroduction"/>
    <w:rsid w:val="00F0693E"/>
    <w:rPr>
      <w:iCs/>
      <w:sz w:val="24"/>
    </w:rPr>
  </w:style>
  <w:style w:type="paragraph" w:customStyle="1" w:styleId="tablebody0">
    <w:name w:val="tablebody"/>
    <w:basedOn w:val="Normal"/>
    <w:rsid w:val="00A97032"/>
    <w:pPr>
      <w:spacing w:after="60"/>
    </w:pPr>
    <w:rPr>
      <w:sz w:val="20"/>
      <w:szCs w:val="20"/>
    </w:rPr>
  </w:style>
  <w:style w:type="character" w:customStyle="1" w:styleId="InstructionsChar">
    <w:name w:val="Instructions Char"/>
    <w:link w:val="Instructions"/>
    <w:rsid w:val="00A97032"/>
    <w:rPr>
      <w:b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19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.Warnken@erco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5562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4</cp:revision>
  <cp:lastPrinted>2013-11-15T22:11:00Z</cp:lastPrinted>
  <dcterms:created xsi:type="dcterms:W3CDTF">2024-08-12T16:46:00Z</dcterms:created>
  <dcterms:modified xsi:type="dcterms:W3CDTF">2024-08-12T18:31:00Z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2023-12-04T21:27:17Z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f04160b6-283a-4704-a559-0f2aa74d4326</vt:lpwstr>
  </property>
  <property fmtid="{D5CDD505-2E9C-101B-9397-08002B2CF9AE}" pid="8" name="MSIP_Label_7084cbda-52b8-46fb-a7b7-cb5bd465ed85_ContentBits">
    <vt:lpwstr>0</vt:lpwstr>
  </property>
</Properties>
</file>