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65433D95" w:rsidR="00C97625" w:rsidRPr="00595DDC" w:rsidRDefault="00D22AD7" w:rsidP="001E6C5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1E6C50" w:rsidRPr="001E6C50">
                <w:rPr>
                  <w:rStyle w:val="Hyperlink"/>
                </w:rPr>
                <w:t>1219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FC3FC43" w:rsidR="00C97625" w:rsidRPr="009F3D0E" w:rsidRDefault="0091356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13569">
              <w:t>Methodology Revisions and New Definitions for the Report on Capacity, Demand and Reserves in the ERCOT Region (CDR)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ACEC12B" w:rsidR="00FC0BDC" w:rsidRPr="009F3D0E" w:rsidRDefault="00D22AD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30,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22EA8B3" w:rsidR="00124420" w:rsidRPr="002D68CF" w:rsidRDefault="0091356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13569">
              <w:rPr>
                <w:rFonts w:ascii="Arial" w:hAnsi="Arial" w:cs="Arial"/>
              </w:rPr>
              <w:t>Less than $20k,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3675D46B" w:rsidR="0026620F" w:rsidRPr="00511748" w:rsidRDefault="00913569" w:rsidP="00DA3B1F">
            <w:pPr>
              <w:pStyle w:val="NormalArial"/>
              <w:rPr>
                <w:sz w:val="22"/>
                <w:szCs w:val="22"/>
              </w:rPr>
            </w:pPr>
            <w:r w:rsidRPr="00913569">
              <w:rPr>
                <w:rFonts w:cs="Arial"/>
              </w:rPr>
              <w:t>No project required.  This Nodal Protocol Revision Request (NPRR) can take effect within 3-4 months following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57792C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F176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6146E4F7" w:rsidR="00AF1760" w:rsidRPr="00FE71C0" w:rsidRDefault="009B00F9" w:rsidP="00141B2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4A22207" w:rsidR="004D252E" w:rsidRPr="009266AD" w:rsidRDefault="00AF1760" w:rsidP="00D54DC7">
            <w:pPr>
              <w:pStyle w:val="NormalArial"/>
              <w:rPr>
                <w:sz w:val="22"/>
                <w:szCs w:val="22"/>
              </w:rPr>
            </w:pPr>
            <w:r w:rsidRPr="00AF1760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75E64" w14:textId="77777777" w:rsidR="00A44ADE" w:rsidRDefault="00A44ADE">
      <w:r>
        <w:separator/>
      </w:r>
    </w:p>
  </w:endnote>
  <w:endnote w:type="continuationSeparator" w:id="0">
    <w:p w14:paraId="75EE806F" w14:textId="77777777" w:rsidR="00A44ADE" w:rsidRDefault="00A4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45B5C98" w:rsidR="006B0C5E" w:rsidRDefault="001E6C5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1219</w:t>
    </w:r>
    <w:r w:rsidR="006E13FD">
      <w:rPr>
        <w:rFonts w:ascii="Arial" w:hAnsi="Arial"/>
        <w:sz w:val="18"/>
      </w:rPr>
      <w:t>NPRR-</w:t>
    </w:r>
    <w:r w:rsidR="00D22AD7">
      <w:rPr>
        <w:rFonts w:ascii="Arial" w:hAnsi="Arial"/>
        <w:sz w:val="18"/>
      </w:rPr>
      <w:t>1</w:t>
    </w:r>
    <w:r w:rsidR="006E13FD">
      <w:rPr>
        <w:rFonts w:ascii="Arial" w:hAnsi="Arial"/>
        <w:sz w:val="18"/>
      </w:rPr>
      <w:t xml:space="preserve">2 Impact Analysis </w:t>
    </w:r>
    <w:r w:rsidR="00D22AD7">
      <w:rPr>
        <w:rFonts w:ascii="Arial" w:hAnsi="Arial"/>
        <w:sz w:val="18"/>
      </w:rPr>
      <w:t>0730</w:t>
    </w:r>
    <w:r w:rsidR="006E13FD">
      <w:rPr>
        <w:rFonts w:ascii="Arial" w:hAnsi="Arial"/>
        <w:sz w:val="18"/>
      </w:rPr>
      <w:t>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C9929" w14:textId="77777777" w:rsidR="00A44ADE" w:rsidRDefault="00A44ADE">
      <w:r>
        <w:separator/>
      </w:r>
    </w:p>
  </w:footnote>
  <w:footnote w:type="continuationSeparator" w:id="0">
    <w:p w14:paraId="7F6BF324" w14:textId="77777777" w:rsidR="00A44ADE" w:rsidRDefault="00A4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43BFE876" w:rsidR="006B0C5E" w:rsidRDefault="00E204FD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63152"/>
    <w:multiLevelType w:val="hybridMultilevel"/>
    <w:tmpl w:val="8618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9733641">
    <w:abstractNumId w:val="0"/>
  </w:num>
  <w:num w:numId="2" w16cid:durableId="1413696168">
    <w:abstractNumId w:val="6"/>
  </w:num>
  <w:num w:numId="3" w16cid:durableId="686565564">
    <w:abstractNumId w:val="4"/>
  </w:num>
  <w:num w:numId="4" w16cid:durableId="1949654376">
    <w:abstractNumId w:val="2"/>
  </w:num>
  <w:num w:numId="5" w16cid:durableId="1909874866">
    <w:abstractNumId w:val="1"/>
  </w:num>
  <w:num w:numId="6" w16cid:durableId="2018312476">
    <w:abstractNumId w:val="5"/>
  </w:num>
  <w:num w:numId="7" w16cid:durableId="284628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873B6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261B"/>
    <w:rsid w:val="0010572B"/>
    <w:rsid w:val="0011160D"/>
    <w:rsid w:val="001128F3"/>
    <w:rsid w:val="00116E03"/>
    <w:rsid w:val="001218C5"/>
    <w:rsid w:val="00124420"/>
    <w:rsid w:val="0013505A"/>
    <w:rsid w:val="0014050A"/>
    <w:rsid w:val="00141B27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6C50"/>
    <w:rsid w:val="001E7AE7"/>
    <w:rsid w:val="001F4A33"/>
    <w:rsid w:val="001F5696"/>
    <w:rsid w:val="0020134E"/>
    <w:rsid w:val="0020272B"/>
    <w:rsid w:val="00206B28"/>
    <w:rsid w:val="002140E5"/>
    <w:rsid w:val="00222247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0611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13FD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0690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3569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0F9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4ADE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1760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2AD7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4FD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E6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1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1089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2024-07-30T14:42:00Z</dcterms:created>
  <dcterms:modified xsi:type="dcterms:W3CDTF">2024-07-30T14:44:00Z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2024-02-27T23:03:34Z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40141772-47fd-4a67-a39c-4abb91c02242</vt:lpwstr>
  </property>
  <property fmtid="{D5CDD505-2E9C-101B-9397-08002B2CF9AE}" pid="9" name="MSIP_Label_7084cbda-52b8-46fb-a7b7-cb5bd465ed85_ContentBits">
    <vt:lpwstr>0</vt:lpwstr>
  </property>
</Properties>
</file>