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8159" w14:textId="3DB0E02F" w:rsidR="00997126" w:rsidRDefault="00452CE5" w:rsidP="00382913">
      <w:pPr>
        <w:spacing w:line="360" w:lineRule="auto"/>
        <w:rPr>
          <w:rFonts w:ascii="Arial" w:hAnsi="Arial" w:cs="Arial"/>
          <w:b/>
          <w:sz w:val="36"/>
          <w:szCs w:val="36"/>
        </w:rPr>
      </w:pPr>
      <w:r>
        <w:rPr>
          <w:noProof/>
        </w:rPr>
        <w:drawing>
          <wp:anchor distT="0" distB="0" distL="114300" distR="114300" simplePos="0" relativeHeight="251658240" behindDoc="1" locked="0" layoutInCell="1" allowOverlap="1" wp14:anchorId="6D695586" wp14:editId="7532ECBC">
            <wp:simplePos x="0" y="0"/>
            <wp:positionH relativeFrom="column">
              <wp:posOffset>4638675</wp:posOffset>
            </wp:positionH>
            <wp:positionV relativeFrom="paragraph">
              <wp:posOffset>356235</wp:posOffset>
            </wp:positionV>
            <wp:extent cx="1428750" cy="838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pic:spPr>
                </pic:pic>
              </a:graphicData>
            </a:graphic>
            <wp14:sizeRelH relativeFrom="page">
              <wp14:pctWidth>0</wp14:pctWidth>
            </wp14:sizeRelH>
            <wp14:sizeRelV relativeFrom="page">
              <wp14:pctHeight>0</wp14:pctHeight>
            </wp14:sizeRelV>
          </wp:anchor>
        </w:drawing>
      </w:r>
    </w:p>
    <w:p w14:paraId="19F31976" w14:textId="1D5FADFF" w:rsidR="00B07B8B" w:rsidRDefault="00382913" w:rsidP="00382913">
      <w:pPr>
        <w:spacing w:line="360" w:lineRule="auto"/>
        <w:rPr>
          <w:rFonts w:ascii="Arial" w:hAnsi="Arial" w:cs="Arial"/>
          <w:b/>
          <w:sz w:val="36"/>
          <w:szCs w:val="36"/>
        </w:rPr>
      </w:pPr>
      <w:r>
        <w:rPr>
          <w:rFonts w:ascii="Arial" w:hAnsi="Arial" w:cs="Arial"/>
          <w:b/>
          <w:sz w:val="36"/>
          <w:szCs w:val="36"/>
        </w:rPr>
        <w:br w:type="textWrapping" w:clear="all"/>
      </w:r>
    </w:p>
    <w:p w14:paraId="1E248D73" w14:textId="77777777" w:rsidR="00B07B8B" w:rsidRDefault="00B07B8B" w:rsidP="00B07B8B">
      <w:pPr>
        <w:spacing w:line="360" w:lineRule="auto"/>
        <w:jc w:val="right"/>
        <w:rPr>
          <w:rFonts w:ascii="Arial" w:hAnsi="Arial" w:cs="Arial"/>
          <w:b/>
          <w:sz w:val="36"/>
          <w:szCs w:val="36"/>
        </w:rPr>
      </w:pPr>
    </w:p>
    <w:p w14:paraId="7B53367C" w14:textId="77777777" w:rsidR="00B07B8B" w:rsidRDefault="00B07B8B" w:rsidP="00B07B8B">
      <w:pPr>
        <w:spacing w:line="360" w:lineRule="auto"/>
        <w:jc w:val="center"/>
        <w:rPr>
          <w:rFonts w:ascii="Arial" w:hAnsi="Arial" w:cs="Arial"/>
          <w:b/>
          <w:sz w:val="36"/>
          <w:szCs w:val="36"/>
        </w:rPr>
      </w:pPr>
    </w:p>
    <w:p w14:paraId="425E3EB7" w14:textId="77777777" w:rsidR="00B07B8B" w:rsidRDefault="00B07B8B" w:rsidP="00B07B8B">
      <w:pPr>
        <w:spacing w:line="360" w:lineRule="auto"/>
        <w:jc w:val="center"/>
        <w:rPr>
          <w:rFonts w:ascii="Arial" w:hAnsi="Arial" w:cs="Arial"/>
          <w:b/>
          <w:sz w:val="36"/>
          <w:szCs w:val="36"/>
        </w:rPr>
      </w:pPr>
    </w:p>
    <w:p w14:paraId="3498BC23" w14:textId="77777777" w:rsidR="00B07B8B" w:rsidRPr="006A7C36" w:rsidRDefault="00B07B8B" w:rsidP="00B07B8B">
      <w:pPr>
        <w:spacing w:line="360" w:lineRule="auto"/>
        <w:jc w:val="center"/>
        <w:rPr>
          <w:b/>
          <w:sz w:val="36"/>
          <w:szCs w:val="36"/>
        </w:rPr>
      </w:pPr>
      <w:r w:rsidRPr="006A7C36">
        <w:rPr>
          <w:b/>
          <w:sz w:val="36"/>
          <w:szCs w:val="36"/>
        </w:rPr>
        <w:t>ERCOT BUSINESS PRACTICE</w:t>
      </w:r>
    </w:p>
    <w:p w14:paraId="62765365" w14:textId="77777777" w:rsidR="00B07B8B" w:rsidRPr="006A7C36" w:rsidRDefault="00B07B8B" w:rsidP="00B07B8B">
      <w:pPr>
        <w:spacing w:line="360" w:lineRule="auto"/>
        <w:jc w:val="center"/>
        <w:rPr>
          <w:b/>
          <w:sz w:val="36"/>
          <w:szCs w:val="36"/>
        </w:rPr>
      </w:pPr>
    </w:p>
    <w:p w14:paraId="706A2ADF" w14:textId="77777777" w:rsidR="00B07B8B" w:rsidRPr="006A7C36" w:rsidRDefault="00B07B8B" w:rsidP="00B07B8B">
      <w:pPr>
        <w:spacing w:line="360" w:lineRule="auto"/>
        <w:jc w:val="center"/>
        <w:rPr>
          <w:b/>
          <w:sz w:val="36"/>
          <w:szCs w:val="36"/>
        </w:rPr>
      </w:pPr>
    </w:p>
    <w:p w14:paraId="33FB9D68" w14:textId="77777777" w:rsidR="00B07B8B" w:rsidRPr="006A7C36" w:rsidRDefault="00B07B8B" w:rsidP="00B07B8B">
      <w:pPr>
        <w:spacing w:line="360" w:lineRule="auto"/>
        <w:jc w:val="center"/>
        <w:rPr>
          <w:b/>
          <w:sz w:val="36"/>
          <w:szCs w:val="36"/>
        </w:rPr>
      </w:pPr>
    </w:p>
    <w:p w14:paraId="56D263F0" w14:textId="77777777" w:rsidR="00B07B8B" w:rsidRPr="006A7C36" w:rsidRDefault="00B07B8B" w:rsidP="00B07B8B">
      <w:pPr>
        <w:spacing w:line="360" w:lineRule="auto"/>
        <w:jc w:val="center"/>
        <w:rPr>
          <w:b/>
          <w:sz w:val="36"/>
          <w:szCs w:val="36"/>
        </w:rPr>
      </w:pPr>
    </w:p>
    <w:p w14:paraId="6050E120" w14:textId="77777777" w:rsidR="00B07B8B" w:rsidRPr="006A7C36" w:rsidRDefault="00B07B8B" w:rsidP="00B07B8B">
      <w:pPr>
        <w:spacing w:line="360" w:lineRule="auto"/>
        <w:jc w:val="center"/>
        <w:rPr>
          <w:b/>
          <w:sz w:val="36"/>
          <w:szCs w:val="36"/>
        </w:rPr>
      </w:pPr>
    </w:p>
    <w:p w14:paraId="19D97AE5" w14:textId="77777777" w:rsidR="00B07B8B" w:rsidRPr="006A7C36" w:rsidRDefault="00B07B8B" w:rsidP="00B07B8B">
      <w:pPr>
        <w:spacing w:line="360" w:lineRule="auto"/>
        <w:jc w:val="center"/>
        <w:rPr>
          <w:b/>
          <w:sz w:val="36"/>
          <w:szCs w:val="36"/>
        </w:rPr>
      </w:pPr>
    </w:p>
    <w:p w14:paraId="474C56BE" w14:textId="77777777" w:rsidR="00B07B8B" w:rsidRPr="006A7C36" w:rsidRDefault="00B07B8B" w:rsidP="00B07B8B">
      <w:pPr>
        <w:spacing w:line="360" w:lineRule="auto"/>
        <w:jc w:val="center"/>
        <w:rPr>
          <w:b/>
          <w:sz w:val="36"/>
          <w:szCs w:val="36"/>
        </w:rPr>
      </w:pPr>
    </w:p>
    <w:p w14:paraId="56A88FAA" w14:textId="77777777" w:rsidR="00B07B8B" w:rsidRPr="006A7C36" w:rsidRDefault="00B07B8B" w:rsidP="00B07B8B">
      <w:pPr>
        <w:spacing w:line="360" w:lineRule="auto"/>
        <w:jc w:val="center"/>
        <w:rPr>
          <w:b/>
          <w:sz w:val="36"/>
          <w:szCs w:val="36"/>
        </w:rPr>
      </w:pPr>
    </w:p>
    <w:p w14:paraId="1B9C4207" w14:textId="5B360C92" w:rsidR="00B07B8B" w:rsidRPr="002A40BD" w:rsidRDefault="002A40BD" w:rsidP="00B07B8B">
      <w:pPr>
        <w:spacing w:line="360" w:lineRule="auto"/>
        <w:jc w:val="center"/>
        <w:rPr>
          <w:b/>
          <w:sz w:val="36"/>
          <w:szCs w:val="36"/>
        </w:rPr>
      </w:pPr>
      <w:r w:rsidRPr="002A40BD">
        <w:rPr>
          <w:b/>
          <w:sz w:val="36"/>
          <w:szCs w:val="36"/>
        </w:rPr>
        <w:t>CURRENT OPERATING PLAN PRACTICES BY QUALIFIED SCHEDULING ENTITIES</w:t>
      </w:r>
    </w:p>
    <w:p w14:paraId="549DD524" w14:textId="77777777" w:rsidR="002A40BD" w:rsidRDefault="002A40BD" w:rsidP="008E6F53">
      <w:pPr>
        <w:pStyle w:val="spacer"/>
        <w:widowControl w:val="0"/>
        <w:spacing w:before="240" w:line="360" w:lineRule="auto"/>
        <w:jc w:val="right"/>
        <w:rPr>
          <w:b/>
          <w:sz w:val="24"/>
          <w:szCs w:val="24"/>
        </w:rPr>
      </w:pPr>
    </w:p>
    <w:p w14:paraId="4606B4AC" w14:textId="77777777" w:rsidR="002A40BD" w:rsidRDefault="002A40BD" w:rsidP="008E6F53">
      <w:pPr>
        <w:pStyle w:val="spacer"/>
        <w:widowControl w:val="0"/>
        <w:spacing w:before="240" w:line="360" w:lineRule="auto"/>
        <w:jc w:val="right"/>
        <w:rPr>
          <w:b/>
          <w:sz w:val="24"/>
          <w:szCs w:val="24"/>
        </w:rPr>
      </w:pPr>
    </w:p>
    <w:p w14:paraId="0A4E0839" w14:textId="10AA14C3" w:rsidR="00B07B8B" w:rsidRPr="00AE70F7" w:rsidRDefault="008E0DF2" w:rsidP="008E6F53">
      <w:pPr>
        <w:pStyle w:val="spacer"/>
        <w:widowControl w:val="0"/>
        <w:spacing w:before="240" w:line="360" w:lineRule="auto"/>
        <w:jc w:val="right"/>
        <w:rPr>
          <w:b/>
          <w:sz w:val="24"/>
          <w:szCs w:val="24"/>
        </w:rPr>
      </w:pPr>
      <w:r>
        <w:rPr>
          <w:b/>
          <w:sz w:val="24"/>
          <w:szCs w:val="24"/>
        </w:rPr>
        <w:t xml:space="preserve">Version </w:t>
      </w:r>
      <w:r w:rsidR="008C199D">
        <w:rPr>
          <w:b/>
          <w:sz w:val="24"/>
          <w:szCs w:val="24"/>
        </w:rPr>
        <w:t>2.</w:t>
      </w:r>
      <w:r w:rsidR="00166D91">
        <w:rPr>
          <w:b/>
          <w:sz w:val="24"/>
          <w:szCs w:val="24"/>
        </w:rPr>
        <w:t>8</w:t>
      </w:r>
    </w:p>
    <w:p w14:paraId="6E9E2F19" w14:textId="77777777" w:rsidR="00AE70F7" w:rsidRPr="009F114A" w:rsidRDefault="00AE70F7" w:rsidP="009F114A">
      <w:pPr>
        <w:rPr>
          <w:rFonts w:ascii="Arial" w:hAnsi="Arial" w:cs="Arial"/>
          <w:bCs/>
          <w:kern w:val="32"/>
        </w:rPr>
      </w:pPr>
    </w:p>
    <w:p w14:paraId="4581BB5B" w14:textId="77777777" w:rsidR="003C5767" w:rsidRDefault="003C5767" w:rsidP="008E6F53">
      <w:pPr>
        <w:pStyle w:val="TOCHead"/>
        <w:spacing w:line="360" w:lineRule="auto"/>
        <w:sectPr w:rsidR="003C5767" w:rsidSect="00BB442A">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1CFD73D8" w14:textId="77777777" w:rsidR="00B0784A" w:rsidRDefault="001A131B" w:rsidP="008E6F53">
      <w:pPr>
        <w:pStyle w:val="TOCHead"/>
        <w:spacing w:line="360" w:lineRule="auto"/>
      </w:pPr>
      <w:r>
        <w:lastRenderedPageBreak/>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17100B" w14:paraId="05E17519" w14:textId="77777777">
        <w:tc>
          <w:tcPr>
            <w:tcW w:w="1800" w:type="dxa"/>
            <w:shd w:val="clear" w:color="auto" w:fill="E6E6E6"/>
          </w:tcPr>
          <w:p w14:paraId="4251DA85" w14:textId="77777777" w:rsidR="0017100B" w:rsidRPr="00FA1221" w:rsidRDefault="0017100B" w:rsidP="008E6F53">
            <w:pPr>
              <w:pStyle w:val="tablehead"/>
              <w:spacing w:line="360" w:lineRule="auto"/>
            </w:pPr>
            <w:r w:rsidRPr="00FA1221">
              <w:t>Date</w:t>
            </w:r>
          </w:p>
        </w:tc>
        <w:tc>
          <w:tcPr>
            <w:tcW w:w="1134" w:type="dxa"/>
            <w:shd w:val="clear" w:color="auto" w:fill="E6E6E6"/>
          </w:tcPr>
          <w:p w14:paraId="5938EADE" w14:textId="77777777" w:rsidR="0017100B" w:rsidRPr="00FA1221" w:rsidRDefault="0017100B" w:rsidP="008E6F53">
            <w:pPr>
              <w:pStyle w:val="tablehead"/>
              <w:spacing w:line="360" w:lineRule="auto"/>
            </w:pPr>
            <w:r w:rsidRPr="00FA1221">
              <w:t>Version</w:t>
            </w:r>
          </w:p>
        </w:tc>
        <w:tc>
          <w:tcPr>
            <w:tcW w:w="3726" w:type="dxa"/>
            <w:shd w:val="clear" w:color="auto" w:fill="E6E6E6"/>
          </w:tcPr>
          <w:p w14:paraId="77973C95" w14:textId="77777777" w:rsidR="0017100B" w:rsidRPr="00FA1221" w:rsidRDefault="0017100B" w:rsidP="008E6F53">
            <w:pPr>
              <w:pStyle w:val="tablehead"/>
              <w:spacing w:line="360" w:lineRule="auto"/>
            </w:pPr>
            <w:r w:rsidRPr="00FA1221">
              <w:t>Description</w:t>
            </w:r>
          </w:p>
        </w:tc>
        <w:tc>
          <w:tcPr>
            <w:tcW w:w="1980" w:type="dxa"/>
            <w:shd w:val="clear" w:color="auto" w:fill="E6E6E6"/>
          </w:tcPr>
          <w:p w14:paraId="7FFC1C95" w14:textId="77777777" w:rsidR="0017100B" w:rsidRPr="00FA1221" w:rsidRDefault="0017100B" w:rsidP="008E6F53">
            <w:pPr>
              <w:pStyle w:val="tablehead"/>
              <w:spacing w:line="360" w:lineRule="auto"/>
            </w:pPr>
            <w:r w:rsidRPr="00FA1221">
              <w:t>Author(s)</w:t>
            </w:r>
          </w:p>
        </w:tc>
      </w:tr>
      <w:tr w:rsidR="0017100B" w14:paraId="52D9D319" w14:textId="77777777">
        <w:tc>
          <w:tcPr>
            <w:tcW w:w="1800" w:type="dxa"/>
          </w:tcPr>
          <w:p w14:paraId="3555E207" w14:textId="77777777" w:rsidR="0017100B" w:rsidRDefault="00151527" w:rsidP="008E6F53">
            <w:pPr>
              <w:pStyle w:val="table"/>
              <w:spacing w:line="360" w:lineRule="auto"/>
            </w:pPr>
            <w:r>
              <w:t>5-31-10</w:t>
            </w:r>
          </w:p>
        </w:tc>
        <w:tc>
          <w:tcPr>
            <w:tcW w:w="1134" w:type="dxa"/>
          </w:tcPr>
          <w:p w14:paraId="3ACCE4E2" w14:textId="77777777" w:rsidR="0017100B" w:rsidRDefault="004B13FB" w:rsidP="008E6F53">
            <w:pPr>
              <w:pStyle w:val="table"/>
              <w:spacing w:line="360" w:lineRule="auto"/>
            </w:pPr>
            <w:r>
              <w:t>0.1</w:t>
            </w:r>
          </w:p>
        </w:tc>
        <w:tc>
          <w:tcPr>
            <w:tcW w:w="3726" w:type="dxa"/>
          </w:tcPr>
          <w:p w14:paraId="617590BC" w14:textId="77777777" w:rsidR="0017100B" w:rsidRDefault="004B13FB" w:rsidP="008E6F53">
            <w:pPr>
              <w:pStyle w:val="table"/>
              <w:spacing w:line="360" w:lineRule="auto"/>
            </w:pPr>
            <w:r>
              <w:t>Initial</w:t>
            </w:r>
            <w:r w:rsidR="006E489C">
              <w:t xml:space="preserve"> draft</w:t>
            </w:r>
          </w:p>
        </w:tc>
        <w:tc>
          <w:tcPr>
            <w:tcW w:w="1980" w:type="dxa"/>
          </w:tcPr>
          <w:p w14:paraId="763E65F1" w14:textId="77777777" w:rsidR="0017100B" w:rsidRDefault="00832A0B" w:rsidP="008E6F53">
            <w:pPr>
              <w:pStyle w:val="table"/>
              <w:spacing w:line="360" w:lineRule="auto"/>
            </w:pPr>
            <w:r>
              <w:t xml:space="preserve">Bob Spangler/ </w:t>
            </w:r>
            <w:r w:rsidR="004B13FB">
              <w:t>Floyd Trefny</w:t>
            </w:r>
          </w:p>
        </w:tc>
      </w:tr>
      <w:tr w:rsidR="004B13FB" w14:paraId="7AD0199F" w14:textId="77777777">
        <w:tc>
          <w:tcPr>
            <w:tcW w:w="1800" w:type="dxa"/>
          </w:tcPr>
          <w:p w14:paraId="09844C5D" w14:textId="77777777" w:rsidR="004B13FB" w:rsidRDefault="004B13FB" w:rsidP="008E6F53">
            <w:pPr>
              <w:pStyle w:val="table"/>
              <w:spacing w:line="360" w:lineRule="auto"/>
            </w:pPr>
            <w:r>
              <w:t>6-15-10</w:t>
            </w:r>
          </w:p>
        </w:tc>
        <w:tc>
          <w:tcPr>
            <w:tcW w:w="1134" w:type="dxa"/>
          </w:tcPr>
          <w:p w14:paraId="33723CF0" w14:textId="77777777" w:rsidR="004B13FB" w:rsidRDefault="004B13FB" w:rsidP="008E6F53">
            <w:pPr>
              <w:pStyle w:val="table"/>
              <w:spacing w:line="360" w:lineRule="auto"/>
            </w:pPr>
            <w:r>
              <w:t>0.2</w:t>
            </w:r>
          </w:p>
        </w:tc>
        <w:tc>
          <w:tcPr>
            <w:tcW w:w="3726" w:type="dxa"/>
          </w:tcPr>
          <w:p w14:paraId="4098A305" w14:textId="77777777" w:rsidR="004B13FB" w:rsidRDefault="004B13FB" w:rsidP="00D776AF">
            <w:pPr>
              <w:pStyle w:val="table"/>
              <w:spacing w:line="360" w:lineRule="auto"/>
            </w:pPr>
            <w:r>
              <w:t xml:space="preserve">Incorporated </w:t>
            </w:r>
            <w:r w:rsidR="00B03C6C">
              <w:t>c</w:t>
            </w:r>
            <w:r>
              <w:t>omments from ERCOT Market Trials Team</w:t>
            </w:r>
          </w:p>
        </w:tc>
        <w:tc>
          <w:tcPr>
            <w:tcW w:w="1980" w:type="dxa"/>
          </w:tcPr>
          <w:p w14:paraId="3AB2DCDF" w14:textId="77777777" w:rsidR="004B13FB" w:rsidRDefault="00B03C6C" w:rsidP="008E6F53">
            <w:pPr>
              <w:pStyle w:val="table"/>
              <w:spacing w:line="360" w:lineRule="auto"/>
            </w:pPr>
            <w:r>
              <w:t>Bob Spangler/ Floyd Trefny</w:t>
            </w:r>
          </w:p>
        </w:tc>
      </w:tr>
      <w:tr w:rsidR="00802D95" w14:paraId="565041D4" w14:textId="77777777">
        <w:tc>
          <w:tcPr>
            <w:tcW w:w="1800" w:type="dxa"/>
          </w:tcPr>
          <w:p w14:paraId="1C73D4F6" w14:textId="77777777" w:rsidR="00802D95" w:rsidRDefault="00802D95" w:rsidP="008E6F53">
            <w:pPr>
              <w:pStyle w:val="table"/>
              <w:spacing w:line="360" w:lineRule="auto"/>
            </w:pPr>
            <w:r>
              <w:t>7-22-10</w:t>
            </w:r>
          </w:p>
        </w:tc>
        <w:tc>
          <w:tcPr>
            <w:tcW w:w="1134" w:type="dxa"/>
          </w:tcPr>
          <w:p w14:paraId="22BD9FEF" w14:textId="77777777" w:rsidR="00802D95" w:rsidRDefault="00B35D58" w:rsidP="008E6F53">
            <w:pPr>
              <w:pStyle w:val="table"/>
              <w:spacing w:line="360" w:lineRule="auto"/>
            </w:pPr>
            <w:r>
              <w:t>1.0</w:t>
            </w:r>
          </w:p>
        </w:tc>
        <w:tc>
          <w:tcPr>
            <w:tcW w:w="3726" w:type="dxa"/>
          </w:tcPr>
          <w:p w14:paraId="5FAD6100" w14:textId="77777777" w:rsidR="00802D95" w:rsidRDefault="00D776AF" w:rsidP="00B35D58">
            <w:pPr>
              <w:pStyle w:val="table"/>
              <w:spacing w:line="360" w:lineRule="auto"/>
            </w:pPr>
            <w:r>
              <w:t xml:space="preserve">Incorporated written comments received from 5 Market Participants and from the NATF meeting </w:t>
            </w:r>
            <w:proofErr w:type="gramStart"/>
            <w:r>
              <w:t>on  7</w:t>
            </w:r>
            <w:proofErr w:type="gramEnd"/>
            <w:r>
              <w:t>-8-10</w:t>
            </w:r>
            <w:r w:rsidR="00B35D58">
              <w:t xml:space="preserve"> and from ERCOT Market Trials Team</w:t>
            </w:r>
            <w:r w:rsidR="008E2D20">
              <w:t xml:space="preserve"> on 7-22-10</w:t>
            </w:r>
          </w:p>
        </w:tc>
        <w:tc>
          <w:tcPr>
            <w:tcW w:w="1980" w:type="dxa"/>
          </w:tcPr>
          <w:p w14:paraId="196F1A4A" w14:textId="77777777" w:rsidR="00802D95" w:rsidRDefault="00802D95" w:rsidP="008E6F53">
            <w:pPr>
              <w:pStyle w:val="table"/>
              <w:spacing w:line="360" w:lineRule="auto"/>
            </w:pPr>
            <w:r>
              <w:t>Bob Spangler/Floyd Trefny</w:t>
            </w:r>
          </w:p>
        </w:tc>
      </w:tr>
      <w:tr w:rsidR="00B35D58" w14:paraId="39A87A59" w14:textId="77777777" w:rsidTr="00B35D58">
        <w:tc>
          <w:tcPr>
            <w:tcW w:w="1800" w:type="dxa"/>
            <w:tcBorders>
              <w:top w:val="single" w:sz="4" w:space="0" w:color="auto"/>
              <w:left w:val="single" w:sz="4" w:space="0" w:color="auto"/>
              <w:bottom w:val="single" w:sz="4" w:space="0" w:color="auto"/>
              <w:right w:val="single" w:sz="4" w:space="0" w:color="auto"/>
            </w:tcBorders>
          </w:tcPr>
          <w:p w14:paraId="5FFA3DA7" w14:textId="77777777" w:rsidR="00B35D58" w:rsidRDefault="00122C3B" w:rsidP="00511F30">
            <w:pPr>
              <w:pStyle w:val="table"/>
              <w:spacing w:line="360" w:lineRule="auto"/>
            </w:pPr>
            <w:r>
              <w:t>8-10-10</w:t>
            </w:r>
          </w:p>
        </w:tc>
        <w:tc>
          <w:tcPr>
            <w:tcW w:w="1134" w:type="dxa"/>
            <w:tcBorders>
              <w:top w:val="single" w:sz="4" w:space="0" w:color="auto"/>
              <w:left w:val="single" w:sz="4" w:space="0" w:color="auto"/>
              <w:bottom w:val="single" w:sz="4" w:space="0" w:color="auto"/>
              <w:right w:val="single" w:sz="4" w:space="0" w:color="auto"/>
            </w:tcBorders>
          </w:tcPr>
          <w:p w14:paraId="1E1C0F21" w14:textId="77777777" w:rsidR="00B35D58" w:rsidRDefault="00122C3B" w:rsidP="00511F30">
            <w:pPr>
              <w:pStyle w:val="table"/>
              <w:spacing w:line="360" w:lineRule="auto"/>
            </w:pPr>
            <w:r>
              <w:t>1.1</w:t>
            </w:r>
          </w:p>
        </w:tc>
        <w:tc>
          <w:tcPr>
            <w:tcW w:w="3726" w:type="dxa"/>
            <w:tcBorders>
              <w:top w:val="single" w:sz="4" w:space="0" w:color="auto"/>
              <w:left w:val="single" w:sz="4" w:space="0" w:color="auto"/>
              <w:bottom w:val="single" w:sz="4" w:space="0" w:color="auto"/>
              <w:right w:val="single" w:sz="4" w:space="0" w:color="auto"/>
            </w:tcBorders>
          </w:tcPr>
          <w:p w14:paraId="357D2833" w14:textId="77777777" w:rsidR="00B35D58" w:rsidRDefault="00122C3B" w:rsidP="00122C3B">
            <w:pPr>
              <w:pStyle w:val="table"/>
              <w:spacing w:line="360" w:lineRule="auto"/>
            </w:pPr>
            <w:r>
              <w:t xml:space="preserve">Revised Section 3.2, COP Reporting for Combined Cycle Trains, first bulleted </w:t>
            </w:r>
            <w:r>
              <w:rPr>
                <w:rFonts w:cs="Arial"/>
              </w:rPr>
              <w:t>¶</w:t>
            </w:r>
            <w:r>
              <w:t xml:space="preserve"> to </w:t>
            </w:r>
            <w:proofErr w:type="gramStart"/>
            <w:r>
              <w:t>indicated</w:t>
            </w:r>
            <w:proofErr w:type="gramEnd"/>
            <w:r>
              <w:t xml:space="preserve"> a COP reported Resource Status of either OFF or OUT may be used.</w:t>
            </w:r>
          </w:p>
        </w:tc>
        <w:tc>
          <w:tcPr>
            <w:tcW w:w="1980" w:type="dxa"/>
            <w:tcBorders>
              <w:top w:val="single" w:sz="4" w:space="0" w:color="auto"/>
              <w:left w:val="single" w:sz="4" w:space="0" w:color="auto"/>
              <w:bottom w:val="single" w:sz="4" w:space="0" w:color="auto"/>
              <w:right w:val="single" w:sz="4" w:space="0" w:color="auto"/>
            </w:tcBorders>
          </w:tcPr>
          <w:p w14:paraId="1D7C03BF" w14:textId="77777777" w:rsidR="00B35D58" w:rsidRDefault="00122C3B" w:rsidP="00511F30">
            <w:pPr>
              <w:pStyle w:val="table"/>
              <w:spacing w:line="360" w:lineRule="auto"/>
            </w:pPr>
            <w:r>
              <w:t>Bob Spangler</w:t>
            </w:r>
          </w:p>
        </w:tc>
      </w:tr>
      <w:tr w:rsidR="00003D8C" w14:paraId="0861891C" w14:textId="77777777" w:rsidTr="00B35D58">
        <w:tc>
          <w:tcPr>
            <w:tcW w:w="1800" w:type="dxa"/>
            <w:tcBorders>
              <w:top w:val="single" w:sz="4" w:space="0" w:color="auto"/>
              <w:left w:val="single" w:sz="4" w:space="0" w:color="auto"/>
              <w:bottom w:val="single" w:sz="4" w:space="0" w:color="auto"/>
              <w:right w:val="single" w:sz="4" w:space="0" w:color="auto"/>
            </w:tcBorders>
          </w:tcPr>
          <w:p w14:paraId="0F6A7882" w14:textId="77777777" w:rsidR="00003D8C" w:rsidRDefault="00003D8C" w:rsidP="00511F30">
            <w:pPr>
              <w:pStyle w:val="table"/>
              <w:spacing w:line="360" w:lineRule="auto"/>
            </w:pPr>
            <w:r>
              <w:t>11-16-10</w:t>
            </w:r>
          </w:p>
        </w:tc>
        <w:tc>
          <w:tcPr>
            <w:tcW w:w="1134" w:type="dxa"/>
            <w:tcBorders>
              <w:top w:val="single" w:sz="4" w:space="0" w:color="auto"/>
              <w:left w:val="single" w:sz="4" w:space="0" w:color="auto"/>
              <w:bottom w:val="single" w:sz="4" w:space="0" w:color="auto"/>
              <w:right w:val="single" w:sz="4" w:space="0" w:color="auto"/>
            </w:tcBorders>
          </w:tcPr>
          <w:p w14:paraId="029DD458" w14:textId="77777777" w:rsidR="00003D8C" w:rsidRDefault="00003D8C" w:rsidP="00511F30">
            <w:pPr>
              <w:pStyle w:val="table"/>
              <w:spacing w:line="360" w:lineRule="auto"/>
            </w:pPr>
            <w:r>
              <w:t>1.2</w:t>
            </w:r>
          </w:p>
        </w:tc>
        <w:tc>
          <w:tcPr>
            <w:tcW w:w="3726" w:type="dxa"/>
            <w:tcBorders>
              <w:top w:val="single" w:sz="4" w:space="0" w:color="auto"/>
              <w:left w:val="single" w:sz="4" w:space="0" w:color="auto"/>
              <w:bottom w:val="single" w:sz="4" w:space="0" w:color="auto"/>
              <w:right w:val="single" w:sz="4" w:space="0" w:color="auto"/>
            </w:tcBorders>
          </w:tcPr>
          <w:p w14:paraId="7BE7E186" w14:textId="77777777" w:rsidR="00B32025" w:rsidRDefault="00003D8C">
            <w:pPr>
              <w:pStyle w:val="table"/>
              <w:spacing w:line="360" w:lineRule="auto"/>
            </w:pPr>
            <w:r>
              <w:t xml:space="preserve">Update the Business Practice to describe COP reporting requirements for Quick Start Generation Resources </w:t>
            </w:r>
            <w:r w:rsidR="0083643C">
              <w:t>as described in Nodal Protocols as revised by NPRR272.</w:t>
            </w:r>
          </w:p>
          <w:p w14:paraId="09C3BC4F" w14:textId="77777777" w:rsidR="00AB5622" w:rsidRDefault="00AB5622">
            <w:pPr>
              <w:pStyle w:val="table"/>
              <w:spacing w:line="360" w:lineRule="auto"/>
            </w:pPr>
            <w:r>
              <w:t>Added clarification language for Resource Status codes ONEMR and EMR.</w:t>
            </w:r>
          </w:p>
        </w:tc>
        <w:tc>
          <w:tcPr>
            <w:tcW w:w="1980" w:type="dxa"/>
            <w:tcBorders>
              <w:top w:val="single" w:sz="4" w:space="0" w:color="auto"/>
              <w:left w:val="single" w:sz="4" w:space="0" w:color="auto"/>
              <w:bottom w:val="single" w:sz="4" w:space="0" w:color="auto"/>
              <w:right w:val="single" w:sz="4" w:space="0" w:color="auto"/>
            </w:tcBorders>
          </w:tcPr>
          <w:p w14:paraId="351BD906" w14:textId="77777777" w:rsidR="00003D8C" w:rsidRDefault="0083643C" w:rsidP="00511F30">
            <w:pPr>
              <w:pStyle w:val="table"/>
              <w:spacing w:line="360" w:lineRule="auto"/>
            </w:pPr>
            <w:r>
              <w:t>Bob Spangler</w:t>
            </w:r>
          </w:p>
        </w:tc>
      </w:tr>
      <w:tr w:rsidR="009D6BF0" w14:paraId="60050882" w14:textId="77777777" w:rsidTr="00B35D58">
        <w:tc>
          <w:tcPr>
            <w:tcW w:w="1800" w:type="dxa"/>
            <w:tcBorders>
              <w:top w:val="single" w:sz="4" w:space="0" w:color="auto"/>
              <w:left w:val="single" w:sz="4" w:space="0" w:color="auto"/>
              <w:bottom w:val="single" w:sz="4" w:space="0" w:color="auto"/>
              <w:right w:val="single" w:sz="4" w:space="0" w:color="auto"/>
            </w:tcBorders>
          </w:tcPr>
          <w:p w14:paraId="20D5A70E" w14:textId="77777777" w:rsidR="009D6BF0" w:rsidRDefault="009D6BF0" w:rsidP="009D6BF0">
            <w:pPr>
              <w:pStyle w:val="table"/>
              <w:spacing w:line="360" w:lineRule="auto"/>
            </w:pPr>
            <w:r>
              <w:t>11/29/10</w:t>
            </w:r>
          </w:p>
        </w:tc>
        <w:tc>
          <w:tcPr>
            <w:tcW w:w="1134" w:type="dxa"/>
            <w:tcBorders>
              <w:top w:val="single" w:sz="4" w:space="0" w:color="auto"/>
              <w:left w:val="single" w:sz="4" w:space="0" w:color="auto"/>
              <w:bottom w:val="single" w:sz="4" w:space="0" w:color="auto"/>
              <w:right w:val="single" w:sz="4" w:space="0" w:color="auto"/>
            </w:tcBorders>
          </w:tcPr>
          <w:p w14:paraId="3F767A2F" w14:textId="77777777" w:rsidR="009D6BF0" w:rsidRDefault="009D6BF0" w:rsidP="00511F30">
            <w:pPr>
              <w:pStyle w:val="table"/>
              <w:spacing w:line="360" w:lineRule="auto"/>
            </w:pPr>
            <w:r>
              <w:t>1.21</w:t>
            </w:r>
          </w:p>
        </w:tc>
        <w:tc>
          <w:tcPr>
            <w:tcW w:w="3726" w:type="dxa"/>
            <w:tcBorders>
              <w:top w:val="single" w:sz="4" w:space="0" w:color="auto"/>
              <w:left w:val="single" w:sz="4" w:space="0" w:color="auto"/>
              <w:bottom w:val="single" w:sz="4" w:space="0" w:color="auto"/>
              <w:right w:val="single" w:sz="4" w:space="0" w:color="auto"/>
            </w:tcBorders>
          </w:tcPr>
          <w:p w14:paraId="3F3A3C75" w14:textId="77777777" w:rsidR="009D6BF0" w:rsidRDefault="009D6BF0">
            <w:pPr>
              <w:pStyle w:val="table"/>
              <w:spacing w:line="360" w:lineRule="auto"/>
            </w:pPr>
            <w:r>
              <w:t>Incorporate Resmi Surendran comments in Section 3.5 and Section 4 table entries.</w:t>
            </w:r>
          </w:p>
        </w:tc>
        <w:tc>
          <w:tcPr>
            <w:tcW w:w="1980" w:type="dxa"/>
            <w:tcBorders>
              <w:top w:val="single" w:sz="4" w:space="0" w:color="auto"/>
              <w:left w:val="single" w:sz="4" w:space="0" w:color="auto"/>
              <w:bottom w:val="single" w:sz="4" w:space="0" w:color="auto"/>
              <w:right w:val="single" w:sz="4" w:space="0" w:color="auto"/>
            </w:tcBorders>
          </w:tcPr>
          <w:p w14:paraId="382E371C" w14:textId="77777777" w:rsidR="009D6BF0" w:rsidRDefault="009D6BF0" w:rsidP="00511F30">
            <w:pPr>
              <w:pStyle w:val="table"/>
              <w:spacing w:line="360" w:lineRule="auto"/>
            </w:pPr>
            <w:r>
              <w:t>Bob Spangler</w:t>
            </w:r>
          </w:p>
        </w:tc>
      </w:tr>
      <w:tr w:rsidR="00680CA3" w14:paraId="2230E0EA" w14:textId="77777777" w:rsidTr="00B35D58">
        <w:tc>
          <w:tcPr>
            <w:tcW w:w="1800" w:type="dxa"/>
            <w:tcBorders>
              <w:top w:val="single" w:sz="4" w:space="0" w:color="auto"/>
              <w:left w:val="single" w:sz="4" w:space="0" w:color="auto"/>
              <w:bottom w:val="single" w:sz="4" w:space="0" w:color="auto"/>
              <w:right w:val="single" w:sz="4" w:space="0" w:color="auto"/>
            </w:tcBorders>
          </w:tcPr>
          <w:p w14:paraId="3C244D2D" w14:textId="77777777" w:rsidR="00680CA3" w:rsidRDefault="00680CA3" w:rsidP="009D6BF0">
            <w:pPr>
              <w:pStyle w:val="table"/>
              <w:spacing w:line="360" w:lineRule="auto"/>
            </w:pPr>
            <w:r>
              <w:t>12/13/2010</w:t>
            </w:r>
          </w:p>
        </w:tc>
        <w:tc>
          <w:tcPr>
            <w:tcW w:w="1134" w:type="dxa"/>
            <w:tcBorders>
              <w:top w:val="single" w:sz="4" w:space="0" w:color="auto"/>
              <w:left w:val="single" w:sz="4" w:space="0" w:color="auto"/>
              <w:bottom w:val="single" w:sz="4" w:space="0" w:color="auto"/>
              <w:right w:val="single" w:sz="4" w:space="0" w:color="auto"/>
            </w:tcBorders>
          </w:tcPr>
          <w:p w14:paraId="57B18B0B" w14:textId="77777777" w:rsidR="00680CA3" w:rsidRDefault="00680CA3" w:rsidP="00511F30">
            <w:pPr>
              <w:pStyle w:val="table"/>
              <w:spacing w:line="360" w:lineRule="auto"/>
            </w:pPr>
            <w:r>
              <w:t>1.22</w:t>
            </w:r>
          </w:p>
        </w:tc>
        <w:tc>
          <w:tcPr>
            <w:tcW w:w="3726" w:type="dxa"/>
            <w:tcBorders>
              <w:top w:val="single" w:sz="4" w:space="0" w:color="auto"/>
              <w:left w:val="single" w:sz="4" w:space="0" w:color="auto"/>
              <w:bottom w:val="single" w:sz="4" w:space="0" w:color="auto"/>
              <w:right w:val="single" w:sz="4" w:space="0" w:color="auto"/>
            </w:tcBorders>
          </w:tcPr>
          <w:p w14:paraId="512FFAB7" w14:textId="77777777" w:rsidR="00680CA3" w:rsidRDefault="00680CA3">
            <w:pPr>
              <w:pStyle w:val="table"/>
              <w:spacing w:line="360" w:lineRule="auto"/>
            </w:pPr>
            <w:r>
              <w:t>Incorporate ERCOT Management comments to version 1.21</w:t>
            </w:r>
          </w:p>
        </w:tc>
        <w:tc>
          <w:tcPr>
            <w:tcW w:w="1980" w:type="dxa"/>
            <w:tcBorders>
              <w:top w:val="single" w:sz="4" w:space="0" w:color="auto"/>
              <w:left w:val="single" w:sz="4" w:space="0" w:color="auto"/>
              <w:bottom w:val="single" w:sz="4" w:space="0" w:color="auto"/>
              <w:right w:val="single" w:sz="4" w:space="0" w:color="auto"/>
            </w:tcBorders>
          </w:tcPr>
          <w:p w14:paraId="38B21087" w14:textId="77777777" w:rsidR="00680CA3" w:rsidRDefault="00680CA3" w:rsidP="00680CA3">
            <w:pPr>
              <w:pStyle w:val="table"/>
              <w:spacing w:line="360" w:lineRule="auto"/>
            </w:pPr>
            <w:r>
              <w:t>Bob Spangler</w:t>
            </w:r>
          </w:p>
        </w:tc>
      </w:tr>
      <w:tr w:rsidR="008567F5" w14:paraId="5755E505" w14:textId="77777777" w:rsidTr="00B35D58">
        <w:tc>
          <w:tcPr>
            <w:tcW w:w="1800" w:type="dxa"/>
            <w:tcBorders>
              <w:top w:val="single" w:sz="4" w:space="0" w:color="auto"/>
              <w:left w:val="single" w:sz="4" w:space="0" w:color="auto"/>
              <w:bottom w:val="single" w:sz="4" w:space="0" w:color="auto"/>
              <w:right w:val="single" w:sz="4" w:space="0" w:color="auto"/>
            </w:tcBorders>
          </w:tcPr>
          <w:p w14:paraId="48312AA1" w14:textId="77777777" w:rsidR="008567F5" w:rsidRDefault="008567F5" w:rsidP="009D6BF0">
            <w:pPr>
              <w:pStyle w:val="table"/>
              <w:spacing w:line="360" w:lineRule="auto"/>
            </w:pPr>
            <w:r>
              <w:t>12/15/2010</w:t>
            </w:r>
          </w:p>
        </w:tc>
        <w:tc>
          <w:tcPr>
            <w:tcW w:w="1134" w:type="dxa"/>
            <w:tcBorders>
              <w:top w:val="single" w:sz="4" w:space="0" w:color="auto"/>
              <w:left w:val="single" w:sz="4" w:space="0" w:color="auto"/>
              <w:bottom w:val="single" w:sz="4" w:space="0" w:color="auto"/>
              <w:right w:val="single" w:sz="4" w:space="0" w:color="auto"/>
            </w:tcBorders>
          </w:tcPr>
          <w:p w14:paraId="213D301E" w14:textId="77777777" w:rsidR="008567F5" w:rsidRDefault="008567F5" w:rsidP="00511F30">
            <w:pPr>
              <w:pStyle w:val="table"/>
              <w:spacing w:line="360" w:lineRule="auto"/>
            </w:pPr>
            <w:r>
              <w:t>2.0</w:t>
            </w:r>
          </w:p>
        </w:tc>
        <w:tc>
          <w:tcPr>
            <w:tcW w:w="3726" w:type="dxa"/>
            <w:tcBorders>
              <w:top w:val="single" w:sz="4" w:space="0" w:color="auto"/>
              <w:left w:val="single" w:sz="4" w:space="0" w:color="auto"/>
              <w:bottom w:val="single" w:sz="4" w:space="0" w:color="auto"/>
              <w:right w:val="single" w:sz="4" w:space="0" w:color="auto"/>
            </w:tcBorders>
          </w:tcPr>
          <w:p w14:paraId="436BA945" w14:textId="77777777" w:rsidR="008567F5" w:rsidRDefault="008567F5">
            <w:pPr>
              <w:pStyle w:val="table"/>
              <w:spacing w:line="360" w:lineRule="auto"/>
            </w:pPr>
            <w:r>
              <w:t>Final draft for updates to:</w:t>
            </w:r>
          </w:p>
          <w:p w14:paraId="144982A7" w14:textId="77777777" w:rsidR="008567F5" w:rsidRDefault="008567F5" w:rsidP="008567F5">
            <w:pPr>
              <w:pStyle w:val="table"/>
              <w:numPr>
                <w:ilvl w:val="0"/>
                <w:numId w:val="24"/>
              </w:numPr>
              <w:spacing w:line="360" w:lineRule="auto"/>
            </w:pPr>
            <w:r>
              <w:t>add the QSGR guidance, and</w:t>
            </w:r>
          </w:p>
          <w:p w14:paraId="6325F830" w14:textId="77777777" w:rsidR="008567F5" w:rsidRDefault="008567F5" w:rsidP="002A6AEC">
            <w:pPr>
              <w:pStyle w:val="table"/>
              <w:numPr>
                <w:ilvl w:val="0"/>
                <w:numId w:val="24"/>
              </w:numPr>
              <w:spacing w:line="360" w:lineRule="auto"/>
            </w:pPr>
            <w:r>
              <w:t>clarify th</w:t>
            </w:r>
            <w:r w:rsidR="002A6AEC">
              <w:t>e use of ONEMR and EMR Resource</w:t>
            </w:r>
            <w:r>
              <w:t xml:space="preserve"> </w:t>
            </w:r>
            <w:r w:rsidR="002A6AEC">
              <w:t>S</w:t>
            </w:r>
            <w:r>
              <w:t xml:space="preserve">tatus </w:t>
            </w:r>
            <w:r w:rsidR="002A6AEC">
              <w:t>C</w:t>
            </w:r>
            <w:r>
              <w:t>odes.</w:t>
            </w:r>
          </w:p>
        </w:tc>
        <w:tc>
          <w:tcPr>
            <w:tcW w:w="1980" w:type="dxa"/>
            <w:tcBorders>
              <w:top w:val="single" w:sz="4" w:space="0" w:color="auto"/>
              <w:left w:val="single" w:sz="4" w:space="0" w:color="auto"/>
              <w:bottom w:val="single" w:sz="4" w:space="0" w:color="auto"/>
              <w:right w:val="single" w:sz="4" w:space="0" w:color="auto"/>
            </w:tcBorders>
          </w:tcPr>
          <w:p w14:paraId="42AF3A21" w14:textId="77777777" w:rsidR="008567F5" w:rsidRDefault="008567F5" w:rsidP="00CF5051">
            <w:pPr>
              <w:pStyle w:val="table"/>
              <w:spacing w:line="360" w:lineRule="auto"/>
            </w:pPr>
            <w:r>
              <w:t>R</w:t>
            </w:r>
            <w:r w:rsidR="00CF5051">
              <w:t xml:space="preserve"> Spangler</w:t>
            </w:r>
          </w:p>
        </w:tc>
      </w:tr>
      <w:tr w:rsidR="0087058D" w14:paraId="0733194B" w14:textId="77777777" w:rsidTr="00B35D58">
        <w:tc>
          <w:tcPr>
            <w:tcW w:w="1800" w:type="dxa"/>
            <w:tcBorders>
              <w:top w:val="single" w:sz="4" w:space="0" w:color="auto"/>
              <w:left w:val="single" w:sz="4" w:space="0" w:color="auto"/>
              <w:bottom w:val="single" w:sz="4" w:space="0" w:color="auto"/>
              <w:right w:val="single" w:sz="4" w:space="0" w:color="auto"/>
            </w:tcBorders>
          </w:tcPr>
          <w:p w14:paraId="153FD346" w14:textId="77777777" w:rsidR="0087058D" w:rsidRDefault="0087058D" w:rsidP="009D6BF0">
            <w:pPr>
              <w:pStyle w:val="table"/>
              <w:spacing w:line="360" w:lineRule="auto"/>
            </w:pPr>
            <w:r>
              <w:t>1/20/2011</w:t>
            </w:r>
          </w:p>
        </w:tc>
        <w:tc>
          <w:tcPr>
            <w:tcW w:w="1134" w:type="dxa"/>
            <w:tcBorders>
              <w:top w:val="single" w:sz="4" w:space="0" w:color="auto"/>
              <w:left w:val="single" w:sz="4" w:space="0" w:color="auto"/>
              <w:bottom w:val="single" w:sz="4" w:space="0" w:color="auto"/>
              <w:right w:val="single" w:sz="4" w:space="0" w:color="auto"/>
            </w:tcBorders>
          </w:tcPr>
          <w:p w14:paraId="4C98F1D5" w14:textId="77777777" w:rsidR="0087058D" w:rsidRDefault="0087058D" w:rsidP="00511F30">
            <w:pPr>
              <w:pStyle w:val="table"/>
              <w:spacing w:line="360" w:lineRule="auto"/>
            </w:pPr>
            <w:r>
              <w:t>2.0</w:t>
            </w:r>
          </w:p>
        </w:tc>
        <w:tc>
          <w:tcPr>
            <w:tcW w:w="3726" w:type="dxa"/>
            <w:tcBorders>
              <w:top w:val="single" w:sz="4" w:space="0" w:color="auto"/>
              <w:left w:val="single" w:sz="4" w:space="0" w:color="auto"/>
              <w:bottom w:val="single" w:sz="4" w:space="0" w:color="auto"/>
              <w:right w:val="single" w:sz="4" w:space="0" w:color="auto"/>
            </w:tcBorders>
          </w:tcPr>
          <w:p w14:paraId="22824435" w14:textId="77777777" w:rsidR="0087058D" w:rsidRDefault="0087058D" w:rsidP="0087058D">
            <w:pPr>
              <w:pStyle w:val="table"/>
              <w:spacing w:line="360" w:lineRule="auto"/>
            </w:pPr>
            <w:r>
              <w:t xml:space="preserve">Approved for Public Release </w:t>
            </w:r>
          </w:p>
        </w:tc>
        <w:tc>
          <w:tcPr>
            <w:tcW w:w="1980" w:type="dxa"/>
            <w:tcBorders>
              <w:top w:val="single" w:sz="4" w:space="0" w:color="auto"/>
              <w:left w:val="single" w:sz="4" w:space="0" w:color="auto"/>
              <w:bottom w:val="single" w:sz="4" w:space="0" w:color="auto"/>
              <w:right w:val="single" w:sz="4" w:space="0" w:color="auto"/>
            </w:tcBorders>
          </w:tcPr>
          <w:p w14:paraId="7A7F7832" w14:textId="77777777" w:rsidR="0087058D" w:rsidRDefault="0087058D" w:rsidP="00680CA3">
            <w:pPr>
              <w:pStyle w:val="table"/>
              <w:spacing w:line="360" w:lineRule="auto"/>
            </w:pPr>
            <w:r>
              <w:t>RGS</w:t>
            </w:r>
          </w:p>
        </w:tc>
      </w:tr>
      <w:tr w:rsidR="007A544C" w14:paraId="32CE921E" w14:textId="77777777" w:rsidTr="00B35D58">
        <w:tc>
          <w:tcPr>
            <w:tcW w:w="1800" w:type="dxa"/>
            <w:tcBorders>
              <w:top w:val="single" w:sz="4" w:space="0" w:color="auto"/>
              <w:left w:val="single" w:sz="4" w:space="0" w:color="auto"/>
              <w:bottom w:val="single" w:sz="4" w:space="0" w:color="auto"/>
              <w:right w:val="single" w:sz="4" w:space="0" w:color="auto"/>
            </w:tcBorders>
          </w:tcPr>
          <w:p w14:paraId="4E5E00ED" w14:textId="77777777" w:rsidR="007A544C" w:rsidRDefault="007A544C" w:rsidP="009D6BF0">
            <w:pPr>
              <w:pStyle w:val="table"/>
              <w:spacing w:line="360" w:lineRule="auto"/>
            </w:pPr>
            <w:r>
              <w:t>8/27/2012</w:t>
            </w:r>
          </w:p>
        </w:tc>
        <w:tc>
          <w:tcPr>
            <w:tcW w:w="1134" w:type="dxa"/>
            <w:tcBorders>
              <w:top w:val="single" w:sz="4" w:space="0" w:color="auto"/>
              <w:left w:val="single" w:sz="4" w:space="0" w:color="auto"/>
              <w:bottom w:val="single" w:sz="4" w:space="0" w:color="auto"/>
              <w:right w:val="single" w:sz="4" w:space="0" w:color="auto"/>
            </w:tcBorders>
          </w:tcPr>
          <w:p w14:paraId="07566429" w14:textId="77777777" w:rsidR="007A544C" w:rsidRDefault="007A544C" w:rsidP="00511F30">
            <w:pPr>
              <w:pStyle w:val="table"/>
              <w:spacing w:line="360" w:lineRule="auto"/>
            </w:pPr>
            <w:r>
              <w:t>2.1</w:t>
            </w:r>
          </w:p>
        </w:tc>
        <w:tc>
          <w:tcPr>
            <w:tcW w:w="3726" w:type="dxa"/>
            <w:tcBorders>
              <w:top w:val="single" w:sz="4" w:space="0" w:color="auto"/>
              <w:left w:val="single" w:sz="4" w:space="0" w:color="auto"/>
              <w:bottom w:val="single" w:sz="4" w:space="0" w:color="auto"/>
              <w:right w:val="single" w:sz="4" w:space="0" w:color="auto"/>
            </w:tcBorders>
          </w:tcPr>
          <w:p w14:paraId="184D2721" w14:textId="77777777" w:rsidR="007A544C" w:rsidRDefault="007A544C" w:rsidP="00F34058">
            <w:pPr>
              <w:pStyle w:val="table"/>
              <w:spacing w:line="360" w:lineRule="auto"/>
            </w:pPr>
            <w:r>
              <w:t>Updated for NPRR 348</w:t>
            </w:r>
            <w:r w:rsidR="00F34058">
              <w:t>, s</w:t>
            </w:r>
            <w:r w:rsidR="00F34058" w:rsidRPr="00F34058">
              <w:t>ection 4</w:t>
            </w:r>
            <w:proofErr w:type="gramStart"/>
            <w:r w:rsidR="00F34058" w:rsidRPr="00F34058">
              <w:t>.</w:t>
            </w:r>
            <w:r w:rsidR="00F34058">
              <w:t>”</w:t>
            </w:r>
            <w:r w:rsidR="00F34058" w:rsidRPr="00F34058">
              <w:t>Specific</w:t>
            </w:r>
            <w:proofErr w:type="gramEnd"/>
            <w:r w:rsidR="00F34058" w:rsidRPr="00F34058">
              <w:t xml:space="preserve"> COP Protocol Requirements and ERCOT Expectations</w:t>
            </w:r>
            <w:r w:rsidR="00F34058">
              <w:t xml:space="preserve">”. Updated </w:t>
            </w:r>
            <w:r w:rsidR="00F34058" w:rsidRPr="00F34058">
              <w:t>COP Resource Status Expectations for the following COP Statuses (ON, ONTEST, OFF)</w:t>
            </w:r>
          </w:p>
        </w:tc>
        <w:tc>
          <w:tcPr>
            <w:tcW w:w="1980" w:type="dxa"/>
            <w:tcBorders>
              <w:top w:val="single" w:sz="4" w:space="0" w:color="auto"/>
              <w:left w:val="single" w:sz="4" w:space="0" w:color="auto"/>
              <w:bottom w:val="single" w:sz="4" w:space="0" w:color="auto"/>
              <w:right w:val="single" w:sz="4" w:space="0" w:color="auto"/>
            </w:tcBorders>
          </w:tcPr>
          <w:p w14:paraId="62E2D33C" w14:textId="77777777" w:rsidR="007A544C" w:rsidRDefault="00D02024" w:rsidP="00680CA3">
            <w:pPr>
              <w:pStyle w:val="table"/>
              <w:spacing w:line="360" w:lineRule="auto"/>
            </w:pPr>
            <w:r>
              <w:t>Jimmy Hartmann/Sandip Sharma</w:t>
            </w:r>
          </w:p>
        </w:tc>
      </w:tr>
      <w:tr w:rsidR="00737EB3" w14:paraId="66607DC8" w14:textId="77777777" w:rsidTr="00B35D58">
        <w:tc>
          <w:tcPr>
            <w:tcW w:w="1800" w:type="dxa"/>
            <w:tcBorders>
              <w:top w:val="single" w:sz="4" w:space="0" w:color="auto"/>
              <w:left w:val="single" w:sz="4" w:space="0" w:color="auto"/>
              <w:bottom w:val="single" w:sz="4" w:space="0" w:color="auto"/>
              <w:right w:val="single" w:sz="4" w:space="0" w:color="auto"/>
            </w:tcBorders>
          </w:tcPr>
          <w:p w14:paraId="39C86343" w14:textId="77777777" w:rsidR="00737EB3" w:rsidRDefault="00737EB3" w:rsidP="009D6BF0">
            <w:pPr>
              <w:pStyle w:val="table"/>
              <w:spacing w:line="360" w:lineRule="auto"/>
            </w:pPr>
            <w:r>
              <w:t>2/2</w:t>
            </w:r>
            <w:r w:rsidR="00D82F85">
              <w:t>3</w:t>
            </w:r>
            <w:r>
              <w:t>/2017</w:t>
            </w:r>
          </w:p>
        </w:tc>
        <w:tc>
          <w:tcPr>
            <w:tcW w:w="1134" w:type="dxa"/>
            <w:tcBorders>
              <w:top w:val="single" w:sz="4" w:space="0" w:color="auto"/>
              <w:left w:val="single" w:sz="4" w:space="0" w:color="auto"/>
              <w:bottom w:val="single" w:sz="4" w:space="0" w:color="auto"/>
              <w:right w:val="single" w:sz="4" w:space="0" w:color="auto"/>
            </w:tcBorders>
          </w:tcPr>
          <w:p w14:paraId="5794DD6D" w14:textId="77777777" w:rsidR="00737EB3" w:rsidRDefault="00D82F85" w:rsidP="00511F30">
            <w:pPr>
              <w:pStyle w:val="table"/>
              <w:spacing w:line="360" w:lineRule="auto"/>
            </w:pPr>
            <w:r>
              <w:t>2.2</w:t>
            </w:r>
          </w:p>
        </w:tc>
        <w:tc>
          <w:tcPr>
            <w:tcW w:w="3726" w:type="dxa"/>
            <w:tcBorders>
              <w:top w:val="single" w:sz="4" w:space="0" w:color="auto"/>
              <w:left w:val="single" w:sz="4" w:space="0" w:color="auto"/>
              <w:bottom w:val="single" w:sz="4" w:space="0" w:color="auto"/>
              <w:right w:val="single" w:sz="4" w:space="0" w:color="auto"/>
            </w:tcBorders>
          </w:tcPr>
          <w:p w14:paraId="04FF8182" w14:textId="77777777" w:rsidR="00737EB3" w:rsidRDefault="00737EB3" w:rsidP="00D82F85">
            <w:pPr>
              <w:pStyle w:val="table"/>
              <w:spacing w:line="360" w:lineRule="auto"/>
            </w:pPr>
            <w:r>
              <w:t>Updated</w:t>
            </w:r>
            <w:r w:rsidR="00D82F85">
              <w:t xml:space="preserve"> Section 3.1 to capture </w:t>
            </w:r>
            <w:r>
              <w:t>NPRR 785</w:t>
            </w:r>
            <w:r w:rsidR="00D82F85">
              <w:t xml:space="preserve"> implementation</w:t>
            </w:r>
          </w:p>
        </w:tc>
        <w:tc>
          <w:tcPr>
            <w:tcW w:w="1980" w:type="dxa"/>
            <w:tcBorders>
              <w:top w:val="single" w:sz="4" w:space="0" w:color="auto"/>
              <w:left w:val="single" w:sz="4" w:space="0" w:color="auto"/>
              <w:bottom w:val="single" w:sz="4" w:space="0" w:color="auto"/>
              <w:right w:val="single" w:sz="4" w:space="0" w:color="auto"/>
            </w:tcBorders>
          </w:tcPr>
          <w:p w14:paraId="591802B6" w14:textId="77777777" w:rsidR="00737EB3" w:rsidRDefault="00D82F85" w:rsidP="00680CA3">
            <w:pPr>
              <w:pStyle w:val="table"/>
              <w:spacing w:line="360" w:lineRule="auto"/>
            </w:pPr>
            <w:r>
              <w:t>Pengwei Du,</w:t>
            </w:r>
          </w:p>
          <w:p w14:paraId="092CD996" w14:textId="77777777" w:rsidR="00D82F85" w:rsidRDefault="00D82F85" w:rsidP="00680CA3">
            <w:pPr>
              <w:pStyle w:val="table"/>
              <w:spacing w:line="360" w:lineRule="auto"/>
            </w:pPr>
            <w:r>
              <w:t>Nick Steffan,</w:t>
            </w:r>
          </w:p>
          <w:p w14:paraId="18A3FE53" w14:textId="77777777" w:rsidR="00D82F85" w:rsidRDefault="00D82F85" w:rsidP="00680CA3">
            <w:pPr>
              <w:pStyle w:val="table"/>
              <w:spacing w:line="360" w:lineRule="auto"/>
            </w:pPr>
            <w:r>
              <w:t>Nitika Mago</w:t>
            </w:r>
          </w:p>
        </w:tc>
      </w:tr>
      <w:tr w:rsidR="008329F4" w14:paraId="7B63824B" w14:textId="77777777" w:rsidTr="00B35D58">
        <w:tc>
          <w:tcPr>
            <w:tcW w:w="1800" w:type="dxa"/>
            <w:tcBorders>
              <w:top w:val="single" w:sz="4" w:space="0" w:color="auto"/>
              <w:left w:val="single" w:sz="4" w:space="0" w:color="auto"/>
              <w:bottom w:val="single" w:sz="4" w:space="0" w:color="auto"/>
              <w:right w:val="single" w:sz="4" w:space="0" w:color="auto"/>
            </w:tcBorders>
          </w:tcPr>
          <w:p w14:paraId="1EC65460" w14:textId="77777777" w:rsidR="008329F4" w:rsidRDefault="008329F4" w:rsidP="009D6BF0">
            <w:pPr>
              <w:pStyle w:val="table"/>
              <w:spacing w:line="360" w:lineRule="auto"/>
            </w:pPr>
            <w:r>
              <w:lastRenderedPageBreak/>
              <w:t>6/1</w:t>
            </w:r>
            <w:r w:rsidR="00761BEE">
              <w:t>6</w:t>
            </w:r>
            <w:r>
              <w:t>/2017</w:t>
            </w:r>
          </w:p>
        </w:tc>
        <w:tc>
          <w:tcPr>
            <w:tcW w:w="1134" w:type="dxa"/>
            <w:tcBorders>
              <w:top w:val="single" w:sz="4" w:space="0" w:color="auto"/>
              <w:left w:val="single" w:sz="4" w:space="0" w:color="auto"/>
              <w:bottom w:val="single" w:sz="4" w:space="0" w:color="auto"/>
              <w:right w:val="single" w:sz="4" w:space="0" w:color="auto"/>
            </w:tcBorders>
          </w:tcPr>
          <w:p w14:paraId="399F9DE0" w14:textId="77777777" w:rsidR="008329F4" w:rsidRDefault="008329F4" w:rsidP="00511F30">
            <w:pPr>
              <w:pStyle w:val="table"/>
              <w:spacing w:line="360" w:lineRule="auto"/>
            </w:pPr>
            <w:r>
              <w:t>2.3</w:t>
            </w:r>
          </w:p>
        </w:tc>
        <w:tc>
          <w:tcPr>
            <w:tcW w:w="3726" w:type="dxa"/>
            <w:tcBorders>
              <w:top w:val="single" w:sz="4" w:space="0" w:color="auto"/>
              <w:left w:val="single" w:sz="4" w:space="0" w:color="auto"/>
              <w:bottom w:val="single" w:sz="4" w:space="0" w:color="auto"/>
              <w:right w:val="single" w:sz="4" w:space="0" w:color="auto"/>
            </w:tcBorders>
          </w:tcPr>
          <w:p w14:paraId="3B785A4A" w14:textId="77777777" w:rsidR="008329F4" w:rsidRDefault="009A2E9D" w:rsidP="00D82F85">
            <w:pPr>
              <w:pStyle w:val="table"/>
              <w:spacing w:line="360" w:lineRule="auto"/>
            </w:pPr>
            <w:r>
              <w:t xml:space="preserve">Updated Section 3.5 and the appendix to capture Protocol changes.  The revision also includes </w:t>
            </w:r>
            <w:r w:rsidR="009D1C9D">
              <w:t>additional</w:t>
            </w:r>
            <w:r>
              <w:t xml:space="preserve"> cleanup items.</w:t>
            </w:r>
          </w:p>
        </w:tc>
        <w:tc>
          <w:tcPr>
            <w:tcW w:w="1980" w:type="dxa"/>
            <w:tcBorders>
              <w:top w:val="single" w:sz="4" w:space="0" w:color="auto"/>
              <w:left w:val="single" w:sz="4" w:space="0" w:color="auto"/>
              <w:bottom w:val="single" w:sz="4" w:space="0" w:color="auto"/>
              <w:right w:val="single" w:sz="4" w:space="0" w:color="auto"/>
            </w:tcBorders>
          </w:tcPr>
          <w:p w14:paraId="132CA067" w14:textId="77777777" w:rsidR="008329F4" w:rsidRDefault="008329F4" w:rsidP="00680CA3">
            <w:pPr>
              <w:pStyle w:val="table"/>
              <w:spacing w:line="360" w:lineRule="auto"/>
            </w:pPr>
            <w:r>
              <w:t>S</w:t>
            </w:r>
            <w:r w:rsidR="00E2165C">
              <w:t>.</w:t>
            </w:r>
            <w:r>
              <w:t xml:space="preserve"> Krein,</w:t>
            </w:r>
          </w:p>
          <w:p w14:paraId="321248E4" w14:textId="77777777" w:rsidR="008329F4" w:rsidRDefault="008329F4" w:rsidP="00680CA3">
            <w:pPr>
              <w:pStyle w:val="table"/>
              <w:spacing w:line="360" w:lineRule="auto"/>
            </w:pPr>
            <w:r>
              <w:t>A</w:t>
            </w:r>
            <w:r w:rsidR="00E2165C">
              <w:t>.</w:t>
            </w:r>
            <w:r>
              <w:t xml:space="preserve"> Townsend</w:t>
            </w:r>
          </w:p>
          <w:p w14:paraId="02831285" w14:textId="77777777" w:rsidR="00E2165C" w:rsidRDefault="00E2165C" w:rsidP="00680CA3">
            <w:pPr>
              <w:pStyle w:val="table"/>
              <w:spacing w:line="360" w:lineRule="auto"/>
            </w:pPr>
            <w:r>
              <w:t>D. Maggio</w:t>
            </w:r>
          </w:p>
          <w:p w14:paraId="796A3AED" w14:textId="77777777" w:rsidR="009A2E9D" w:rsidRDefault="009A2E9D" w:rsidP="00680CA3">
            <w:pPr>
              <w:pStyle w:val="table"/>
              <w:spacing w:line="360" w:lineRule="auto"/>
            </w:pPr>
          </w:p>
        </w:tc>
      </w:tr>
      <w:tr w:rsidR="00EC7EFD" w14:paraId="6A6C4C1F" w14:textId="77777777" w:rsidTr="00B35D58">
        <w:tc>
          <w:tcPr>
            <w:tcW w:w="1800" w:type="dxa"/>
            <w:tcBorders>
              <w:top w:val="single" w:sz="4" w:space="0" w:color="auto"/>
              <w:left w:val="single" w:sz="4" w:space="0" w:color="auto"/>
              <w:bottom w:val="single" w:sz="4" w:space="0" w:color="auto"/>
              <w:right w:val="single" w:sz="4" w:space="0" w:color="auto"/>
            </w:tcBorders>
          </w:tcPr>
          <w:p w14:paraId="338A7341" w14:textId="77777777" w:rsidR="00EC7EFD" w:rsidRDefault="00EC7EFD" w:rsidP="009D6BF0">
            <w:pPr>
              <w:pStyle w:val="table"/>
              <w:spacing w:line="360" w:lineRule="auto"/>
            </w:pPr>
            <w:r>
              <w:t>2/20/2019</w:t>
            </w:r>
          </w:p>
        </w:tc>
        <w:tc>
          <w:tcPr>
            <w:tcW w:w="1134" w:type="dxa"/>
            <w:tcBorders>
              <w:top w:val="single" w:sz="4" w:space="0" w:color="auto"/>
              <w:left w:val="single" w:sz="4" w:space="0" w:color="auto"/>
              <w:bottom w:val="single" w:sz="4" w:space="0" w:color="auto"/>
              <w:right w:val="single" w:sz="4" w:space="0" w:color="auto"/>
            </w:tcBorders>
          </w:tcPr>
          <w:p w14:paraId="61744FC4" w14:textId="77777777" w:rsidR="00EC7EFD" w:rsidRDefault="00EC7EFD" w:rsidP="00511F30">
            <w:pPr>
              <w:pStyle w:val="table"/>
              <w:spacing w:line="360" w:lineRule="auto"/>
            </w:pPr>
            <w:r>
              <w:t>2.4</w:t>
            </w:r>
          </w:p>
        </w:tc>
        <w:tc>
          <w:tcPr>
            <w:tcW w:w="3726" w:type="dxa"/>
            <w:tcBorders>
              <w:top w:val="single" w:sz="4" w:space="0" w:color="auto"/>
              <w:left w:val="single" w:sz="4" w:space="0" w:color="auto"/>
              <w:bottom w:val="single" w:sz="4" w:space="0" w:color="auto"/>
              <w:right w:val="single" w:sz="4" w:space="0" w:color="auto"/>
            </w:tcBorders>
          </w:tcPr>
          <w:p w14:paraId="4624F329" w14:textId="77777777" w:rsidR="00EC7EFD" w:rsidRDefault="00EC7EFD" w:rsidP="00D82F85">
            <w:pPr>
              <w:pStyle w:val="table"/>
              <w:spacing w:line="360" w:lineRule="auto"/>
            </w:pPr>
            <w:r>
              <w:t>Update Section 3.6 and appendix to capture NPRR901</w:t>
            </w:r>
          </w:p>
        </w:tc>
        <w:tc>
          <w:tcPr>
            <w:tcW w:w="1980" w:type="dxa"/>
            <w:tcBorders>
              <w:top w:val="single" w:sz="4" w:space="0" w:color="auto"/>
              <w:left w:val="single" w:sz="4" w:space="0" w:color="auto"/>
              <w:bottom w:val="single" w:sz="4" w:space="0" w:color="auto"/>
              <w:right w:val="single" w:sz="4" w:space="0" w:color="auto"/>
            </w:tcBorders>
          </w:tcPr>
          <w:p w14:paraId="12914763" w14:textId="77777777" w:rsidR="00EC7EFD" w:rsidRDefault="00EC7EFD" w:rsidP="00680CA3">
            <w:pPr>
              <w:pStyle w:val="table"/>
              <w:spacing w:line="360" w:lineRule="auto"/>
            </w:pPr>
            <w:r>
              <w:t>J. Chen</w:t>
            </w:r>
          </w:p>
        </w:tc>
      </w:tr>
      <w:tr w:rsidR="0065647F" w14:paraId="23201B02" w14:textId="77777777" w:rsidTr="00B35D58">
        <w:tc>
          <w:tcPr>
            <w:tcW w:w="1800" w:type="dxa"/>
            <w:tcBorders>
              <w:top w:val="single" w:sz="4" w:space="0" w:color="auto"/>
              <w:left w:val="single" w:sz="4" w:space="0" w:color="auto"/>
              <w:bottom w:val="single" w:sz="4" w:space="0" w:color="auto"/>
              <w:right w:val="single" w:sz="4" w:space="0" w:color="auto"/>
            </w:tcBorders>
          </w:tcPr>
          <w:p w14:paraId="57B13314" w14:textId="77777777" w:rsidR="0065647F" w:rsidRDefault="0065647F" w:rsidP="0065647F">
            <w:pPr>
              <w:pStyle w:val="table"/>
              <w:spacing w:line="360" w:lineRule="auto"/>
            </w:pPr>
            <w:r>
              <w:t>08/08/2023</w:t>
            </w:r>
          </w:p>
        </w:tc>
        <w:tc>
          <w:tcPr>
            <w:tcW w:w="1134" w:type="dxa"/>
            <w:tcBorders>
              <w:top w:val="single" w:sz="4" w:space="0" w:color="auto"/>
              <w:left w:val="single" w:sz="4" w:space="0" w:color="auto"/>
              <w:bottom w:val="single" w:sz="4" w:space="0" w:color="auto"/>
              <w:right w:val="single" w:sz="4" w:space="0" w:color="auto"/>
            </w:tcBorders>
          </w:tcPr>
          <w:p w14:paraId="44015CBC" w14:textId="77777777" w:rsidR="0065647F" w:rsidRDefault="0065647F" w:rsidP="0065647F">
            <w:pPr>
              <w:pStyle w:val="table"/>
              <w:spacing w:line="360" w:lineRule="auto"/>
            </w:pPr>
            <w:r>
              <w:t>2.5</w:t>
            </w:r>
          </w:p>
        </w:tc>
        <w:tc>
          <w:tcPr>
            <w:tcW w:w="3726" w:type="dxa"/>
            <w:tcBorders>
              <w:top w:val="single" w:sz="4" w:space="0" w:color="auto"/>
              <w:left w:val="single" w:sz="4" w:space="0" w:color="auto"/>
              <w:bottom w:val="single" w:sz="4" w:space="0" w:color="auto"/>
              <w:right w:val="single" w:sz="4" w:space="0" w:color="auto"/>
            </w:tcBorders>
          </w:tcPr>
          <w:p w14:paraId="034F634E" w14:textId="77777777" w:rsidR="0065647F" w:rsidRDefault="0065647F" w:rsidP="0065647F">
            <w:pPr>
              <w:pStyle w:val="table"/>
              <w:spacing w:line="360" w:lineRule="auto"/>
            </w:pPr>
            <w:r>
              <w:t xml:space="preserve">Update 3.3 to clarify </w:t>
            </w:r>
            <w:proofErr w:type="gramStart"/>
            <w:r>
              <w:t>expectation</w:t>
            </w:r>
            <w:proofErr w:type="gramEnd"/>
            <w:r>
              <w:t xml:space="preserve"> of resource status submission for combined cycle resources committed for additional capacity while providing AS.</w:t>
            </w:r>
          </w:p>
        </w:tc>
        <w:tc>
          <w:tcPr>
            <w:tcW w:w="1980" w:type="dxa"/>
            <w:tcBorders>
              <w:top w:val="single" w:sz="4" w:space="0" w:color="auto"/>
              <w:left w:val="single" w:sz="4" w:space="0" w:color="auto"/>
              <w:bottom w:val="single" w:sz="4" w:space="0" w:color="auto"/>
              <w:right w:val="single" w:sz="4" w:space="0" w:color="auto"/>
            </w:tcBorders>
          </w:tcPr>
          <w:p w14:paraId="17A153FF" w14:textId="77777777" w:rsidR="0065647F" w:rsidRDefault="0065647F" w:rsidP="0065647F">
            <w:pPr>
              <w:pStyle w:val="table"/>
              <w:spacing w:line="360" w:lineRule="auto"/>
            </w:pPr>
            <w:r>
              <w:t>R. Lee</w:t>
            </w:r>
          </w:p>
        </w:tc>
      </w:tr>
      <w:tr w:rsidR="002E05FA" w14:paraId="3AA85908" w14:textId="77777777" w:rsidTr="00B35D58">
        <w:tc>
          <w:tcPr>
            <w:tcW w:w="1800" w:type="dxa"/>
            <w:tcBorders>
              <w:top w:val="single" w:sz="4" w:space="0" w:color="auto"/>
              <w:left w:val="single" w:sz="4" w:space="0" w:color="auto"/>
              <w:bottom w:val="single" w:sz="4" w:space="0" w:color="auto"/>
              <w:right w:val="single" w:sz="4" w:space="0" w:color="auto"/>
            </w:tcBorders>
          </w:tcPr>
          <w:p w14:paraId="56423661" w14:textId="7EF62E55" w:rsidR="002E05FA" w:rsidRDefault="002E05FA" w:rsidP="0065647F">
            <w:pPr>
              <w:pStyle w:val="table"/>
              <w:spacing w:line="360" w:lineRule="auto"/>
            </w:pPr>
            <w:r>
              <w:t>1/</w:t>
            </w:r>
            <w:r w:rsidR="00787156">
              <w:t>26</w:t>
            </w:r>
            <w:r>
              <w:t>/2024</w:t>
            </w:r>
          </w:p>
        </w:tc>
        <w:tc>
          <w:tcPr>
            <w:tcW w:w="1134" w:type="dxa"/>
            <w:tcBorders>
              <w:top w:val="single" w:sz="4" w:space="0" w:color="auto"/>
              <w:left w:val="single" w:sz="4" w:space="0" w:color="auto"/>
              <w:bottom w:val="single" w:sz="4" w:space="0" w:color="auto"/>
              <w:right w:val="single" w:sz="4" w:space="0" w:color="auto"/>
            </w:tcBorders>
          </w:tcPr>
          <w:p w14:paraId="452D15C2" w14:textId="23385F17" w:rsidR="002E05FA" w:rsidRDefault="002E05FA" w:rsidP="0065647F">
            <w:pPr>
              <w:pStyle w:val="table"/>
              <w:spacing w:line="360" w:lineRule="auto"/>
            </w:pPr>
            <w:r>
              <w:t>2.6</w:t>
            </w:r>
          </w:p>
        </w:tc>
        <w:tc>
          <w:tcPr>
            <w:tcW w:w="3726" w:type="dxa"/>
            <w:tcBorders>
              <w:top w:val="single" w:sz="4" w:space="0" w:color="auto"/>
              <w:left w:val="single" w:sz="4" w:space="0" w:color="auto"/>
              <w:bottom w:val="single" w:sz="4" w:space="0" w:color="auto"/>
              <w:right w:val="single" w:sz="4" w:space="0" w:color="auto"/>
            </w:tcBorders>
          </w:tcPr>
          <w:p w14:paraId="6DA88A3E" w14:textId="30EA2469" w:rsidR="002E05FA" w:rsidRDefault="005E0913" w:rsidP="005E0913">
            <w:pPr>
              <w:pStyle w:val="table"/>
              <w:spacing w:line="360" w:lineRule="auto"/>
            </w:pPr>
            <w:r>
              <w:t>Update Section</w:t>
            </w:r>
            <w:r w:rsidR="00FA4535">
              <w:t xml:space="preserve"> 3.2</w:t>
            </w:r>
            <w:r w:rsidR="00B05AE2">
              <w:t>,</w:t>
            </w:r>
            <w:r>
              <w:t xml:space="preserve"> </w:t>
            </w:r>
            <w:r w:rsidR="00FA4535">
              <w:t>4</w:t>
            </w:r>
            <w:r w:rsidR="00B05AE2">
              <w:t xml:space="preserve"> and 5</w:t>
            </w:r>
            <w:r>
              <w:t xml:space="preserve"> for QSE to </w:t>
            </w:r>
            <w:r w:rsidR="00FA4535">
              <w:t>opt out the RUC settlement</w:t>
            </w:r>
            <w:r>
              <w:t xml:space="preserve"> through COP submission</w:t>
            </w:r>
            <w:r w:rsidR="00FA4535">
              <w:t>s</w:t>
            </w:r>
            <w:r>
              <w:t xml:space="preserve"> </w:t>
            </w:r>
            <w:r w:rsidR="009F0B22">
              <w:t>as revised by</w:t>
            </w:r>
            <w:r>
              <w:t xml:space="preserve"> NPRR1092</w:t>
            </w:r>
          </w:p>
        </w:tc>
        <w:tc>
          <w:tcPr>
            <w:tcW w:w="1980" w:type="dxa"/>
            <w:tcBorders>
              <w:top w:val="single" w:sz="4" w:space="0" w:color="auto"/>
              <w:left w:val="single" w:sz="4" w:space="0" w:color="auto"/>
              <w:bottom w:val="single" w:sz="4" w:space="0" w:color="auto"/>
              <w:right w:val="single" w:sz="4" w:space="0" w:color="auto"/>
            </w:tcBorders>
          </w:tcPr>
          <w:p w14:paraId="75CC5366" w14:textId="03916603" w:rsidR="002E05FA" w:rsidRDefault="005E0913" w:rsidP="0065647F">
            <w:pPr>
              <w:pStyle w:val="table"/>
              <w:spacing w:line="360" w:lineRule="auto"/>
            </w:pPr>
            <w:r>
              <w:t>H. You</w:t>
            </w:r>
          </w:p>
        </w:tc>
      </w:tr>
      <w:tr w:rsidR="00CE461B" w14:paraId="3CB0C43C" w14:textId="77777777" w:rsidTr="00B35D58">
        <w:tc>
          <w:tcPr>
            <w:tcW w:w="1800" w:type="dxa"/>
            <w:tcBorders>
              <w:top w:val="single" w:sz="4" w:space="0" w:color="auto"/>
              <w:left w:val="single" w:sz="4" w:space="0" w:color="auto"/>
              <w:bottom w:val="single" w:sz="4" w:space="0" w:color="auto"/>
              <w:right w:val="single" w:sz="4" w:space="0" w:color="auto"/>
            </w:tcBorders>
          </w:tcPr>
          <w:p w14:paraId="20FA4C9D" w14:textId="5F0B0499" w:rsidR="00CE461B" w:rsidRDefault="00EE186A" w:rsidP="0065647F">
            <w:pPr>
              <w:pStyle w:val="table"/>
              <w:spacing w:line="360" w:lineRule="auto"/>
            </w:pPr>
            <w:r>
              <w:t>06</w:t>
            </w:r>
            <w:r w:rsidR="00CE461B">
              <w:t>/</w:t>
            </w:r>
            <w:r>
              <w:t>28</w:t>
            </w:r>
            <w:r w:rsidR="00CE461B">
              <w:t>/2024</w:t>
            </w:r>
          </w:p>
        </w:tc>
        <w:tc>
          <w:tcPr>
            <w:tcW w:w="1134" w:type="dxa"/>
            <w:tcBorders>
              <w:top w:val="single" w:sz="4" w:space="0" w:color="auto"/>
              <w:left w:val="single" w:sz="4" w:space="0" w:color="auto"/>
              <w:bottom w:val="single" w:sz="4" w:space="0" w:color="auto"/>
              <w:right w:val="single" w:sz="4" w:space="0" w:color="auto"/>
            </w:tcBorders>
          </w:tcPr>
          <w:p w14:paraId="3D59EE30" w14:textId="17B69A85" w:rsidR="00CE461B" w:rsidRDefault="0082226B" w:rsidP="0065647F">
            <w:pPr>
              <w:pStyle w:val="table"/>
              <w:spacing w:line="360" w:lineRule="auto"/>
            </w:pPr>
            <w:r>
              <w:t>2</w:t>
            </w:r>
            <w:r w:rsidR="00CE461B">
              <w:t>.7</w:t>
            </w:r>
          </w:p>
        </w:tc>
        <w:tc>
          <w:tcPr>
            <w:tcW w:w="3726" w:type="dxa"/>
            <w:tcBorders>
              <w:top w:val="single" w:sz="4" w:space="0" w:color="auto"/>
              <w:left w:val="single" w:sz="4" w:space="0" w:color="auto"/>
              <w:bottom w:val="single" w:sz="4" w:space="0" w:color="auto"/>
              <w:right w:val="single" w:sz="4" w:space="0" w:color="auto"/>
            </w:tcBorders>
          </w:tcPr>
          <w:p w14:paraId="3E138865" w14:textId="61E14601" w:rsidR="00CE461B" w:rsidRDefault="00CC7EF6" w:rsidP="005E0913">
            <w:pPr>
              <w:pStyle w:val="table"/>
              <w:spacing w:line="360" w:lineRule="auto"/>
            </w:pPr>
            <w:r>
              <w:t xml:space="preserve">New Section </w:t>
            </w:r>
            <w:r w:rsidR="00EE186A">
              <w:t>3.7 to capture updates from NPRR 1186</w:t>
            </w:r>
          </w:p>
        </w:tc>
        <w:tc>
          <w:tcPr>
            <w:tcW w:w="1980" w:type="dxa"/>
            <w:tcBorders>
              <w:top w:val="single" w:sz="4" w:space="0" w:color="auto"/>
              <w:left w:val="single" w:sz="4" w:space="0" w:color="auto"/>
              <w:bottom w:val="single" w:sz="4" w:space="0" w:color="auto"/>
              <w:right w:val="single" w:sz="4" w:space="0" w:color="auto"/>
            </w:tcBorders>
          </w:tcPr>
          <w:p w14:paraId="0E64662F" w14:textId="340C49C3" w:rsidR="00CE461B" w:rsidRDefault="005D2BFB" w:rsidP="0065647F">
            <w:pPr>
              <w:pStyle w:val="table"/>
              <w:spacing w:line="360" w:lineRule="auto"/>
            </w:pPr>
            <w:r>
              <w:t>R. King</w:t>
            </w:r>
          </w:p>
        </w:tc>
      </w:tr>
      <w:tr w:rsidR="001154E3" w:rsidDel="00191E4A" w14:paraId="5346A094" w14:textId="77777777" w:rsidTr="00B35D58">
        <w:tc>
          <w:tcPr>
            <w:tcW w:w="1800" w:type="dxa"/>
            <w:tcBorders>
              <w:top w:val="single" w:sz="4" w:space="0" w:color="auto"/>
              <w:left w:val="single" w:sz="4" w:space="0" w:color="auto"/>
              <w:bottom w:val="single" w:sz="4" w:space="0" w:color="auto"/>
              <w:right w:val="single" w:sz="4" w:space="0" w:color="auto"/>
            </w:tcBorders>
          </w:tcPr>
          <w:p w14:paraId="7046326E" w14:textId="1A689520" w:rsidR="001154E3" w:rsidRDefault="005C5A05" w:rsidP="0065647F">
            <w:pPr>
              <w:pStyle w:val="table"/>
              <w:spacing w:line="360" w:lineRule="auto"/>
            </w:pPr>
            <w:r>
              <w:t>1</w:t>
            </w:r>
            <w:r w:rsidR="001231C9">
              <w:t>2</w:t>
            </w:r>
            <w:r>
              <w:t>/</w:t>
            </w:r>
            <w:r w:rsidR="001231C9">
              <w:t>3</w:t>
            </w:r>
            <w:r>
              <w:t>/2025</w:t>
            </w:r>
          </w:p>
        </w:tc>
        <w:tc>
          <w:tcPr>
            <w:tcW w:w="1134" w:type="dxa"/>
            <w:tcBorders>
              <w:top w:val="single" w:sz="4" w:space="0" w:color="auto"/>
              <w:left w:val="single" w:sz="4" w:space="0" w:color="auto"/>
              <w:bottom w:val="single" w:sz="4" w:space="0" w:color="auto"/>
              <w:right w:val="single" w:sz="4" w:space="0" w:color="auto"/>
            </w:tcBorders>
          </w:tcPr>
          <w:p w14:paraId="5009954E" w14:textId="6F65808C" w:rsidR="001154E3" w:rsidRDefault="0082226B" w:rsidP="0065647F">
            <w:pPr>
              <w:pStyle w:val="table"/>
              <w:spacing w:line="360" w:lineRule="auto"/>
            </w:pPr>
            <w:r>
              <w:t>2</w:t>
            </w:r>
            <w:r w:rsidR="005C5A05">
              <w:t>.8</w:t>
            </w:r>
          </w:p>
        </w:tc>
        <w:tc>
          <w:tcPr>
            <w:tcW w:w="3726" w:type="dxa"/>
            <w:tcBorders>
              <w:top w:val="single" w:sz="4" w:space="0" w:color="auto"/>
              <w:left w:val="single" w:sz="4" w:space="0" w:color="auto"/>
              <w:bottom w:val="single" w:sz="4" w:space="0" w:color="auto"/>
              <w:right w:val="single" w:sz="4" w:space="0" w:color="auto"/>
            </w:tcBorders>
          </w:tcPr>
          <w:p w14:paraId="1AB1A82E" w14:textId="7C03B6D7" w:rsidR="001154E3" w:rsidRDefault="005C5A05" w:rsidP="005E0913">
            <w:pPr>
              <w:pStyle w:val="table"/>
              <w:spacing w:line="360" w:lineRule="auto"/>
            </w:pPr>
            <w:r>
              <w:t>Updated to reflect RTCB Implementation</w:t>
            </w:r>
          </w:p>
        </w:tc>
        <w:tc>
          <w:tcPr>
            <w:tcW w:w="1980" w:type="dxa"/>
            <w:tcBorders>
              <w:top w:val="single" w:sz="4" w:space="0" w:color="auto"/>
              <w:left w:val="single" w:sz="4" w:space="0" w:color="auto"/>
              <w:bottom w:val="single" w:sz="4" w:space="0" w:color="auto"/>
              <w:right w:val="single" w:sz="4" w:space="0" w:color="auto"/>
            </w:tcBorders>
          </w:tcPr>
          <w:p w14:paraId="2C8DB432" w14:textId="51844872" w:rsidR="001154E3" w:rsidDel="00191E4A" w:rsidRDefault="00B309D0" w:rsidP="0065647F">
            <w:pPr>
              <w:pStyle w:val="table"/>
              <w:spacing w:line="360" w:lineRule="auto"/>
            </w:pPr>
            <w:r>
              <w:t>RTCB Team</w:t>
            </w:r>
          </w:p>
        </w:tc>
      </w:tr>
    </w:tbl>
    <w:p w14:paraId="21B8DD24" w14:textId="77777777" w:rsidR="00863FB0" w:rsidRDefault="00863FB0">
      <w:r>
        <w:br w:type="page"/>
      </w:r>
      <w:r w:rsidR="0010029D">
        <w:lastRenderedPageBreak/>
        <w:t xml:space="preserve"> </w:t>
      </w:r>
    </w:p>
    <w:p w14:paraId="4C087782" w14:textId="77777777" w:rsidR="008E2002" w:rsidRPr="008E2002" w:rsidRDefault="008E2002" w:rsidP="008E2002">
      <w:pPr>
        <w:spacing w:line="360" w:lineRule="auto"/>
      </w:pPr>
      <w:r w:rsidRPr="008E2002">
        <w:rPr>
          <w:b/>
          <w:bCs/>
        </w:rPr>
        <w:t>PROTOCOL DISCLAIMER</w:t>
      </w:r>
    </w:p>
    <w:p w14:paraId="7BDD905D" w14:textId="77777777" w:rsidR="008E2002" w:rsidRPr="008E2002" w:rsidRDefault="008E2002" w:rsidP="008E2002">
      <w:pPr>
        <w:spacing w:line="360" w:lineRule="auto"/>
      </w:pPr>
      <w:r w:rsidRPr="008E2002">
        <w:t xml:space="preserve">This </w:t>
      </w:r>
      <w:r>
        <w:t xml:space="preserve">Business Practice describes ERCOT Systems and the response of these systems to Market Participant submissions incidental to the conduct of operations in the ERCOT Texas </w:t>
      </w:r>
      <w:r w:rsidRPr="008E2002">
        <w:t xml:space="preserve">Nodal Market </w:t>
      </w:r>
      <w:r>
        <w:t>i</w:t>
      </w:r>
      <w:r w:rsidRPr="008E2002">
        <w:t>mplementation and is not intended to be a substitute for the ERCOT Nodal Protocols (available at</w:t>
      </w:r>
      <w:r w:rsidR="00772119">
        <w:t xml:space="preserve"> </w:t>
      </w:r>
      <w:hyperlink r:id="rId16" w:history="1">
        <w:r w:rsidR="00772119" w:rsidRPr="00587A0C">
          <w:rPr>
            <w:rStyle w:val="Hyperlink"/>
          </w:rPr>
          <w:t>http://www.ercot.com/mktrules/nprotocols/</w:t>
        </w:r>
      </w:hyperlink>
      <w:r w:rsidRPr="008E2002">
        <w:t xml:space="preserve">, as amended from time to time. If any conflict exists between this </w:t>
      </w:r>
      <w:r>
        <w:t xml:space="preserve">document </w:t>
      </w:r>
      <w:r w:rsidRPr="008E2002">
        <w:t>and the ERCOT Nodal Protocols, the ERCOT Nodal Protocols shall control in all respects.</w:t>
      </w:r>
    </w:p>
    <w:p w14:paraId="7DF82D54" w14:textId="77777777" w:rsidR="00B34413" w:rsidRDefault="00B34413">
      <w:pPr>
        <w:rPr>
          <w:rFonts w:ascii="Arial" w:hAnsi="Arial" w:cs="Arial"/>
          <w:b/>
          <w:bCs/>
          <w:kern w:val="32"/>
          <w:sz w:val="28"/>
          <w:szCs w:val="32"/>
        </w:rPr>
      </w:pPr>
    </w:p>
    <w:p w14:paraId="34EFDEEF" w14:textId="77777777" w:rsidR="00B34413" w:rsidRPr="00B03C6C" w:rsidRDefault="00802D95" w:rsidP="00B34413">
      <w:pPr>
        <w:spacing w:before="320" w:after="240"/>
        <w:rPr>
          <w:bCs/>
          <w:kern w:val="32"/>
          <w:sz w:val="28"/>
          <w:szCs w:val="28"/>
        </w:rPr>
      </w:pPr>
      <w:r w:rsidRPr="00B03C6C">
        <w:rPr>
          <w:bCs/>
          <w:kern w:val="32"/>
          <w:sz w:val="28"/>
          <w:szCs w:val="28"/>
        </w:rPr>
        <w:t>APPROVED</w:t>
      </w:r>
    </w:p>
    <w:p w14:paraId="7148548F" w14:textId="4A398F84" w:rsidR="00B34413" w:rsidRPr="00B03C6C" w:rsidRDefault="00B34413" w:rsidP="00B34413">
      <w:pPr>
        <w:spacing w:before="120" w:after="240"/>
        <w:rPr>
          <w:bCs/>
          <w:iCs/>
          <w:sz w:val="28"/>
          <w:szCs w:val="28"/>
        </w:rPr>
      </w:pPr>
      <w:r w:rsidRPr="00B03C6C">
        <w:rPr>
          <w:bCs/>
          <w:iCs/>
          <w:sz w:val="28"/>
          <w:szCs w:val="28"/>
        </w:rPr>
        <w:t>Title</w:t>
      </w:r>
      <w:r w:rsidR="00B03C6C" w:rsidRPr="00B03C6C">
        <w:rPr>
          <w:bCs/>
          <w:iCs/>
          <w:sz w:val="28"/>
          <w:szCs w:val="28"/>
        </w:rPr>
        <w:t>:</w:t>
      </w:r>
      <w:r w:rsidR="00802D95" w:rsidRPr="00B03C6C">
        <w:rPr>
          <w:bCs/>
          <w:iCs/>
          <w:sz w:val="28"/>
          <w:szCs w:val="28"/>
        </w:rPr>
        <w:tab/>
      </w:r>
      <w:r w:rsidR="00B03C6C" w:rsidRPr="00B03C6C">
        <w:rPr>
          <w:bCs/>
          <w:iCs/>
          <w:sz w:val="28"/>
          <w:szCs w:val="28"/>
        </w:rPr>
        <w:t xml:space="preserve">Director </w:t>
      </w:r>
      <w:r w:rsidR="009563BC">
        <w:rPr>
          <w:bCs/>
          <w:iCs/>
          <w:sz w:val="28"/>
          <w:szCs w:val="28"/>
        </w:rPr>
        <w:t>of Balancing</w:t>
      </w:r>
      <w:r w:rsidR="009C4745" w:rsidRPr="00B03C6C">
        <w:rPr>
          <w:bCs/>
          <w:iCs/>
          <w:sz w:val="28"/>
          <w:szCs w:val="28"/>
        </w:rPr>
        <w:t xml:space="preserve"> </w:t>
      </w:r>
      <w:r w:rsidR="00B03C6C" w:rsidRPr="00B03C6C">
        <w:rPr>
          <w:bCs/>
          <w:iCs/>
          <w:sz w:val="28"/>
          <w:szCs w:val="28"/>
        </w:rPr>
        <w:t>Operations</w:t>
      </w:r>
      <w:r w:rsidR="009563BC">
        <w:rPr>
          <w:bCs/>
          <w:iCs/>
          <w:sz w:val="28"/>
          <w:szCs w:val="28"/>
        </w:rPr>
        <w:t xml:space="preserve"> Planning</w:t>
      </w:r>
      <w:r w:rsidR="00D82F85">
        <w:rPr>
          <w:bCs/>
          <w:iCs/>
          <w:sz w:val="28"/>
          <w:szCs w:val="28"/>
        </w:rPr>
        <w:t xml:space="preserve"> </w:t>
      </w:r>
    </w:p>
    <w:p w14:paraId="7EE0D4B4" w14:textId="1D43A6DA" w:rsidR="00B03C6C" w:rsidRDefault="00B34413" w:rsidP="00802D95">
      <w:pPr>
        <w:tabs>
          <w:tab w:val="right" w:leader="underscore" w:pos="5040"/>
          <w:tab w:val="left" w:pos="5220"/>
          <w:tab w:val="right" w:leader="underscore" w:pos="8640"/>
        </w:tabs>
        <w:spacing w:before="40" w:after="160"/>
        <w:rPr>
          <w:sz w:val="28"/>
          <w:szCs w:val="28"/>
        </w:rPr>
      </w:pPr>
      <w:r w:rsidRPr="00B03C6C">
        <w:rPr>
          <w:sz w:val="28"/>
          <w:szCs w:val="28"/>
        </w:rPr>
        <w:t>Name</w:t>
      </w:r>
      <w:r w:rsidR="00B03C6C" w:rsidRPr="00B03C6C">
        <w:rPr>
          <w:sz w:val="28"/>
          <w:szCs w:val="28"/>
        </w:rPr>
        <w:t>:</w:t>
      </w:r>
      <w:r w:rsidR="00B03C6C">
        <w:rPr>
          <w:sz w:val="28"/>
          <w:szCs w:val="28"/>
        </w:rPr>
        <w:t xml:space="preserve"> </w:t>
      </w:r>
      <w:r w:rsidR="001C2A93">
        <w:rPr>
          <w:sz w:val="28"/>
          <w:szCs w:val="28"/>
        </w:rPr>
        <w:t>Nitika Mago</w:t>
      </w:r>
    </w:p>
    <w:p w14:paraId="124CE6D1" w14:textId="1F3D6B91" w:rsidR="0087058D" w:rsidRDefault="00B34413" w:rsidP="00B03C6C">
      <w:pPr>
        <w:tabs>
          <w:tab w:val="right" w:leader="underscore" w:pos="5040"/>
          <w:tab w:val="left" w:pos="5220"/>
          <w:tab w:val="right" w:leader="underscore" w:pos="8640"/>
        </w:tabs>
        <w:spacing w:before="40" w:after="160"/>
        <w:rPr>
          <w:sz w:val="28"/>
          <w:szCs w:val="28"/>
        </w:rPr>
      </w:pPr>
      <w:r w:rsidRPr="00B03C6C">
        <w:rPr>
          <w:sz w:val="28"/>
          <w:szCs w:val="28"/>
        </w:rPr>
        <w:t>Date</w:t>
      </w:r>
      <w:r w:rsidR="00B11635">
        <w:rPr>
          <w:sz w:val="28"/>
          <w:szCs w:val="28"/>
        </w:rPr>
        <w:t xml:space="preserve">: </w:t>
      </w:r>
      <w:r w:rsidR="0031059D">
        <w:rPr>
          <w:sz w:val="28"/>
          <w:szCs w:val="28"/>
        </w:rPr>
        <w:t>12</w:t>
      </w:r>
      <w:r w:rsidR="00876B0C">
        <w:rPr>
          <w:sz w:val="28"/>
          <w:szCs w:val="28"/>
        </w:rPr>
        <w:t>/3/25</w:t>
      </w:r>
    </w:p>
    <w:p w14:paraId="2B3FA948" w14:textId="77777777" w:rsidR="00D82F85" w:rsidRDefault="00D82F85" w:rsidP="00B03C6C">
      <w:pPr>
        <w:tabs>
          <w:tab w:val="right" w:leader="underscore" w:pos="5040"/>
          <w:tab w:val="left" w:pos="5220"/>
          <w:tab w:val="right" w:leader="underscore" w:pos="8640"/>
        </w:tabs>
        <w:spacing w:before="40" w:after="160"/>
        <w:rPr>
          <w:sz w:val="28"/>
          <w:szCs w:val="28"/>
        </w:rPr>
      </w:pPr>
    </w:p>
    <w:p w14:paraId="444E0254" w14:textId="2DDEF836" w:rsidR="00D82F85" w:rsidRPr="00B03C6C" w:rsidRDefault="00D82F85" w:rsidP="00D82F85">
      <w:pPr>
        <w:spacing w:before="120" w:after="240"/>
        <w:rPr>
          <w:bCs/>
          <w:iCs/>
          <w:sz w:val="28"/>
          <w:szCs w:val="28"/>
        </w:rPr>
      </w:pPr>
      <w:r w:rsidRPr="00B03C6C">
        <w:rPr>
          <w:bCs/>
          <w:iCs/>
          <w:sz w:val="28"/>
          <w:szCs w:val="28"/>
        </w:rPr>
        <w:t>Title:</w:t>
      </w:r>
      <w:r w:rsidRPr="00B03C6C">
        <w:rPr>
          <w:bCs/>
          <w:iCs/>
          <w:sz w:val="28"/>
          <w:szCs w:val="28"/>
        </w:rPr>
        <w:tab/>
        <w:t xml:space="preserve">Director </w:t>
      </w:r>
      <w:r>
        <w:rPr>
          <w:bCs/>
          <w:iCs/>
          <w:sz w:val="28"/>
          <w:szCs w:val="28"/>
        </w:rPr>
        <w:t>Market Design &amp;</w:t>
      </w:r>
      <w:r w:rsidRPr="00B03C6C">
        <w:rPr>
          <w:bCs/>
          <w:iCs/>
          <w:sz w:val="28"/>
          <w:szCs w:val="28"/>
        </w:rPr>
        <w:t xml:space="preserve"> </w:t>
      </w:r>
      <w:r w:rsidR="002B5342">
        <w:rPr>
          <w:bCs/>
          <w:iCs/>
          <w:sz w:val="28"/>
          <w:szCs w:val="28"/>
        </w:rPr>
        <w:t xml:space="preserve">Analysis </w:t>
      </w:r>
    </w:p>
    <w:p w14:paraId="7FBC1BD1" w14:textId="5DE50A81" w:rsidR="00D82F85" w:rsidRDefault="00D82F85" w:rsidP="00D82F85">
      <w:pPr>
        <w:tabs>
          <w:tab w:val="right" w:leader="underscore" w:pos="5040"/>
          <w:tab w:val="left" w:pos="5220"/>
          <w:tab w:val="right" w:leader="underscore" w:pos="8640"/>
        </w:tabs>
        <w:spacing w:before="40" w:after="160"/>
        <w:rPr>
          <w:sz w:val="28"/>
          <w:szCs w:val="28"/>
        </w:rPr>
      </w:pPr>
      <w:r w:rsidRPr="00B03C6C">
        <w:rPr>
          <w:sz w:val="28"/>
          <w:szCs w:val="28"/>
        </w:rPr>
        <w:t>Name:</w:t>
      </w:r>
      <w:r>
        <w:rPr>
          <w:sz w:val="28"/>
          <w:szCs w:val="28"/>
        </w:rPr>
        <w:t xml:space="preserve"> </w:t>
      </w:r>
      <w:r w:rsidR="003E7063">
        <w:rPr>
          <w:sz w:val="28"/>
          <w:szCs w:val="28"/>
        </w:rPr>
        <w:t>Gordon Drake</w:t>
      </w:r>
    </w:p>
    <w:p w14:paraId="6E840FD1" w14:textId="4FCB86D5" w:rsidR="00D82F85" w:rsidRDefault="00D82F85" w:rsidP="00D82F85">
      <w:pPr>
        <w:tabs>
          <w:tab w:val="right" w:leader="underscore" w:pos="5040"/>
          <w:tab w:val="left" w:pos="5220"/>
          <w:tab w:val="right" w:leader="underscore" w:pos="8640"/>
        </w:tabs>
        <w:spacing w:before="40" w:after="160"/>
        <w:rPr>
          <w:sz w:val="28"/>
          <w:szCs w:val="28"/>
        </w:rPr>
      </w:pPr>
      <w:r w:rsidRPr="00B03C6C">
        <w:rPr>
          <w:sz w:val="28"/>
          <w:szCs w:val="28"/>
        </w:rPr>
        <w:t>Date</w:t>
      </w:r>
      <w:r>
        <w:rPr>
          <w:sz w:val="28"/>
          <w:szCs w:val="28"/>
        </w:rPr>
        <w:t xml:space="preserve">: </w:t>
      </w:r>
      <w:r w:rsidR="00876B0C">
        <w:rPr>
          <w:sz w:val="28"/>
          <w:szCs w:val="28"/>
        </w:rPr>
        <w:t>12/3/25</w:t>
      </w:r>
    </w:p>
    <w:p w14:paraId="5B5FBE88" w14:textId="77777777" w:rsidR="00D82F85" w:rsidRDefault="00D82F85" w:rsidP="00B03C6C">
      <w:pPr>
        <w:tabs>
          <w:tab w:val="right" w:leader="underscore" w:pos="5040"/>
          <w:tab w:val="left" w:pos="5220"/>
          <w:tab w:val="right" w:leader="underscore" w:pos="8640"/>
        </w:tabs>
        <w:spacing w:before="40" w:after="160"/>
        <w:rPr>
          <w:sz w:val="28"/>
          <w:szCs w:val="28"/>
        </w:rPr>
      </w:pPr>
    </w:p>
    <w:p w14:paraId="031D601F" w14:textId="77777777" w:rsidR="00B34413" w:rsidRPr="00B34413" w:rsidRDefault="00B34413" w:rsidP="00B03C6C">
      <w:pPr>
        <w:tabs>
          <w:tab w:val="right" w:leader="underscore" w:pos="5040"/>
          <w:tab w:val="left" w:pos="5220"/>
          <w:tab w:val="right" w:leader="underscore" w:pos="8640"/>
        </w:tabs>
        <w:spacing w:before="40" w:after="160"/>
        <w:rPr>
          <w:sz w:val="28"/>
          <w:szCs w:val="28"/>
        </w:rPr>
      </w:pPr>
      <w:r w:rsidRPr="00B34413">
        <w:rPr>
          <w:sz w:val="28"/>
          <w:szCs w:val="28"/>
        </w:rPr>
        <w:br w:type="page"/>
      </w:r>
    </w:p>
    <w:p w14:paraId="18FD2A47" w14:textId="77777777" w:rsidR="00A02DD3" w:rsidRPr="00802D95" w:rsidRDefault="00A02DD3">
      <w:pPr>
        <w:pStyle w:val="TOCHeading"/>
        <w:rPr>
          <w:rFonts w:ascii="Times New Roman" w:hAnsi="Times New Roman"/>
        </w:rPr>
      </w:pPr>
      <w:r w:rsidRPr="00802D95">
        <w:rPr>
          <w:rFonts w:ascii="Times New Roman" w:hAnsi="Times New Roman"/>
        </w:rPr>
        <w:lastRenderedPageBreak/>
        <w:t>Contents</w:t>
      </w:r>
    </w:p>
    <w:p w14:paraId="36DE13B3" w14:textId="2614948A" w:rsidR="00591119" w:rsidRDefault="00604CB9">
      <w:pPr>
        <w:pStyle w:val="TOC1"/>
        <w:rPr>
          <w:rFonts w:asciiTheme="minorHAnsi" w:eastAsiaTheme="minorEastAsia" w:hAnsiTheme="minorHAnsi" w:cstheme="minorBidi"/>
          <w:noProof/>
          <w:kern w:val="2"/>
          <w:sz w:val="24"/>
          <w14:ligatures w14:val="standardContextual"/>
        </w:rPr>
      </w:pPr>
      <w:r w:rsidRPr="00802D95">
        <w:rPr>
          <w:rStyle w:val="Hyperlink"/>
          <w:noProof/>
          <w:sz w:val="28"/>
          <w:szCs w:val="28"/>
        </w:rPr>
        <w:fldChar w:fldCharType="begin"/>
      </w:r>
      <w:r w:rsidR="009042B1" w:rsidRPr="00802D95">
        <w:rPr>
          <w:rStyle w:val="Hyperlink"/>
          <w:noProof/>
          <w:sz w:val="28"/>
          <w:szCs w:val="28"/>
        </w:rPr>
        <w:instrText xml:space="preserve"> TOC \o "1-3" \h \z \u </w:instrText>
      </w:r>
      <w:r w:rsidRPr="00802D95">
        <w:rPr>
          <w:rStyle w:val="Hyperlink"/>
          <w:noProof/>
          <w:sz w:val="28"/>
          <w:szCs w:val="28"/>
        </w:rPr>
        <w:fldChar w:fldCharType="separate"/>
      </w:r>
      <w:hyperlink w:anchor="_Toc216878061" w:history="1">
        <w:r w:rsidR="00591119" w:rsidRPr="00392747">
          <w:rPr>
            <w:rStyle w:val="Hyperlink"/>
            <w:noProof/>
          </w:rPr>
          <w:t>1.</w:t>
        </w:r>
        <w:r w:rsidR="00591119">
          <w:rPr>
            <w:rFonts w:asciiTheme="minorHAnsi" w:eastAsiaTheme="minorEastAsia" w:hAnsiTheme="minorHAnsi" w:cstheme="minorBidi"/>
            <w:noProof/>
            <w:kern w:val="2"/>
            <w:sz w:val="24"/>
            <w14:ligatures w14:val="standardContextual"/>
          </w:rPr>
          <w:tab/>
        </w:r>
        <w:r w:rsidR="00591119" w:rsidRPr="00392747">
          <w:rPr>
            <w:rStyle w:val="Hyperlink"/>
            <w:noProof/>
          </w:rPr>
          <w:t>Background and Purpose</w:t>
        </w:r>
        <w:r w:rsidR="00591119">
          <w:rPr>
            <w:noProof/>
            <w:webHidden/>
          </w:rPr>
          <w:tab/>
        </w:r>
        <w:r w:rsidR="00591119">
          <w:rPr>
            <w:noProof/>
            <w:webHidden/>
          </w:rPr>
          <w:fldChar w:fldCharType="begin"/>
        </w:r>
        <w:r w:rsidR="00591119">
          <w:rPr>
            <w:noProof/>
            <w:webHidden/>
          </w:rPr>
          <w:instrText xml:space="preserve"> PAGEREF _Toc216878061 \h </w:instrText>
        </w:r>
        <w:r w:rsidR="00591119">
          <w:rPr>
            <w:noProof/>
            <w:webHidden/>
          </w:rPr>
        </w:r>
        <w:r w:rsidR="00591119">
          <w:rPr>
            <w:noProof/>
            <w:webHidden/>
          </w:rPr>
          <w:fldChar w:fldCharType="separate"/>
        </w:r>
        <w:r w:rsidR="00591119">
          <w:rPr>
            <w:noProof/>
            <w:webHidden/>
          </w:rPr>
          <w:t>6</w:t>
        </w:r>
        <w:r w:rsidR="00591119">
          <w:rPr>
            <w:noProof/>
            <w:webHidden/>
          </w:rPr>
          <w:fldChar w:fldCharType="end"/>
        </w:r>
      </w:hyperlink>
    </w:p>
    <w:p w14:paraId="00A68DCD" w14:textId="6F6F93D2" w:rsidR="00591119" w:rsidRDefault="00591119">
      <w:pPr>
        <w:pStyle w:val="TOC1"/>
        <w:rPr>
          <w:rFonts w:asciiTheme="minorHAnsi" w:eastAsiaTheme="minorEastAsia" w:hAnsiTheme="minorHAnsi" w:cstheme="minorBidi"/>
          <w:noProof/>
          <w:kern w:val="2"/>
          <w:sz w:val="24"/>
          <w14:ligatures w14:val="standardContextual"/>
        </w:rPr>
      </w:pPr>
      <w:hyperlink w:anchor="_Toc216878062" w:history="1">
        <w:r w:rsidRPr="00392747">
          <w:rPr>
            <w:rStyle w:val="Hyperlink"/>
            <w:rFonts w:eastAsia="Calibri"/>
            <w:noProof/>
          </w:rPr>
          <w:t>2.</w:t>
        </w:r>
        <w:r>
          <w:rPr>
            <w:rFonts w:asciiTheme="minorHAnsi" w:eastAsiaTheme="minorEastAsia" w:hAnsiTheme="minorHAnsi" w:cstheme="minorBidi"/>
            <w:noProof/>
            <w:kern w:val="2"/>
            <w:sz w:val="24"/>
            <w14:ligatures w14:val="standardContextual"/>
          </w:rPr>
          <w:tab/>
        </w:r>
        <w:r w:rsidRPr="00392747">
          <w:rPr>
            <w:rStyle w:val="Hyperlink"/>
            <w:rFonts w:eastAsia="Calibri"/>
            <w:noProof/>
          </w:rPr>
          <w:t>Principles and Definitions</w:t>
        </w:r>
        <w:r>
          <w:rPr>
            <w:noProof/>
            <w:webHidden/>
          </w:rPr>
          <w:tab/>
        </w:r>
        <w:r>
          <w:rPr>
            <w:noProof/>
            <w:webHidden/>
          </w:rPr>
          <w:fldChar w:fldCharType="begin"/>
        </w:r>
        <w:r>
          <w:rPr>
            <w:noProof/>
            <w:webHidden/>
          </w:rPr>
          <w:instrText xml:space="preserve"> PAGEREF _Toc216878062 \h </w:instrText>
        </w:r>
        <w:r>
          <w:rPr>
            <w:noProof/>
            <w:webHidden/>
          </w:rPr>
        </w:r>
        <w:r>
          <w:rPr>
            <w:noProof/>
            <w:webHidden/>
          </w:rPr>
          <w:fldChar w:fldCharType="separate"/>
        </w:r>
        <w:r>
          <w:rPr>
            <w:noProof/>
            <w:webHidden/>
          </w:rPr>
          <w:t>7</w:t>
        </w:r>
        <w:r>
          <w:rPr>
            <w:noProof/>
            <w:webHidden/>
          </w:rPr>
          <w:fldChar w:fldCharType="end"/>
        </w:r>
      </w:hyperlink>
    </w:p>
    <w:p w14:paraId="109AA7CD" w14:textId="1FCE2FCC" w:rsidR="00591119" w:rsidRDefault="00591119">
      <w:pPr>
        <w:pStyle w:val="TOC1"/>
        <w:rPr>
          <w:rFonts w:asciiTheme="minorHAnsi" w:eastAsiaTheme="minorEastAsia" w:hAnsiTheme="minorHAnsi" w:cstheme="minorBidi"/>
          <w:noProof/>
          <w:kern w:val="2"/>
          <w:sz w:val="24"/>
          <w14:ligatures w14:val="standardContextual"/>
        </w:rPr>
      </w:pPr>
      <w:hyperlink w:anchor="_Toc216878063" w:history="1">
        <w:r w:rsidRPr="00392747">
          <w:rPr>
            <w:rStyle w:val="Hyperlink"/>
            <w:noProof/>
          </w:rPr>
          <w:t>3.</w:t>
        </w:r>
        <w:r>
          <w:rPr>
            <w:rFonts w:asciiTheme="minorHAnsi" w:eastAsiaTheme="minorEastAsia" w:hAnsiTheme="minorHAnsi" w:cstheme="minorBidi"/>
            <w:noProof/>
            <w:kern w:val="2"/>
            <w:sz w:val="24"/>
            <w14:ligatures w14:val="standardContextual"/>
          </w:rPr>
          <w:tab/>
        </w:r>
        <w:r w:rsidRPr="00392747">
          <w:rPr>
            <w:rStyle w:val="Hyperlink"/>
            <w:noProof/>
          </w:rPr>
          <w:t>Discussion and ERCOT Expectations</w:t>
        </w:r>
        <w:r>
          <w:rPr>
            <w:noProof/>
            <w:webHidden/>
          </w:rPr>
          <w:tab/>
        </w:r>
        <w:r>
          <w:rPr>
            <w:noProof/>
            <w:webHidden/>
          </w:rPr>
          <w:fldChar w:fldCharType="begin"/>
        </w:r>
        <w:r>
          <w:rPr>
            <w:noProof/>
            <w:webHidden/>
          </w:rPr>
          <w:instrText xml:space="preserve"> PAGEREF _Toc216878063 \h </w:instrText>
        </w:r>
        <w:r>
          <w:rPr>
            <w:noProof/>
            <w:webHidden/>
          </w:rPr>
        </w:r>
        <w:r>
          <w:rPr>
            <w:noProof/>
            <w:webHidden/>
          </w:rPr>
          <w:fldChar w:fldCharType="separate"/>
        </w:r>
        <w:r>
          <w:rPr>
            <w:noProof/>
            <w:webHidden/>
          </w:rPr>
          <w:t>9</w:t>
        </w:r>
        <w:r>
          <w:rPr>
            <w:noProof/>
            <w:webHidden/>
          </w:rPr>
          <w:fldChar w:fldCharType="end"/>
        </w:r>
      </w:hyperlink>
    </w:p>
    <w:p w14:paraId="18240B0A" w14:textId="2C0ABD7F" w:rsidR="00591119" w:rsidRDefault="00591119">
      <w:pPr>
        <w:pStyle w:val="TOC2"/>
        <w:rPr>
          <w:rFonts w:asciiTheme="minorHAnsi" w:eastAsiaTheme="minorEastAsia" w:hAnsiTheme="minorHAnsi" w:cstheme="minorBidi"/>
          <w:noProof/>
          <w:kern w:val="2"/>
          <w:sz w:val="24"/>
          <w14:ligatures w14:val="standardContextual"/>
        </w:rPr>
      </w:pPr>
      <w:hyperlink w:anchor="_Toc216878064" w:history="1">
        <w:r w:rsidRPr="00392747">
          <w:rPr>
            <w:rStyle w:val="Hyperlink"/>
            <w:noProof/>
          </w:rPr>
          <w:t>3.1.</w:t>
        </w:r>
        <w:r>
          <w:rPr>
            <w:rFonts w:asciiTheme="minorHAnsi" w:eastAsiaTheme="minorEastAsia" w:hAnsiTheme="minorHAnsi" w:cstheme="minorBidi"/>
            <w:noProof/>
            <w:kern w:val="2"/>
            <w:sz w:val="24"/>
            <w14:ligatures w14:val="standardContextual"/>
          </w:rPr>
          <w:tab/>
        </w:r>
        <w:r w:rsidRPr="00392747">
          <w:rPr>
            <w:rStyle w:val="Hyperlink"/>
            <w:noProof/>
          </w:rPr>
          <w:t>Intermittent Renewable Resources</w:t>
        </w:r>
        <w:r>
          <w:rPr>
            <w:noProof/>
            <w:webHidden/>
          </w:rPr>
          <w:tab/>
        </w:r>
        <w:r>
          <w:rPr>
            <w:noProof/>
            <w:webHidden/>
          </w:rPr>
          <w:fldChar w:fldCharType="begin"/>
        </w:r>
        <w:r>
          <w:rPr>
            <w:noProof/>
            <w:webHidden/>
          </w:rPr>
          <w:instrText xml:space="preserve"> PAGEREF _Toc216878064 \h </w:instrText>
        </w:r>
        <w:r>
          <w:rPr>
            <w:noProof/>
            <w:webHidden/>
          </w:rPr>
        </w:r>
        <w:r>
          <w:rPr>
            <w:noProof/>
            <w:webHidden/>
          </w:rPr>
          <w:fldChar w:fldCharType="separate"/>
        </w:r>
        <w:r>
          <w:rPr>
            <w:noProof/>
            <w:webHidden/>
          </w:rPr>
          <w:t>10</w:t>
        </w:r>
        <w:r>
          <w:rPr>
            <w:noProof/>
            <w:webHidden/>
          </w:rPr>
          <w:fldChar w:fldCharType="end"/>
        </w:r>
      </w:hyperlink>
    </w:p>
    <w:p w14:paraId="39C83A04" w14:textId="3563D328" w:rsidR="00591119" w:rsidRDefault="00591119">
      <w:pPr>
        <w:pStyle w:val="TOC2"/>
        <w:rPr>
          <w:rFonts w:asciiTheme="minorHAnsi" w:eastAsiaTheme="minorEastAsia" w:hAnsiTheme="minorHAnsi" w:cstheme="minorBidi"/>
          <w:noProof/>
          <w:kern w:val="2"/>
          <w:sz w:val="24"/>
          <w14:ligatures w14:val="standardContextual"/>
        </w:rPr>
      </w:pPr>
      <w:hyperlink w:anchor="_Toc216878065" w:history="1">
        <w:r w:rsidRPr="00392747">
          <w:rPr>
            <w:rStyle w:val="Hyperlink"/>
            <w:noProof/>
          </w:rPr>
          <w:t>3.2.</w:t>
        </w:r>
        <w:r>
          <w:rPr>
            <w:rFonts w:asciiTheme="minorHAnsi" w:eastAsiaTheme="minorEastAsia" w:hAnsiTheme="minorHAnsi" w:cstheme="minorBidi"/>
            <w:noProof/>
            <w:kern w:val="2"/>
            <w:sz w:val="24"/>
            <w14:ligatures w14:val="standardContextual"/>
          </w:rPr>
          <w:tab/>
        </w:r>
        <w:r w:rsidRPr="00392747">
          <w:rPr>
            <w:rStyle w:val="Hyperlink"/>
            <w:noProof/>
          </w:rPr>
          <w:t>COP Reporting for Combined Cycle Trains (CCT)</w:t>
        </w:r>
        <w:r>
          <w:rPr>
            <w:noProof/>
            <w:webHidden/>
          </w:rPr>
          <w:tab/>
        </w:r>
        <w:r>
          <w:rPr>
            <w:noProof/>
            <w:webHidden/>
          </w:rPr>
          <w:fldChar w:fldCharType="begin"/>
        </w:r>
        <w:r>
          <w:rPr>
            <w:noProof/>
            <w:webHidden/>
          </w:rPr>
          <w:instrText xml:space="preserve"> PAGEREF _Toc216878065 \h </w:instrText>
        </w:r>
        <w:r>
          <w:rPr>
            <w:noProof/>
            <w:webHidden/>
          </w:rPr>
        </w:r>
        <w:r>
          <w:rPr>
            <w:noProof/>
            <w:webHidden/>
          </w:rPr>
          <w:fldChar w:fldCharType="separate"/>
        </w:r>
        <w:r>
          <w:rPr>
            <w:noProof/>
            <w:webHidden/>
          </w:rPr>
          <w:t>12</w:t>
        </w:r>
        <w:r>
          <w:rPr>
            <w:noProof/>
            <w:webHidden/>
          </w:rPr>
          <w:fldChar w:fldCharType="end"/>
        </w:r>
      </w:hyperlink>
    </w:p>
    <w:p w14:paraId="51667033" w14:textId="493C44E6" w:rsidR="00591119" w:rsidRDefault="00591119">
      <w:pPr>
        <w:pStyle w:val="TOC2"/>
        <w:rPr>
          <w:rFonts w:asciiTheme="minorHAnsi" w:eastAsiaTheme="minorEastAsia" w:hAnsiTheme="minorHAnsi" w:cstheme="minorBidi"/>
          <w:noProof/>
          <w:kern w:val="2"/>
          <w:sz w:val="24"/>
          <w14:ligatures w14:val="standardContextual"/>
        </w:rPr>
      </w:pPr>
      <w:hyperlink w:anchor="_Toc216878066" w:history="1">
        <w:r w:rsidRPr="00392747">
          <w:rPr>
            <w:rStyle w:val="Hyperlink"/>
            <w:noProof/>
          </w:rPr>
          <w:t>3.3.</w:t>
        </w:r>
        <w:r>
          <w:rPr>
            <w:rFonts w:asciiTheme="minorHAnsi" w:eastAsiaTheme="minorEastAsia" w:hAnsiTheme="minorHAnsi" w:cstheme="minorBidi"/>
            <w:noProof/>
            <w:kern w:val="2"/>
            <w:sz w:val="24"/>
            <w14:ligatures w14:val="standardContextual"/>
          </w:rPr>
          <w:tab/>
        </w:r>
        <w:r w:rsidRPr="00392747">
          <w:rPr>
            <w:rStyle w:val="Hyperlink"/>
            <w:noProof/>
          </w:rPr>
          <w:t>RUC-Committed Resources</w:t>
        </w:r>
        <w:r>
          <w:rPr>
            <w:noProof/>
            <w:webHidden/>
          </w:rPr>
          <w:tab/>
        </w:r>
        <w:r>
          <w:rPr>
            <w:noProof/>
            <w:webHidden/>
          </w:rPr>
          <w:fldChar w:fldCharType="begin"/>
        </w:r>
        <w:r>
          <w:rPr>
            <w:noProof/>
            <w:webHidden/>
          </w:rPr>
          <w:instrText xml:space="preserve"> PAGEREF _Toc216878066 \h </w:instrText>
        </w:r>
        <w:r>
          <w:rPr>
            <w:noProof/>
            <w:webHidden/>
          </w:rPr>
        </w:r>
        <w:r>
          <w:rPr>
            <w:noProof/>
            <w:webHidden/>
          </w:rPr>
          <w:fldChar w:fldCharType="separate"/>
        </w:r>
        <w:r>
          <w:rPr>
            <w:noProof/>
            <w:webHidden/>
          </w:rPr>
          <w:t>13</w:t>
        </w:r>
        <w:r>
          <w:rPr>
            <w:noProof/>
            <w:webHidden/>
          </w:rPr>
          <w:fldChar w:fldCharType="end"/>
        </w:r>
      </w:hyperlink>
    </w:p>
    <w:p w14:paraId="61EB3449" w14:textId="3A98B3B8" w:rsidR="00591119" w:rsidRDefault="00591119">
      <w:pPr>
        <w:pStyle w:val="TOC2"/>
        <w:rPr>
          <w:rFonts w:asciiTheme="minorHAnsi" w:eastAsiaTheme="minorEastAsia" w:hAnsiTheme="minorHAnsi" w:cstheme="minorBidi"/>
          <w:noProof/>
          <w:kern w:val="2"/>
          <w:sz w:val="24"/>
          <w14:ligatures w14:val="standardContextual"/>
        </w:rPr>
      </w:pPr>
      <w:hyperlink w:anchor="_Toc216878067" w:history="1">
        <w:r w:rsidRPr="00392747">
          <w:rPr>
            <w:rStyle w:val="Hyperlink"/>
            <w:noProof/>
          </w:rPr>
          <w:t>3.4.</w:t>
        </w:r>
        <w:r>
          <w:rPr>
            <w:rFonts w:asciiTheme="minorHAnsi" w:eastAsiaTheme="minorEastAsia" w:hAnsiTheme="minorHAnsi" w:cstheme="minorBidi"/>
            <w:noProof/>
            <w:kern w:val="2"/>
            <w:sz w:val="24"/>
            <w14:ligatures w14:val="standardContextual"/>
          </w:rPr>
          <w:tab/>
        </w:r>
        <w:r w:rsidRPr="00392747">
          <w:rPr>
            <w:rStyle w:val="Hyperlink"/>
            <w:noProof/>
          </w:rPr>
          <w:t>Reliability Must Run Resources</w:t>
        </w:r>
        <w:r>
          <w:rPr>
            <w:noProof/>
            <w:webHidden/>
          </w:rPr>
          <w:tab/>
        </w:r>
        <w:r>
          <w:rPr>
            <w:noProof/>
            <w:webHidden/>
          </w:rPr>
          <w:fldChar w:fldCharType="begin"/>
        </w:r>
        <w:r>
          <w:rPr>
            <w:noProof/>
            <w:webHidden/>
          </w:rPr>
          <w:instrText xml:space="preserve"> PAGEREF _Toc216878067 \h </w:instrText>
        </w:r>
        <w:r>
          <w:rPr>
            <w:noProof/>
            <w:webHidden/>
          </w:rPr>
        </w:r>
        <w:r>
          <w:rPr>
            <w:noProof/>
            <w:webHidden/>
          </w:rPr>
          <w:fldChar w:fldCharType="separate"/>
        </w:r>
        <w:r>
          <w:rPr>
            <w:noProof/>
            <w:webHidden/>
          </w:rPr>
          <w:t>13</w:t>
        </w:r>
        <w:r>
          <w:rPr>
            <w:noProof/>
            <w:webHidden/>
          </w:rPr>
          <w:fldChar w:fldCharType="end"/>
        </w:r>
      </w:hyperlink>
    </w:p>
    <w:p w14:paraId="1741B39B" w14:textId="43687811" w:rsidR="00591119" w:rsidRDefault="00591119">
      <w:pPr>
        <w:pStyle w:val="TOC2"/>
        <w:rPr>
          <w:rFonts w:asciiTheme="minorHAnsi" w:eastAsiaTheme="minorEastAsia" w:hAnsiTheme="minorHAnsi" w:cstheme="minorBidi"/>
          <w:noProof/>
          <w:kern w:val="2"/>
          <w:sz w:val="24"/>
          <w14:ligatures w14:val="standardContextual"/>
        </w:rPr>
      </w:pPr>
      <w:hyperlink w:anchor="_Toc216878068" w:history="1">
        <w:r w:rsidRPr="00392747">
          <w:rPr>
            <w:rStyle w:val="Hyperlink"/>
            <w:noProof/>
          </w:rPr>
          <w:t>3.5.</w:t>
        </w:r>
        <w:r>
          <w:rPr>
            <w:rFonts w:asciiTheme="minorHAnsi" w:eastAsiaTheme="minorEastAsia" w:hAnsiTheme="minorHAnsi" w:cstheme="minorBidi"/>
            <w:noProof/>
            <w:kern w:val="2"/>
            <w:sz w:val="24"/>
            <w14:ligatures w14:val="standardContextual"/>
          </w:rPr>
          <w:tab/>
        </w:r>
        <w:r w:rsidRPr="00392747">
          <w:rPr>
            <w:rStyle w:val="Hyperlink"/>
            <w:noProof/>
          </w:rPr>
          <w:t>Quick Start Generation Resources Available For Deployment by SCED</w:t>
        </w:r>
        <w:r>
          <w:rPr>
            <w:noProof/>
            <w:webHidden/>
          </w:rPr>
          <w:tab/>
        </w:r>
        <w:r>
          <w:rPr>
            <w:noProof/>
            <w:webHidden/>
          </w:rPr>
          <w:fldChar w:fldCharType="begin"/>
        </w:r>
        <w:r>
          <w:rPr>
            <w:noProof/>
            <w:webHidden/>
          </w:rPr>
          <w:instrText xml:space="preserve"> PAGEREF _Toc216878068 \h </w:instrText>
        </w:r>
        <w:r>
          <w:rPr>
            <w:noProof/>
            <w:webHidden/>
          </w:rPr>
        </w:r>
        <w:r>
          <w:rPr>
            <w:noProof/>
            <w:webHidden/>
          </w:rPr>
          <w:fldChar w:fldCharType="separate"/>
        </w:r>
        <w:r>
          <w:rPr>
            <w:noProof/>
            <w:webHidden/>
          </w:rPr>
          <w:t>14</w:t>
        </w:r>
        <w:r>
          <w:rPr>
            <w:noProof/>
            <w:webHidden/>
          </w:rPr>
          <w:fldChar w:fldCharType="end"/>
        </w:r>
      </w:hyperlink>
    </w:p>
    <w:p w14:paraId="4E94080A" w14:textId="4D621CE5" w:rsidR="00591119" w:rsidRDefault="00591119">
      <w:pPr>
        <w:pStyle w:val="TOC2"/>
        <w:rPr>
          <w:rFonts w:asciiTheme="minorHAnsi" w:eastAsiaTheme="minorEastAsia" w:hAnsiTheme="minorHAnsi" w:cstheme="minorBidi"/>
          <w:noProof/>
          <w:kern w:val="2"/>
          <w:sz w:val="24"/>
          <w14:ligatures w14:val="standardContextual"/>
        </w:rPr>
      </w:pPr>
      <w:hyperlink w:anchor="_Toc216878069" w:history="1">
        <w:r w:rsidRPr="00392747">
          <w:rPr>
            <w:rStyle w:val="Hyperlink"/>
            <w:noProof/>
          </w:rPr>
          <w:t>3.6.</w:t>
        </w:r>
        <w:r>
          <w:rPr>
            <w:rFonts w:asciiTheme="minorHAnsi" w:eastAsiaTheme="minorEastAsia" w:hAnsiTheme="minorHAnsi" w:cstheme="minorBidi"/>
            <w:noProof/>
            <w:kern w:val="2"/>
            <w:sz w:val="24"/>
            <w14:ligatures w14:val="standardContextual"/>
          </w:rPr>
          <w:tab/>
        </w:r>
        <w:r w:rsidRPr="00392747">
          <w:rPr>
            <w:rStyle w:val="Hyperlink"/>
            <w:noProof/>
          </w:rPr>
          <w:t>Switchable Generation Resources</w:t>
        </w:r>
        <w:r>
          <w:rPr>
            <w:noProof/>
            <w:webHidden/>
          </w:rPr>
          <w:tab/>
        </w:r>
        <w:r>
          <w:rPr>
            <w:noProof/>
            <w:webHidden/>
          </w:rPr>
          <w:fldChar w:fldCharType="begin"/>
        </w:r>
        <w:r>
          <w:rPr>
            <w:noProof/>
            <w:webHidden/>
          </w:rPr>
          <w:instrText xml:space="preserve"> PAGEREF _Toc216878069 \h </w:instrText>
        </w:r>
        <w:r>
          <w:rPr>
            <w:noProof/>
            <w:webHidden/>
          </w:rPr>
        </w:r>
        <w:r>
          <w:rPr>
            <w:noProof/>
            <w:webHidden/>
          </w:rPr>
          <w:fldChar w:fldCharType="separate"/>
        </w:r>
        <w:r>
          <w:rPr>
            <w:noProof/>
            <w:webHidden/>
          </w:rPr>
          <w:t>15</w:t>
        </w:r>
        <w:r>
          <w:rPr>
            <w:noProof/>
            <w:webHidden/>
          </w:rPr>
          <w:fldChar w:fldCharType="end"/>
        </w:r>
      </w:hyperlink>
    </w:p>
    <w:p w14:paraId="20055375" w14:textId="0EEACF3B" w:rsidR="00591119" w:rsidRDefault="00591119">
      <w:pPr>
        <w:pStyle w:val="TOC2"/>
        <w:rPr>
          <w:rFonts w:asciiTheme="minorHAnsi" w:eastAsiaTheme="minorEastAsia" w:hAnsiTheme="minorHAnsi" w:cstheme="minorBidi"/>
          <w:noProof/>
          <w:kern w:val="2"/>
          <w:sz w:val="24"/>
          <w14:ligatures w14:val="standardContextual"/>
        </w:rPr>
      </w:pPr>
      <w:hyperlink w:anchor="_Toc216878070" w:history="1">
        <w:r w:rsidRPr="00392747">
          <w:rPr>
            <w:rStyle w:val="Hyperlink"/>
            <w:noProof/>
          </w:rPr>
          <w:t>3.7.</w:t>
        </w:r>
        <w:r>
          <w:rPr>
            <w:rFonts w:asciiTheme="minorHAnsi" w:eastAsiaTheme="minorEastAsia" w:hAnsiTheme="minorHAnsi" w:cstheme="minorBidi"/>
            <w:noProof/>
            <w:kern w:val="2"/>
            <w:sz w:val="24"/>
            <w14:ligatures w14:val="standardContextual"/>
          </w:rPr>
          <w:tab/>
        </w:r>
        <w:r w:rsidRPr="00392747">
          <w:rPr>
            <w:rStyle w:val="Hyperlink"/>
            <w:noProof/>
          </w:rPr>
          <w:t>Energy Storage Resources</w:t>
        </w:r>
        <w:r>
          <w:rPr>
            <w:noProof/>
            <w:webHidden/>
          </w:rPr>
          <w:tab/>
        </w:r>
        <w:r>
          <w:rPr>
            <w:noProof/>
            <w:webHidden/>
          </w:rPr>
          <w:fldChar w:fldCharType="begin"/>
        </w:r>
        <w:r>
          <w:rPr>
            <w:noProof/>
            <w:webHidden/>
          </w:rPr>
          <w:instrText xml:space="preserve"> PAGEREF _Toc216878070 \h </w:instrText>
        </w:r>
        <w:r>
          <w:rPr>
            <w:noProof/>
            <w:webHidden/>
          </w:rPr>
        </w:r>
        <w:r>
          <w:rPr>
            <w:noProof/>
            <w:webHidden/>
          </w:rPr>
          <w:fldChar w:fldCharType="separate"/>
        </w:r>
        <w:r>
          <w:rPr>
            <w:noProof/>
            <w:webHidden/>
          </w:rPr>
          <w:t>17</w:t>
        </w:r>
        <w:r>
          <w:rPr>
            <w:noProof/>
            <w:webHidden/>
          </w:rPr>
          <w:fldChar w:fldCharType="end"/>
        </w:r>
      </w:hyperlink>
    </w:p>
    <w:p w14:paraId="075F7198" w14:textId="269A4639" w:rsidR="00591119" w:rsidRDefault="00591119">
      <w:pPr>
        <w:pStyle w:val="TOC1"/>
        <w:rPr>
          <w:rFonts w:asciiTheme="minorHAnsi" w:eastAsiaTheme="minorEastAsia" w:hAnsiTheme="minorHAnsi" w:cstheme="minorBidi"/>
          <w:noProof/>
          <w:kern w:val="2"/>
          <w:sz w:val="24"/>
          <w14:ligatures w14:val="standardContextual"/>
        </w:rPr>
      </w:pPr>
      <w:hyperlink w:anchor="_Toc216878071" w:history="1">
        <w:r w:rsidRPr="00392747">
          <w:rPr>
            <w:rStyle w:val="Hyperlink"/>
            <w:noProof/>
          </w:rPr>
          <w:t>4.</w:t>
        </w:r>
        <w:r>
          <w:rPr>
            <w:rFonts w:asciiTheme="minorHAnsi" w:eastAsiaTheme="minorEastAsia" w:hAnsiTheme="minorHAnsi" w:cstheme="minorBidi"/>
            <w:noProof/>
            <w:kern w:val="2"/>
            <w:sz w:val="24"/>
            <w14:ligatures w14:val="standardContextual"/>
          </w:rPr>
          <w:tab/>
        </w:r>
        <w:r w:rsidRPr="00392747">
          <w:rPr>
            <w:rStyle w:val="Hyperlink"/>
            <w:noProof/>
          </w:rPr>
          <w:t>Appendix I – MMS System Generated Notices</w:t>
        </w:r>
        <w:r>
          <w:rPr>
            <w:noProof/>
            <w:webHidden/>
          </w:rPr>
          <w:tab/>
        </w:r>
        <w:r>
          <w:rPr>
            <w:noProof/>
            <w:webHidden/>
          </w:rPr>
          <w:fldChar w:fldCharType="begin"/>
        </w:r>
        <w:r>
          <w:rPr>
            <w:noProof/>
            <w:webHidden/>
          </w:rPr>
          <w:instrText xml:space="preserve"> PAGEREF _Toc216878071 \h </w:instrText>
        </w:r>
        <w:r>
          <w:rPr>
            <w:noProof/>
            <w:webHidden/>
          </w:rPr>
        </w:r>
        <w:r>
          <w:rPr>
            <w:noProof/>
            <w:webHidden/>
          </w:rPr>
          <w:fldChar w:fldCharType="separate"/>
        </w:r>
        <w:r>
          <w:rPr>
            <w:noProof/>
            <w:webHidden/>
          </w:rPr>
          <w:t>19</w:t>
        </w:r>
        <w:r>
          <w:rPr>
            <w:noProof/>
            <w:webHidden/>
          </w:rPr>
          <w:fldChar w:fldCharType="end"/>
        </w:r>
      </w:hyperlink>
    </w:p>
    <w:p w14:paraId="5A73D304" w14:textId="77777777" w:rsidR="00A02DD3" w:rsidRDefault="00604CB9">
      <w:r w:rsidRPr="00802D95">
        <w:rPr>
          <w:rStyle w:val="Hyperlink"/>
          <w:noProof/>
          <w:sz w:val="28"/>
          <w:szCs w:val="28"/>
        </w:rPr>
        <w:fldChar w:fldCharType="end"/>
      </w:r>
    </w:p>
    <w:p w14:paraId="2873284E" w14:textId="77777777" w:rsidR="00AF11EA" w:rsidRDefault="00AF11EA">
      <w:pPr>
        <w:sectPr w:rsidR="00AF11EA" w:rsidSect="00AF11EA">
          <w:footerReference w:type="default" r:id="rId17"/>
          <w:pgSz w:w="12240" w:h="15840"/>
          <w:pgMar w:top="1440" w:right="1440" w:bottom="1440" w:left="1440" w:header="720" w:footer="720" w:gutter="0"/>
          <w:pgNumType w:fmt="lowerRoman"/>
          <w:cols w:space="720"/>
          <w:docGrid w:linePitch="360"/>
        </w:sectPr>
      </w:pPr>
      <w:bookmarkStart w:id="0" w:name="_Toc85343426"/>
      <w:bookmarkStart w:id="1" w:name="_Toc85343436"/>
      <w:bookmarkStart w:id="2" w:name="_Toc85343437"/>
      <w:bookmarkStart w:id="3" w:name="_Toc85343438"/>
      <w:bookmarkStart w:id="4" w:name="_Toc85343439"/>
      <w:bookmarkStart w:id="5" w:name="_Toc85343440"/>
      <w:bookmarkStart w:id="6" w:name="_Toc85343441"/>
      <w:bookmarkStart w:id="7" w:name="_Toc85343442"/>
      <w:bookmarkStart w:id="8" w:name="_Toc85343444"/>
      <w:bookmarkStart w:id="9" w:name="_Toc85343445"/>
      <w:bookmarkStart w:id="10" w:name="_Toc85343448"/>
      <w:bookmarkStart w:id="11" w:name="_Toc85343449"/>
      <w:bookmarkStart w:id="12" w:name="_Toc85343454"/>
      <w:bookmarkStart w:id="13" w:name="_Toc85343459"/>
      <w:bookmarkStart w:id="14" w:name="_Toc85343460"/>
      <w:bookmarkStart w:id="15" w:name="_Toc85343461"/>
      <w:bookmarkStart w:id="16" w:name="_Toc85343463"/>
      <w:bookmarkStart w:id="17" w:name="_Toc85343464"/>
      <w:bookmarkStart w:id="18" w:name="_Toc85343465"/>
      <w:bookmarkStart w:id="19" w:name="_Toc85343466"/>
      <w:bookmarkStart w:id="20" w:name="_Toc85343467"/>
      <w:bookmarkStart w:id="21" w:name="_Toc85343468"/>
      <w:bookmarkStart w:id="22" w:name="_Toc85343469"/>
      <w:bookmarkStart w:id="23" w:name="_Toc85343471"/>
      <w:bookmarkStart w:id="24" w:name="_Toc85343474"/>
      <w:bookmarkStart w:id="25" w:name="_Toc85343479"/>
      <w:bookmarkStart w:id="26" w:name="_Toc85343483"/>
      <w:bookmarkStart w:id="27" w:name="_Toc85343485"/>
      <w:bookmarkStart w:id="28" w:name="_Toc85343487"/>
      <w:bookmarkStart w:id="29" w:name="_Toc85343488"/>
      <w:bookmarkStart w:id="30" w:name="_Toc85343493"/>
      <w:bookmarkStart w:id="31" w:name="_Toc85343494"/>
      <w:bookmarkStart w:id="32" w:name="_Toc85343512"/>
      <w:bookmarkStart w:id="33" w:name="_Toc85343519"/>
      <w:bookmarkStart w:id="34" w:name="_Toc85343522"/>
      <w:bookmarkStart w:id="35" w:name="_Toc85343525"/>
      <w:bookmarkStart w:id="36" w:name="_Toc85343526"/>
      <w:bookmarkStart w:id="37" w:name="_Toc85343527"/>
      <w:bookmarkStart w:id="38" w:name="_Toc85343528"/>
      <w:bookmarkStart w:id="39" w:name="_Toc85343536"/>
      <w:bookmarkStart w:id="40" w:name="_Toc85343538"/>
      <w:bookmarkStart w:id="41" w:name="_Toc85343539"/>
      <w:bookmarkStart w:id="42" w:name="_Toc85343540"/>
      <w:bookmarkStart w:id="43" w:name="_Toc85343542"/>
      <w:bookmarkStart w:id="44" w:name="_Toc85343543"/>
      <w:bookmarkStart w:id="45" w:name="_Toc85343544"/>
      <w:bookmarkStart w:id="46" w:name="_Toc85343554"/>
      <w:bookmarkStart w:id="47" w:name="_Toc85343555"/>
      <w:bookmarkStart w:id="48" w:name="_Toc85343559"/>
      <w:bookmarkStart w:id="49" w:name="_Toc85343560"/>
      <w:bookmarkStart w:id="50" w:name="_Toc85343561"/>
      <w:bookmarkStart w:id="51" w:name="_Toc85343562"/>
      <w:bookmarkStart w:id="52" w:name="_Toc85343564"/>
      <w:bookmarkStart w:id="53" w:name="_Toc85343565"/>
      <w:bookmarkStart w:id="54" w:name="_Toc85343566"/>
      <w:bookmarkStart w:id="55" w:name="_Toc85343567"/>
      <w:bookmarkStart w:id="56" w:name="_Toc85343569"/>
      <w:bookmarkStart w:id="57" w:name="_Toc85343570"/>
      <w:bookmarkStart w:id="58" w:name="_Toc85343571"/>
      <w:bookmarkStart w:id="59" w:name="_Toc85343572"/>
      <w:bookmarkStart w:id="60" w:name="_Toc85343574"/>
      <w:bookmarkStart w:id="61" w:name="_Toc85343575"/>
      <w:bookmarkStart w:id="62" w:name="_Toc85343576"/>
      <w:bookmarkStart w:id="63" w:name="_Toc85343577"/>
      <w:bookmarkStart w:id="64" w:name="_Toc85343593"/>
      <w:bookmarkStart w:id="65" w:name="_Toc85343609"/>
      <w:bookmarkStart w:id="66" w:name="_Toc85343626"/>
      <w:bookmarkStart w:id="67" w:name="_Toc85343643"/>
      <w:bookmarkStart w:id="68" w:name="_Toc85343645"/>
      <w:bookmarkStart w:id="69" w:name="_Toc85343647"/>
      <w:bookmarkStart w:id="70" w:name="_Toc85343652"/>
      <w:bookmarkStart w:id="71" w:name="_Toc85343656"/>
      <w:bookmarkStart w:id="72" w:name="_Toc85343662"/>
      <w:bookmarkStart w:id="73" w:name="_Toc85343664"/>
      <w:bookmarkStart w:id="74" w:name="_Toc85343665"/>
      <w:bookmarkStart w:id="75" w:name="_Toc85343666"/>
      <w:bookmarkStart w:id="76" w:name="_Toc85343669"/>
      <w:bookmarkStart w:id="77" w:name="_Toc85343670"/>
      <w:bookmarkStart w:id="78" w:name="_Toc85343671"/>
      <w:bookmarkStart w:id="79" w:name="_Toc85343673"/>
      <w:bookmarkStart w:id="80" w:name="_Toc85343674"/>
      <w:bookmarkStart w:id="81" w:name="_Toc85343676"/>
      <w:bookmarkStart w:id="82" w:name="_Toc85343677"/>
      <w:bookmarkStart w:id="83" w:name="_Toc85343680"/>
      <w:bookmarkStart w:id="84" w:name="_Toc85343681"/>
      <w:bookmarkStart w:id="85" w:name="_Toc85343682"/>
      <w:bookmarkStart w:id="86" w:name="_Toc85343683"/>
      <w:bookmarkStart w:id="87" w:name="_Toc85343686"/>
      <w:bookmarkStart w:id="88" w:name="_Toc85343691"/>
      <w:bookmarkStart w:id="89" w:name="_Toc85343693"/>
      <w:bookmarkStart w:id="90" w:name="_Toc85343694"/>
      <w:bookmarkStart w:id="91" w:name="_Toc85343696"/>
      <w:bookmarkStart w:id="92" w:name="_Toc85343710"/>
      <w:bookmarkStart w:id="93" w:name="_Toc85343719"/>
      <w:bookmarkStart w:id="94" w:name="_Toc85343763"/>
      <w:bookmarkStart w:id="95" w:name="_Toc85343764"/>
      <w:bookmarkStart w:id="96" w:name="_Toc85343765"/>
      <w:bookmarkStart w:id="97" w:name="_Toc85343812"/>
      <w:bookmarkStart w:id="98" w:name="_Toc85343829"/>
      <w:bookmarkStart w:id="99" w:name="_Toc85343846"/>
      <w:bookmarkStart w:id="100" w:name="_Toc85343863"/>
      <w:bookmarkStart w:id="101" w:name="_Toc85343904"/>
      <w:bookmarkStart w:id="102" w:name="_Toc85343914"/>
      <w:bookmarkStart w:id="103" w:name="_Toc85343930"/>
      <w:bookmarkStart w:id="104" w:name="_Toc85343958"/>
      <w:bookmarkStart w:id="105" w:name="_Toc85343963"/>
      <w:bookmarkStart w:id="106" w:name="_Toc85343968"/>
      <w:bookmarkStart w:id="107" w:name="_Toc85343973"/>
      <w:bookmarkStart w:id="108" w:name="_Toc85343978"/>
      <w:bookmarkStart w:id="109" w:name="_Toc85344012"/>
      <w:bookmarkStart w:id="110" w:name="_Toc85344025"/>
      <w:bookmarkStart w:id="111" w:name="_Toc85344029"/>
      <w:bookmarkStart w:id="112" w:name="_Toc85344040"/>
      <w:bookmarkStart w:id="113" w:name="_Toc85344068"/>
      <w:bookmarkStart w:id="114" w:name="_Toc85344084"/>
      <w:bookmarkStart w:id="115" w:name="_Toc85344089"/>
      <w:bookmarkStart w:id="116" w:name="_Toc85344094"/>
      <w:bookmarkStart w:id="117" w:name="_Toc85344099"/>
      <w:bookmarkStart w:id="118" w:name="_Toc85344104"/>
      <w:bookmarkStart w:id="119" w:name="_Toc85344137"/>
      <w:bookmarkStart w:id="120" w:name="_Toc85344150"/>
      <w:bookmarkStart w:id="121" w:name="_Toc85344154"/>
      <w:bookmarkStart w:id="122" w:name="_Toc85344157"/>
      <w:bookmarkStart w:id="123" w:name="_Toc85344189"/>
      <w:bookmarkStart w:id="124" w:name="_Toc85344202"/>
      <w:bookmarkStart w:id="125" w:name="_Toc85344206"/>
      <w:bookmarkStart w:id="126" w:name="_Toc85344210"/>
      <w:bookmarkStart w:id="127" w:name="_Toc85344214"/>
      <w:bookmarkStart w:id="128" w:name="_Toc85344218"/>
      <w:bookmarkStart w:id="129" w:name="_Toc85344223"/>
      <w:bookmarkStart w:id="130" w:name="_Toc85344224"/>
      <w:bookmarkStart w:id="131" w:name="_Toc85344226"/>
      <w:bookmarkStart w:id="132" w:name="_Toc85344234"/>
      <w:bookmarkStart w:id="133" w:name="_Toc85344264"/>
      <w:bookmarkStart w:id="134" w:name="_Toc85344270"/>
      <w:bookmarkStart w:id="135" w:name="_Toc85344280"/>
      <w:bookmarkStart w:id="136" w:name="_Toc85344290"/>
      <w:bookmarkStart w:id="137" w:name="_Toc85344306"/>
      <w:bookmarkStart w:id="138" w:name="_Toc85344307"/>
      <w:bookmarkStart w:id="139" w:name="_Toc85344308"/>
      <w:bookmarkStart w:id="140" w:name="_Toc85344309"/>
      <w:bookmarkStart w:id="141" w:name="_Toc85344310"/>
      <w:bookmarkStart w:id="142" w:name="_Toc85344311"/>
      <w:bookmarkStart w:id="143" w:name="_Toc85344312"/>
      <w:bookmarkStart w:id="144" w:name="_Toc85344313"/>
      <w:bookmarkStart w:id="145" w:name="_Toc85344315"/>
      <w:bookmarkStart w:id="146" w:name="_Toc85344316"/>
      <w:bookmarkStart w:id="147" w:name="_Toc85344324"/>
      <w:bookmarkStart w:id="148" w:name="_Toc85344329"/>
      <w:bookmarkStart w:id="149" w:name="_Toc85344330"/>
      <w:bookmarkStart w:id="150" w:name="_Toc85344331"/>
      <w:bookmarkStart w:id="151" w:name="_Toc85344342"/>
      <w:bookmarkStart w:id="152" w:name="_Toc85344350"/>
      <w:bookmarkStart w:id="153" w:name="_Toc85344376"/>
      <w:bookmarkStart w:id="154" w:name="_Toc85344382"/>
      <w:bookmarkStart w:id="155" w:name="_Toc85344386"/>
      <w:bookmarkStart w:id="156" w:name="_Toc85344387"/>
      <w:bookmarkStart w:id="157" w:name="_Toc85344388"/>
      <w:bookmarkStart w:id="158" w:name="_Toc85344389"/>
      <w:bookmarkStart w:id="159" w:name="_Toc85344391"/>
      <w:bookmarkStart w:id="160" w:name="_Toc85344406"/>
      <w:bookmarkStart w:id="161" w:name="_Toc85344409"/>
      <w:bookmarkStart w:id="162" w:name="_Toc85344412"/>
      <w:bookmarkStart w:id="163" w:name="_Toc85344413"/>
      <w:bookmarkStart w:id="164" w:name="_Toc85344419"/>
      <w:bookmarkStart w:id="165" w:name="_Toc85344421"/>
      <w:bookmarkStart w:id="166" w:name="_Toc85344447"/>
      <w:bookmarkStart w:id="167" w:name="_Toc85344453"/>
      <w:bookmarkStart w:id="168" w:name="_Toc85344457"/>
      <w:bookmarkStart w:id="169" w:name="_Toc85344459"/>
      <w:bookmarkStart w:id="170" w:name="_Toc85344476"/>
      <w:bookmarkStart w:id="171" w:name="_Toc85344480"/>
      <w:bookmarkStart w:id="172" w:name="_Toc85344487"/>
      <w:bookmarkStart w:id="173" w:name="_Toc85344492"/>
      <w:bookmarkStart w:id="174" w:name="_Toc85344494"/>
      <w:bookmarkStart w:id="175" w:name="_Toc85344495"/>
      <w:bookmarkStart w:id="176" w:name="_Toc85344497"/>
      <w:bookmarkStart w:id="177" w:name="_Toc85344498"/>
      <w:bookmarkStart w:id="178" w:name="_Toc85344501"/>
      <w:bookmarkStart w:id="179" w:name="_Toc85344502"/>
      <w:bookmarkStart w:id="180" w:name="_Toc85344503"/>
      <w:bookmarkStart w:id="181" w:name="_Toc85344504"/>
      <w:bookmarkStart w:id="182" w:name="_Toc85344507"/>
      <w:bookmarkStart w:id="183" w:name="_Toc85344508"/>
      <w:bookmarkStart w:id="184" w:name="_Toc85344509"/>
      <w:bookmarkStart w:id="185" w:name="_Toc85344512"/>
      <w:bookmarkStart w:id="186" w:name="_Toc85344530"/>
      <w:bookmarkStart w:id="187" w:name="_Toc85344543"/>
      <w:bookmarkStart w:id="188" w:name="_Toc85344546"/>
      <w:bookmarkStart w:id="189" w:name="_Toc85344547"/>
      <w:bookmarkStart w:id="190" w:name="_Toc85344548"/>
      <w:bookmarkStart w:id="191" w:name="_Toc85344562"/>
      <w:bookmarkStart w:id="192" w:name="_Toc85344576"/>
      <w:bookmarkStart w:id="193" w:name="_Toc85344577"/>
      <w:bookmarkStart w:id="194" w:name="_Toc85344578"/>
      <w:bookmarkStart w:id="195" w:name="_Toc85344580"/>
      <w:bookmarkStart w:id="196" w:name="_Toc85344581"/>
      <w:bookmarkStart w:id="197" w:name="_Toc85344583"/>
      <w:bookmarkStart w:id="198" w:name="_Toc85344588"/>
      <w:bookmarkStart w:id="199" w:name="_Toc85344592"/>
      <w:bookmarkStart w:id="200" w:name="_Toc85344593"/>
      <w:bookmarkStart w:id="201" w:name="_Toc85344605"/>
      <w:bookmarkStart w:id="202" w:name="_Toc85344606"/>
      <w:bookmarkStart w:id="203" w:name="_Toc85344608"/>
      <w:bookmarkStart w:id="204" w:name="_Toc85344609"/>
      <w:bookmarkStart w:id="205" w:name="_Toc85344610"/>
      <w:bookmarkStart w:id="206" w:name="_Toc85344622"/>
      <w:bookmarkStart w:id="207" w:name="_Toc85344623"/>
      <w:bookmarkStart w:id="208" w:name="_Toc85344624"/>
      <w:bookmarkStart w:id="209" w:name="_Toc85344633"/>
      <w:bookmarkStart w:id="210" w:name="_Toc85344634"/>
      <w:bookmarkStart w:id="211" w:name="_Toc85344647"/>
      <w:bookmarkStart w:id="212" w:name="_Toc85344658"/>
      <w:bookmarkStart w:id="213" w:name="_Toc85344660"/>
      <w:bookmarkStart w:id="214" w:name="_Toc85344661"/>
      <w:bookmarkStart w:id="215" w:name="_Toc85344662"/>
      <w:bookmarkStart w:id="216" w:name="_Toc85344667"/>
      <w:bookmarkStart w:id="217" w:name="_Toc85344668"/>
      <w:bookmarkStart w:id="218" w:name="_Toc85344679"/>
      <w:bookmarkStart w:id="219" w:name="_Toc85344681"/>
      <w:bookmarkStart w:id="220" w:name="_Toc85344682"/>
      <w:bookmarkStart w:id="221" w:name="_Toc85344715"/>
      <w:bookmarkStart w:id="222" w:name="_Toc85344716"/>
      <w:bookmarkStart w:id="223" w:name="_Toc85344735"/>
      <w:bookmarkStart w:id="224" w:name="_Toc85344749"/>
      <w:bookmarkStart w:id="225" w:name="_Toc85344750"/>
      <w:bookmarkStart w:id="226" w:name="_Toc85344769"/>
      <w:bookmarkStart w:id="227" w:name="_Toc85344781"/>
      <w:bookmarkStart w:id="228" w:name="_Toc85344786"/>
      <w:bookmarkStart w:id="229" w:name="_Toc85344788"/>
      <w:bookmarkStart w:id="230" w:name="_Toc85344790"/>
      <w:bookmarkStart w:id="231" w:name="_Toc85344793"/>
      <w:bookmarkStart w:id="232" w:name="_Toc85344811"/>
      <w:bookmarkStart w:id="233" w:name="_Toc85344825"/>
      <w:bookmarkStart w:id="234" w:name="_Toc85344836"/>
      <w:bookmarkStart w:id="235" w:name="_Toc85344865"/>
      <w:bookmarkStart w:id="236" w:name="_Toc85344866"/>
      <w:bookmarkStart w:id="237" w:name="_Toc85344880"/>
      <w:bookmarkStart w:id="238" w:name="_Toc85344884"/>
      <w:bookmarkStart w:id="239" w:name="_Toc85344888"/>
      <w:bookmarkStart w:id="240" w:name="_Toc85344892"/>
      <w:bookmarkStart w:id="241" w:name="_Toc85344900"/>
      <w:bookmarkStart w:id="242" w:name="_Toc85344904"/>
      <w:bookmarkStart w:id="243" w:name="_Toc85344908"/>
      <w:bookmarkStart w:id="244" w:name="_Toc85344916"/>
      <w:bookmarkStart w:id="245" w:name="_Toc85344924"/>
      <w:bookmarkStart w:id="246" w:name="_Toc85344932"/>
      <w:bookmarkStart w:id="247" w:name="_Toc262194659"/>
      <w:bookmarkStart w:id="248" w:name="_Toc262641470"/>
      <w:bookmarkStart w:id="249" w:name="_Toc264883461"/>
      <w:bookmarkStart w:id="250" w:name="_Toc11974331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64DE08BB" w14:textId="77777777" w:rsidR="000F3618" w:rsidRPr="009658D8" w:rsidRDefault="00CA16D8" w:rsidP="005F7A0B">
      <w:pPr>
        <w:pStyle w:val="Heading1"/>
        <w:numPr>
          <w:ilvl w:val="0"/>
          <w:numId w:val="5"/>
        </w:numPr>
        <w:spacing w:line="360" w:lineRule="auto"/>
        <w:jc w:val="both"/>
        <w:rPr>
          <w:rFonts w:ascii="Times New Roman" w:hAnsi="Times New Roman" w:cs="Times New Roman"/>
        </w:rPr>
      </w:pPr>
      <w:bookmarkStart w:id="251" w:name="_Toc216878061"/>
      <w:r w:rsidRPr="00CA16D8">
        <w:rPr>
          <w:rFonts w:ascii="Times New Roman" w:hAnsi="Times New Roman" w:cs="Times New Roman"/>
        </w:rPr>
        <w:lastRenderedPageBreak/>
        <w:t>Background and Purpose</w:t>
      </w:r>
      <w:bookmarkEnd w:id="247"/>
      <w:bookmarkEnd w:id="248"/>
      <w:bookmarkEnd w:id="249"/>
      <w:bookmarkEnd w:id="251"/>
    </w:p>
    <w:p w14:paraId="3501EA51" w14:textId="2EE5DD68" w:rsidR="008E6F53" w:rsidRPr="009658D8" w:rsidRDefault="00354B74" w:rsidP="00FA15FF">
      <w:pPr>
        <w:spacing w:line="360" w:lineRule="auto"/>
        <w:jc w:val="both"/>
        <w:rPr>
          <w:rFonts w:eastAsia="Calibri"/>
        </w:rPr>
      </w:pPr>
      <w:r>
        <w:t xml:space="preserve">Consistent with the ERCOT Nodal Protocols, the term “Resource” is used throughout this document, without qualification, to refer to </w:t>
      </w:r>
      <w:r w:rsidR="00843087">
        <w:t>either</w:t>
      </w:r>
      <w:r>
        <w:t xml:space="preserve"> a Generation</w:t>
      </w:r>
      <w:r w:rsidR="002F7C8B">
        <w:t>,</w:t>
      </w:r>
      <w:r>
        <w:t xml:space="preserve"> </w:t>
      </w:r>
      <w:r w:rsidR="00736B55">
        <w:t xml:space="preserve">Energy </w:t>
      </w:r>
      <w:r w:rsidR="00737D7B">
        <w:t>Sto</w:t>
      </w:r>
      <w:r w:rsidR="00FF27B4">
        <w:t xml:space="preserve">rage </w:t>
      </w:r>
      <w:r w:rsidR="00D40315">
        <w:t>or</w:t>
      </w:r>
      <w:r>
        <w:t xml:space="preserve"> Load Resources.  Nodal Protocol Subsection 3.9 (1) requires e</w:t>
      </w:r>
      <w:r>
        <w:rPr>
          <w:rFonts w:eastAsia="Calibri"/>
        </w:rPr>
        <w:t>ach Qualified Scheduling Entity (QSE) representing Resources to submit a Current Operating Plan (COP).  Protocol Section 3.9 includes the following requirements:</w:t>
      </w:r>
    </w:p>
    <w:p w14:paraId="2586ECFC" w14:textId="21DD0804" w:rsidR="008E6F53" w:rsidRPr="009658D8" w:rsidRDefault="00354B74" w:rsidP="005F7A0B">
      <w:pPr>
        <w:pStyle w:val="ListParagraph"/>
        <w:numPr>
          <w:ilvl w:val="0"/>
          <w:numId w:val="6"/>
        </w:numPr>
        <w:spacing w:line="360" w:lineRule="auto"/>
        <w:jc w:val="both"/>
        <w:rPr>
          <w:rFonts w:eastAsia="Calibri"/>
        </w:rPr>
      </w:pPr>
      <w:r>
        <w:rPr>
          <w:rFonts w:eastAsia="Calibri"/>
          <w:iCs/>
        </w:rPr>
        <w:t xml:space="preserve">The QSE must reflect in its COP the expected operating conditions for each Resource (including RMR, Black Start Units, Qualifying Facilities (QF), </w:t>
      </w:r>
      <w:r w:rsidR="00CB311D">
        <w:rPr>
          <w:rFonts w:eastAsia="Calibri"/>
          <w:iCs/>
        </w:rPr>
        <w:t>etc.</w:t>
      </w:r>
      <w:r>
        <w:rPr>
          <w:rFonts w:eastAsia="Calibri"/>
          <w:iCs/>
        </w:rPr>
        <w:t>) that it represents for each hour in the next seven Operating Days [Subsections 3.9 (7) and (8) and 3.9.1 (1)</w:t>
      </w:r>
      <w:r w:rsidR="00623846">
        <w:rPr>
          <w:rFonts w:eastAsia="Calibri"/>
          <w:iCs/>
        </w:rPr>
        <w:t xml:space="preserve"> and </w:t>
      </w:r>
      <w:r>
        <w:rPr>
          <w:rFonts w:eastAsia="Calibri"/>
          <w:iCs/>
        </w:rPr>
        <w:t>(2)].</w:t>
      </w:r>
    </w:p>
    <w:p w14:paraId="443E44EE" w14:textId="77777777" w:rsidR="008E6F53" w:rsidRPr="009658D8" w:rsidRDefault="00354B74" w:rsidP="005F7A0B">
      <w:pPr>
        <w:pStyle w:val="ListParagraph"/>
        <w:numPr>
          <w:ilvl w:val="0"/>
          <w:numId w:val="6"/>
        </w:numPr>
        <w:spacing w:line="360" w:lineRule="auto"/>
        <w:jc w:val="both"/>
        <w:rPr>
          <w:rFonts w:eastAsia="Calibri"/>
        </w:rPr>
      </w:pPr>
      <w:r>
        <w:rPr>
          <w:rFonts w:eastAsia="Calibri"/>
          <w:iCs/>
        </w:rPr>
        <w:t>The QSE must update its COP to reflect changes in availability of any Resource as soon as reasonably practicable, but in no event later than 60 minutes after the event that caused the change [Subsection 3.9.1 (2)].</w:t>
      </w:r>
    </w:p>
    <w:p w14:paraId="23E73FF2" w14:textId="436BA297" w:rsidR="000322B3" w:rsidRPr="009658D8" w:rsidRDefault="00354B74" w:rsidP="005F7A0B">
      <w:pPr>
        <w:pStyle w:val="ListParagraph"/>
        <w:numPr>
          <w:ilvl w:val="0"/>
          <w:numId w:val="6"/>
        </w:numPr>
        <w:spacing w:line="360" w:lineRule="auto"/>
        <w:jc w:val="both"/>
        <w:rPr>
          <w:rFonts w:eastAsia="Calibri"/>
        </w:rPr>
      </w:pPr>
      <w:r>
        <w:rPr>
          <w:rFonts w:eastAsia="Calibri"/>
          <w:iCs/>
        </w:rPr>
        <w:t>The</w:t>
      </w:r>
      <w:r>
        <w:rPr>
          <w:rFonts w:eastAsia="Calibri"/>
        </w:rPr>
        <w:t xml:space="preserve"> QSE must notify ERCOT, by means of the COP, of its plans to have a Resource On-Line by using the Resource Status codes listed in Section 3.9.1, Current Operating Plan (COP) Criteria.  To reflect changes to a Resource’s capability, each QSE is required to report by exception, changes to the COP for all hours after the Operating Period through the rest of the Operating Day [Subsection 3.9 (5)].  When a QSE updates its COP to show changes in Resource Status, the QSE shall update for each On-Line Resource, either an Energy Offer Curve </w:t>
      </w:r>
      <w:r w:rsidR="00B04989">
        <w:rPr>
          <w:rFonts w:eastAsia="Calibri"/>
        </w:rPr>
        <w:t>or</w:t>
      </w:r>
      <w:r w:rsidR="00D73D3C">
        <w:rPr>
          <w:rFonts w:eastAsia="Calibri"/>
        </w:rPr>
        <w:t xml:space="preserve"> Energy</w:t>
      </w:r>
      <w:r w:rsidR="00A11BC2">
        <w:rPr>
          <w:rFonts w:eastAsia="Calibri"/>
        </w:rPr>
        <w:t xml:space="preserve"> Bid</w:t>
      </w:r>
      <w:r w:rsidR="00E35C06">
        <w:rPr>
          <w:rFonts w:eastAsia="Calibri"/>
        </w:rPr>
        <w:t>/</w:t>
      </w:r>
      <w:r w:rsidR="00A11BC2">
        <w:rPr>
          <w:rFonts w:eastAsia="Calibri"/>
        </w:rPr>
        <w:t>Offer Curve</w:t>
      </w:r>
      <w:r w:rsidR="00B04989">
        <w:rPr>
          <w:rFonts w:eastAsia="Calibri"/>
        </w:rPr>
        <w:t xml:space="preserve"> </w:t>
      </w:r>
      <w:r>
        <w:rPr>
          <w:rFonts w:eastAsia="Calibri"/>
        </w:rPr>
        <w:t>under Section 4.4.9, Energy Offers and Bids, or Output Schedule under Section 6.4.2, Output Schedules.</w:t>
      </w:r>
    </w:p>
    <w:p w14:paraId="798CE673" w14:textId="77777777" w:rsidR="00E44849" w:rsidRPr="009658D8" w:rsidRDefault="00E44849" w:rsidP="00FA15FF">
      <w:pPr>
        <w:spacing w:line="360" w:lineRule="auto"/>
        <w:jc w:val="both"/>
        <w:rPr>
          <w:rFonts w:eastAsia="Calibri"/>
        </w:rPr>
      </w:pPr>
    </w:p>
    <w:p w14:paraId="2D71CB2E" w14:textId="2683D757" w:rsidR="005D0510" w:rsidRPr="009658D8" w:rsidRDefault="00354B74" w:rsidP="00B57EC3">
      <w:pPr>
        <w:spacing w:line="360" w:lineRule="auto"/>
        <w:jc w:val="both"/>
        <w:rPr>
          <w:rFonts w:eastAsia="Calibri"/>
        </w:rPr>
      </w:pPr>
      <w:r>
        <w:rPr>
          <w:rFonts w:eastAsia="Calibri"/>
        </w:rPr>
        <w:t xml:space="preserve">Real Time telemetry provides information for the Operating Hour.  COP entries always refer to forward hours beginning in the Operating Day with the prompt hour (the hour immediately following the Operating Period) and extending to all hours in the following six Operating Days (for a total of </w:t>
      </w:r>
      <w:r w:rsidR="00491A65">
        <w:rPr>
          <w:rFonts w:eastAsia="Calibri"/>
        </w:rPr>
        <w:t>seven</w:t>
      </w:r>
      <w:r>
        <w:rPr>
          <w:rFonts w:eastAsia="Calibri"/>
        </w:rPr>
        <w:t xml:space="preserve"> Operating Days).  For these hours, the COP entries are determined solely by the QSE.  The assignment of Resource Status, the operating parameters</w:t>
      </w:r>
      <w:r w:rsidR="00623846">
        <w:rPr>
          <w:rFonts w:eastAsia="Calibri"/>
        </w:rPr>
        <w:t>,</w:t>
      </w:r>
      <w:r>
        <w:rPr>
          <w:rFonts w:eastAsia="Calibri"/>
        </w:rPr>
        <w:t xml:space="preserve"> </w:t>
      </w:r>
      <w:r w:rsidR="00623846">
        <w:rPr>
          <w:rFonts w:eastAsia="Calibri"/>
        </w:rPr>
        <w:t>High Sustained Limit (</w:t>
      </w:r>
      <w:r>
        <w:rPr>
          <w:rFonts w:eastAsia="Calibri"/>
        </w:rPr>
        <w:t>HSL</w:t>
      </w:r>
      <w:r w:rsidR="00623846">
        <w:rPr>
          <w:rFonts w:eastAsia="Calibri"/>
        </w:rPr>
        <w:t>), Low Sustained Limit (</w:t>
      </w:r>
      <w:r>
        <w:rPr>
          <w:rFonts w:eastAsia="Calibri"/>
        </w:rPr>
        <w:t>LSL</w:t>
      </w:r>
      <w:r w:rsidR="00623846">
        <w:rPr>
          <w:rFonts w:eastAsia="Calibri"/>
        </w:rPr>
        <w:t>), High Emergency Limit (</w:t>
      </w:r>
      <w:r>
        <w:rPr>
          <w:rFonts w:eastAsia="Calibri"/>
        </w:rPr>
        <w:t>HEL</w:t>
      </w:r>
      <w:r w:rsidR="00623846">
        <w:rPr>
          <w:rFonts w:eastAsia="Calibri"/>
        </w:rPr>
        <w:t>), Low Emergency Limit (</w:t>
      </w:r>
      <w:r>
        <w:rPr>
          <w:rFonts w:eastAsia="Calibri"/>
        </w:rPr>
        <w:t>LEL</w:t>
      </w:r>
      <w:r w:rsidR="00623846">
        <w:rPr>
          <w:rFonts w:eastAsia="Calibri"/>
        </w:rPr>
        <w:t>)</w:t>
      </w:r>
      <w:r>
        <w:rPr>
          <w:rFonts w:eastAsia="Calibri"/>
        </w:rPr>
        <w:t xml:space="preserve">, and Ancillary Service Resource </w:t>
      </w:r>
      <w:r w:rsidR="00596720">
        <w:rPr>
          <w:rFonts w:eastAsia="Calibri"/>
        </w:rPr>
        <w:t>Capabilit</w:t>
      </w:r>
      <w:r w:rsidR="00D34799">
        <w:rPr>
          <w:rFonts w:eastAsia="Calibri"/>
        </w:rPr>
        <w:t>ies</w:t>
      </w:r>
      <w:r>
        <w:rPr>
          <w:rFonts w:eastAsia="Calibri"/>
        </w:rPr>
        <w:t xml:space="preserve"> </w:t>
      </w:r>
      <w:r w:rsidR="004335F9">
        <w:rPr>
          <w:rFonts w:eastAsia="Calibri"/>
        </w:rPr>
        <w:t>are</w:t>
      </w:r>
      <w:r>
        <w:rPr>
          <w:rFonts w:eastAsia="Calibri"/>
        </w:rPr>
        <w:t xml:space="preserve"> expected to be consistent with the QSE’s expected </w:t>
      </w:r>
      <w:r>
        <w:rPr>
          <w:rFonts w:eastAsia="Calibri"/>
        </w:rPr>
        <w:lastRenderedPageBreak/>
        <w:t>or anticipated operating conditions for each Resource in each hour of the COP reporting period.</w:t>
      </w:r>
      <w:r w:rsidR="00F842A7">
        <w:rPr>
          <w:rFonts w:eastAsia="Calibri"/>
        </w:rPr>
        <w:t xml:space="preserve">  Additionally, </w:t>
      </w:r>
      <w:r w:rsidR="00751040">
        <w:rPr>
          <w:rFonts w:eastAsia="Calibri"/>
        </w:rPr>
        <w:t>COP e</w:t>
      </w:r>
      <w:r w:rsidR="00F95793">
        <w:rPr>
          <w:rFonts w:eastAsia="Calibri"/>
        </w:rPr>
        <w:t>nt</w:t>
      </w:r>
      <w:r w:rsidR="00A9531A">
        <w:rPr>
          <w:rFonts w:eastAsia="Calibri"/>
        </w:rPr>
        <w:t xml:space="preserve">ries for </w:t>
      </w:r>
      <w:r w:rsidR="00C0497D">
        <w:rPr>
          <w:rFonts w:eastAsia="Calibri"/>
        </w:rPr>
        <w:t>Minimum State of Charge (</w:t>
      </w:r>
      <w:proofErr w:type="spellStart"/>
      <w:r w:rsidR="00C0497D">
        <w:rPr>
          <w:rFonts w:eastAsia="Calibri"/>
        </w:rPr>
        <w:t>MinSOC</w:t>
      </w:r>
      <w:proofErr w:type="spellEnd"/>
      <w:r w:rsidR="004335F9">
        <w:rPr>
          <w:rFonts w:eastAsia="Calibri"/>
        </w:rPr>
        <w:t>),</w:t>
      </w:r>
      <w:r w:rsidR="00C0497D">
        <w:rPr>
          <w:rFonts w:eastAsia="Calibri"/>
        </w:rPr>
        <w:t xml:space="preserve"> Ma</w:t>
      </w:r>
      <w:r w:rsidR="00C91A6E">
        <w:rPr>
          <w:rFonts w:eastAsia="Calibri"/>
        </w:rPr>
        <w:t>ximum State of Charge (MaxSOC</w:t>
      </w:r>
      <w:r w:rsidR="004335F9">
        <w:rPr>
          <w:rFonts w:eastAsia="Calibri"/>
        </w:rPr>
        <w:t>)</w:t>
      </w:r>
      <w:r w:rsidR="00C91A6E">
        <w:rPr>
          <w:rFonts w:eastAsia="Calibri"/>
        </w:rPr>
        <w:t xml:space="preserve"> and Hour Beginning </w:t>
      </w:r>
      <w:r w:rsidR="00B6413B">
        <w:rPr>
          <w:rFonts w:eastAsia="Calibri"/>
        </w:rPr>
        <w:t xml:space="preserve">Planned </w:t>
      </w:r>
      <w:r w:rsidR="00C91A6E">
        <w:rPr>
          <w:rFonts w:eastAsia="Calibri"/>
        </w:rPr>
        <w:t>State of Charge (HBSOC).</w:t>
      </w:r>
    </w:p>
    <w:p w14:paraId="018C71DE" w14:textId="77777777" w:rsidR="00464E50" w:rsidRPr="009658D8" w:rsidRDefault="00354B74" w:rsidP="00FA15FF">
      <w:pPr>
        <w:spacing w:line="360" w:lineRule="auto"/>
        <w:jc w:val="both"/>
        <w:rPr>
          <w:rFonts w:eastAsia="Calibri"/>
        </w:rPr>
      </w:pPr>
      <w:r>
        <w:rPr>
          <w:rFonts w:eastAsia="Calibri"/>
        </w:rPr>
        <w:t xml:space="preserve">The purpose of this document is to communicate to the </w:t>
      </w:r>
      <w:r w:rsidR="003F5103" w:rsidRPr="009658D8">
        <w:rPr>
          <w:rFonts w:eastAsia="Calibri"/>
        </w:rPr>
        <w:t>QSEs</w:t>
      </w:r>
      <w:r w:rsidR="003F5103">
        <w:rPr>
          <w:rFonts w:eastAsia="Calibri"/>
        </w:rPr>
        <w:t>,</w:t>
      </w:r>
      <w:r>
        <w:rPr>
          <w:rFonts w:eastAsia="Calibri"/>
        </w:rPr>
        <w:t xml:space="preserve"> </w:t>
      </w:r>
      <w:r w:rsidR="003F5103">
        <w:rPr>
          <w:rFonts w:eastAsia="Calibri"/>
        </w:rPr>
        <w:t>ERCOT</w:t>
      </w:r>
      <w:r w:rsidR="00623846">
        <w:rPr>
          <w:rFonts w:eastAsia="Calibri"/>
        </w:rPr>
        <w:t>’s</w:t>
      </w:r>
      <w:r>
        <w:rPr>
          <w:rFonts w:eastAsia="Calibri"/>
        </w:rPr>
        <w:t xml:space="preserve"> expectations regarding COP entries based on the usage of the COP data by the various ERCOT market and operations systems.  The COP is an artifact created in the ERCOT Nodal Protocols that belongs wholly to the QSE, consequently, ERCOT does not proscribe COP entries made by </w:t>
      </w:r>
      <w:r w:rsidR="003F5103">
        <w:rPr>
          <w:rFonts w:eastAsia="Calibri"/>
        </w:rPr>
        <w:t>QSE</w:t>
      </w:r>
      <w:r>
        <w:rPr>
          <w:rFonts w:eastAsia="Calibri"/>
        </w:rPr>
        <w:t xml:space="preserve"> and it is not the intention of this document to do so.</w:t>
      </w:r>
    </w:p>
    <w:p w14:paraId="03F8F013" w14:textId="77777777" w:rsidR="00A07A1E" w:rsidRPr="009658D8" w:rsidRDefault="00CA16D8" w:rsidP="00FA15FF">
      <w:pPr>
        <w:pStyle w:val="Heading1"/>
        <w:jc w:val="both"/>
        <w:rPr>
          <w:rFonts w:ascii="Times New Roman" w:eastAsia="Calibri" w:hAnsi="Times New Roman" w:cs="Times New Roman"/>
        </w:rPr>
      </w:pPr>
      <w:bookmarkStart w:id="252" w:name="_Toc262194660"/>
      <w:bookmarkStart w:id="253" w:name="_Toc262641471"/>
      <w:bookmarkStart w:id="254" w:name="_Toc264883462"/>
      <w:bookmarkStart w:id="255" w:name="_Toc216878062"/>
      <w:r w:rsidRPr="00CA16D8">
        <w:rPr>
          <w:rFonts w:ascii="Times New Roman" w:eastAsia="Calibri" w:hAnsi="Times New Roman" w:cs="Times New Roman"/>
        </w:rPr>
        <w:t>Principles and Definitions</w:t>
      </w:r>
      <w:bookmarkEnd w:id="252"/>
      <w:bookmarkEnd w:id="253"/>
      <w:bookmarkEnd w:id="254"/>
      <w:bookmarkEnd w:id="255"/>
      <w:r w:rsidRPr="00CA16D8">
        <w:rPr>
          <w:rFonts w:ascii="Times New Roman" w:eastAsia="Calibri" w:hAnsi="Times New Roman" w:cs="Times New Roman"/>
        </w:rPr>
        <w:t xml:space="preserve"> </w:t>
      </w:r>
    </w:p>
    <w:p w14:paraId="001EB2A5" w14:textId="61369C32" w:rsidR="00A07A1E" w:rsidRPr="009658D8" w:rsidRDefault="00354B74" w:rsidP="005F7A0B">
      <w:pPr>
        <w:pStyle w:val="ListParagraph"/>
        <w:numPr>
          <w:ilvl w:val="0"/>
          <w:numId w:val="7"/>
        </w:numPr>
        <w:spacing w:after="200" w:line="360" w:lineRule="auto"/>
        <w:jc w:val="both"/>
      </w:pPr>
      <w:r>
        <w:t>ERCOT expects each QSE to submit a COP that is based on the</w:t>
      </w:r>
      <w:r w:rsidR="00EE7006">
        <w:t xml:space="preserve"> QSE’s best estimate of the</w:t>
      </w:r>
      <w:r>
        <w:t xml:space="preserve"> anticipated or expected operating conditions of each </w:t>
      </w:r>
      <w:r w:rsidR="00623846">
        <w:t xml:space="preserve">of </w:t>
      </w:r>
      <w:r>
        <w:t>its Generation Resources</w:t>
      </w:r>
      <w:r w:rsidR="00D34799">
        <w:t>, Energy Storage Resources</w:t>
      </w:r>
      <w:r>
        <w:t xml:space="preserve"> and Load Resources in each of the hours covered by the updated COP.  The nature of the Protocol requirements related to the COP timeline and content suggests that each QSE should have an operator task that periodically (e.g. top of the hour) requires the operator(s) to review and update the COP.</w:t>
      </w:r>
    </w:p>
    <w:p w14:paraId="34B80338" w14:textId="77777777" w:rsidR="00A07A1E" w:rsidRPr="009658D8" w:rsidRDefault="00354B74" w:rsidP="005F7A0B">
      <w:pPr>
        <w:pStyle w:val="ListParagraph"/>
        <w:numPr>
          <w:ilvl w:val="0"/>
          <w:numId w:val="7"/>
        </w:numPr>
        <w:spacing w:after="200" w:line="360" w:lineRule="auto"/>
        <w:jc w:val="both"/>
      </w:pPr>
      <w:r>
        <w:t>QSE</w:t>
      </w:r>
      <w:r w:rsidR="00623846">
        <w:t>s</w:t>
      </w:r>
      <w:r>
        <w:t xml:space="preserve"> are responsible for notifying ERCOT of a change in Resource Status (availability) via telemetry and through changes in the current COP as soon as practicable following the change [Protocol Subsection 6.5.5.1 (1)] but in no event later than 60 minutes after the event that caused the change. </w:t>
      </w:r>
    </w:p>
    <w:p w14:paraId="12605A69" w14:textId="77777777" w:rsidR="00A07A1E" w:rsidRPr="009658D8" w:rsidRDefault="00354B74" w:rsidP="00917683">
      <w:pPr>
        <w:pStyle w:val="ListParagraph"/>
        <w:numPr>
          <w:ilvl w:val="0"/>
          <w:numId w:val="7"/>
        </w:numPr>
        <w:spacing w:after="200" w:line="360" w:lineRule="auto"/>
        <w:jc w:val="both"/>
      </w:pPr>
      <w:r>
        <w:t>QSE are responsible for assuring that COP entries and Outage Scheduler entries are consistent and meet Protocol requirements.</w:t>
      </w:r>
    </w:p>
    <w:p w14:paraId="15791D21" w14:textId="77777777" w:rsidR="00930855" w:rsidRPr="009658D8" w:rsidRDefault="00354B74" w:rsidP="005F7A0B">
      <w:pPr>
        <w:pStyle w:val="ListParagraph"/>
        <w:numPr>
          <w:ilvl w:val="0"/>
          <w:numId w:val="7"/>
        </w:numPr>
        <w:spacing w:after="200" w:line="360" w:lineRule="auto"/>
        <w:jc w:val="both"/>
      </w:pPr>
      <w:r>
        <w:t>A Generation Resource is “unavailable” if that Generation Resource is unable to start or synchronize to the ERCOT Transmission Grid</w:t>
      </w:r>
      <w:r w:rsidR="00BE0073" w:rsidRPr="00BE0073">
        <w:t xml:space="preserve"> due to a physical or regulatory impairment</w:t>
      </w:r>
      <w:r>
        <w:t>.  For example, a Generation Resource can be unavailable because it or the associated transmission equipment necessary to interconnect the Generation Resource to the grid is undergoing an outage.  In other words, a Resource may be “unavailable” because of a forced or maintenance outage, 100% fuel curtailment, or emissions limit exceedance</w:t>
      </w:r>
      <w:r w:rsidR="00623846">
        <w:t>,</w:t>
      </w:r>
      <w:r>
        <w:t xml:space="preserve"> </w:t>
      </w:r>
      <w:r w:rsidR="006D55B6">
        <w:t xml:space="preserve">or other impairments </w:t>
      </w:r>
      <w:r w:rsidR="001F3F85">
        <w:t>to operation as determined by the QSE or Resource Owner</w:t>
      </w:r>
      <w:r>
        <w:t>.</w:t>
      </w:r>
    </w:p>
    <w:p w14:paraId="625F2A31" w14:textId="77777777" w:rsidR="00C4143D" w:rsidRDefault="00354B74" w:rsidP="005F7A0B">
      <w:pPr>
        <w:pStyle w:val="ListParagraph"/>
        <w:numPr>
          <w:ilvl w:val="0"/>
          <w:numId w:val="7"/>
        </w:numPr>
        <w:spacing w:after="200" w:line="360" w:lineRule="auto"/>
        <w:jc w:val="both"/>
      </w:pPr>
      <w:r>
        <w:t>A Load Resource is “unavailable” if it is not available for dispatch as determined by the Load Resource Owner and its QSE.</w:t>
      </w:r>
    </w:p>
    <w:p w14:paraId="4589D0DF" w14:textId="5A503894" w:rsidR="00933BDD" w:rsidRPr="009658D8" w:rsidRDefault="00933BDD" w:rsidP="005F7A0B">
      <w:pPr>
        <w:pStyle w:val="ListParagraph"/>
        <w:numPr>
          <w:ilvl w:val="0"/>
          <w:numId w:val="7"/>
        </w:numPr>
        <w:spacing w:after="200" w:line="360" w:lineRule="auto"/>
        <w:jc w:val="both"/>
      </w:pPr>
      <w:r>
        <w:lastRenderedPageBreak/>
        <w:t xml:space="preserve">An Energy Storage Resource is </w:t>
      </w:r>
      <w:r w:rsidR="00B27679">
        <w:t>limited</w:t>
      </w:r>
      <w:r w:rsidR="00076F9F">
        <w:t xml:space="preserve"> in the </w:t>
      </w:r>
      <w:r w:rsidR="00120016">
        <w:t>number of Resource Statuses</w:t>
      </w:r>
      <w:r w:rsidR="00C92D4B">
        <w:t xml:space="preserve"> it can enter</w:t>
      </w:r>
      <w:r w:rsidR="00B40BD4">
        <w:t>, and does not h</w:t>
      </w:r>
      <w:r w:rsidR="00565217">
        <w:t xml:space="preserve">ave the option to enter an “OFF” status.  It must enter one of the </w:t>
      </w:r>
      <w:r w:rsidR="002766EC">
        <w:t xml:space="preserve">five </w:t>
      </w:r>
      <w:r w:rsidR="004D68B9">
        <w:t>“</w:t>
      </w:r>
      <w:r w:rsidR="00917ED4">
        <w:t xml:space="preserve">ON” </w:t>
      </w:r>
      <w:r w:rsidR="00CB1B04">
        <w:t xml:space="preserve">statuses or </w:t>
      </w:r>
      <w:r w:rsidR="00442651">
        <w:t>“OUT” if it</w:t>
      </w:r>
      <w:r w:rsidR="00863763">
        <w:t xml:space="preserve"> </w:t>
      </w:r>
      <w:r w:rsidR="002372DC">
        <w:t xml:space="preserve">is </w:t>
      </w:r>
      <w:r w:rsidR="00863763">
        <w:t>Off-line and un</w:t>
      </w:r>
      <w:r w:rsidR="0063346C">
        <w:t>available</w:t>
      </w:r>
      <w:r w:rsidR="00AC6E8B">
        <w:t xml:space="preserve">, or </w:t>
      </w:r>
      <w:r w:rsidR="002F0E0F">
        <w:t>not connected to the ERCOT System and operating in a P</w:t>
      </w:r>
      <w:r w:rsidR="00E0114D">
        <w:t>rivate Microgrid Islan</w:t>
      </w:r>
      <w:r w:rsidR="004D3A1A">
        <w:t>d (PMI).</w:t>
      </w:r>
    </w:p>
    <w:p w14:paraId="77E28445" w14:textId="77777777" w:rsidR="00930855" w:rsidRPr="009658D8" w:rsidRDefault="00354B74" w:rsidP="005F7A0B">
      <w:pPr>
        <w:pStyle w:val="ListParagraph"/>
        <w:numPr>
          <w:ilvl w:val="0"/>
          <w:numId w:val="7"/>
        </w:numPr>
        <w:spacing w:after="200" w:line="360" w:lineRule="auto"/>
        <w:jc w:val="both"/>
      </w:pPr>
      <w:r>
        <w:t>A Resource is “available” if it is not “unavailable”.</w:t>
      </w:r>
    </w:p>
    <w:p w14:paraId="47F94F8A" w14:textId="2AE8F24F" w:rsidR="00A07A1E" w:rsidRPr="009658D8" w:rsidRDefault="00354B74" w:rsidP="005F7A0B">
      <w:pPr>
        <w:pStyle w:val="ListParagraph"/>
        <w:numPr>
          <w:ilvl w:val="0"/>
          <w:numId w:val="7"/>
        </w:numPr>
        <w:spacing w:after="200" w:line="360" w:lineRule="auto"/>
        <w:jc w:val="both"/>
      </w:pPr>
      <w:r>
        <w:t xml:space="preserve">COP entries are used in ERCOT system applications for study periods that include the COP reporting period.  These applications include Resource Adequacy Reporting, all </w:t>
      </w:r>
      <w:r w:rsidR="00623846">
        <w:t>Reliability Unit Commitment (</w:t>
      </w:r>
      <w:r>
        <w:t>RUC</w:t>
      </w:r>
      <w:r w:rsidR="00623846">
        <w:t>)</w:t>
      </w:r>
      <w:r>
        <w:t xml:space="preserve"> studies (DRUC, HRUC and WRUC) and Network Security Analysis with extended time horizons </w:t>
      </w:r>
      <w:r w:rsidR="00BE0073">
        <w:t xml:space="preserve">(e.g. studies </w:t>
      </w:r>
      <w:r>
        <w:t>that are related to voltage support, dynamic</w:t>
      </w:r>
      <w:r w:rsidR="00BE0073">
        <w:t xml:space="preserve"> system </w:t>
      </w:r>
      <w:r>
        <w:t>response</w:t>
      </w:r>
      <w:r w:rsidR="00623846">
        <w:t>,</w:t>
      </w:r>
      <w:r>
        <w:t xml:space="preserve"> </w:t>
      </w:r>
      <w:r w:rsidR="00F42D66">
        <w:t>etc.</w:t>
      </w:r>
      <w:r w:rsidR="00BE0073">
        <w:t>)</w:t>
      </w:r>
      <w:r>
        <w:t>.</w:t>
      </w:r>
    </w:p>
    <w:p w14:paraId="426D405E" w14:textId="77777777" w:rsidR="00A07A1E" w:rsidRPr="009658D8" w:rsidRDefault="00354B74" w:rsidP="005F7A0B">
      <w:pPr>
        <w:pStyle w:val="ListParagraph"/>
        <w:numPr>
          <w:ilvl w:val="0"/>
          <w:numId w:val="7"/>
        </w:numPr>
        <w:spacing w:after="200" w:line="360" w:lineRule="auto"/>
        <w:jc w:val="both"/>
      </w:pPr>
      <w:r>
        <w:t>If a Generation Resource is offered into the DAM, the DAM will honor the Generation Resource’s temporal constraints including start times.  The DAM implementation includes logic to initialize, for each Generation Resource, the startup temporal conditions at the beginning of the DAM study period (HE0001). The initialization logic implementation relies on EMS and COP Resource Status entries to determine the applicability of a temporal constraint for hours preceding HE0001.</w:t>
      </w:r>
    </w:p>
    <w:p w14:paraId="744B2AD1" w14:textId="77777777" w:rsidR="00A07A1E" w:rsidRPr="009658D8" w:rsidRDefault="00354B74" w:rsidP="005F7A0B">
      <w:pPr>
        <w:pStyle w:val="ListParagraph"/>
        <w:numPr>
          <w:ilvl w:val="0"/>
          <w:numId w:val="7"/>
        </w:numPr>
        <w:spacing w:after="200" w:line="360" w:lineRule="auto"/>
        <w:jc w:val="both"/>
      </w:pPr>
      <w:r>
        <w:t xml:space="preserve">Generation Resources with start times longer than 24 hours must be on-line prior to HE0001 for their </w:t>
      </w:r>
      <w:r w:rsidR="00623846">
        <w:t>Three Part Offer (</w:t>
      </w:r>
      <w:r>
        <w:t>3PO</w:t>
      </w:r>
      <w:r w:rsidR="00623846">
        <w:t>)</w:t>
      </w:r>
      <w:r>
        <w:t xml:space="preserve"> to be considered in the DAM optimization.</w:t>
      </w:r>
    </w:p>
    <w:p w14:paraId="02B67782" w14:textId="21DC18EC" w:rsidR="000322B3" w:rsidRPr="009658D8" w:rsidRDefault="00354B74" w:rsidP="005F7A0B">
      <w:pPr>
        <w:pStyle w:val="ListParagraph"/>
        <w:numPr>
          <w:ilvl w:val="0"/>
          <w:numId w:val="7"/>
        </w:numPr>
        <w:spacing w:after="200" w:line="360" w:lineRule="auto"/>
        <w:jc w:val="both"/>
      </w:pPr>
      <w:r>
        <w:t xml:space="preserve">The HRUC process will honor available Generation Resource temporal constraints, including start times.  The HRUC implementation includes logic to initialize, for each Generation Resource, the startup temporal conditions at the beginning of the HRUC study period.  HRUC relies on the Resource operating history from EMS for On-Line and Off-Line times to initialize Resource temporal constraints.  HRUC uses the COP entries to determine the Resource Status during the HRUC study period.  Protocols require the QSE to notify ERCOT that it plans to have a Resource On-Line by using the Resource Status codes for the COP.  Similarly, Protocols require the QSE to request a Resource decommitment for the remaining hours in the Adjustment Period using the Resource Status codes in the COP.  QSEs may also call ERCOT and request a decommitment if the decommitment is to occur in the Operating Period. </w:t>
      </w:r>
    </w:p>
    <w:p w14:paraId="2D137924" w14:textId="13B4ECE1" w:rsidR="0016687B" w:rsidRPr="009658D8" w:rsidRDefault="0016687B" w:rsidP="005F7A0B">
      <w:pPr>
        <w:pStyle w:val="ListParagraph"/>
        <w:numPr>
          <w:ilvl w:val="0"/>
          <w:numId w:val="7"/>
        </w:numPr>
        <w:spacing w:after="200" w:line="360" w:lineRule="auto"/>
        <w:jc w:val="both"/>
      </w:pPr>
    </w:p>
    <w:p w14:paraId="5F1B156C" w14:textId="531D7C18" w:rsidR="00680E29" w:rsidRPr="009658D8" w:rsidRDefault="00354B74" w:rsidP="005F7A0B">
      <w:pPr>
        <w:pStyle w:val="ListParagraph"/>
        <w:numPr>
          <w:ilvl w:val="0"/>
          <w:numId w:val="7"/>
        </w:numPr>
        <w:spacing w:after="200" w:line="360" w:lineRule="auto"/>
        <w:jc w:val="both"/>
      </w:pPr>
      <w:r>
        <w:lastRenderedPageBreak/>
        <w:t xml:space="preserve">ERCOT uses the HSL and LSL Resource capability reported in the COP during the validation of DAM Resource Energy Offer </w:t>
      </w:r>
      <w:r w:rsidR="004902CB">
        <w:t>Curves (</w:t>
      </w:r>
      <w:r w:rsidR="00651A14">
        <w:t>or Energy Bid/Offer Curve</w:t>
      </w:r>
      <w:r w:rsidR="00B15A9A">
        <w:t xml:space="preserve">s for ESRs) </w:t>
      </w:r>
      <w:r>
        <w:t xml:space="preserve">and Ancillary Service Offers.  While the Resource Status reported in the COP is not used in the DAM, Resources reported as being OFF in a COP reporting hour that are offered in the DAM for that hour must have Resource capability entries consistent with the QSE DAM energy or Ancillary Service offers. </w:t>
      </w:r>
    </w:p>
    <w:p w14:paraId="2D11BBAF" w14:textId="77777777" w:rsidR="000B3B0E" w:rsidRPr="009658D8" w:rsidRDefault="00CA16D8" w:rsidP="00FA15FF">
      <w:pPr>
        <w:pStyle w:val="Heading1"/>
        <w:jc w:val="both"/>
        <w:rPr>
          <w:rFonts w:ascii="Times New Roman" w:hAnsi="Times New Roman" w:cs="Times New Roman"/>
        </w:rPr>
      </w:pPr>
      <w:bookmarkStart w:id="256" w:name="_Toc262641472"/>
      <w:bookmarkStart w:id="257" w:name="_Toc264883463"/>
      <w:bookmarkStart w:id="258" w:name="_Toc216878063"/>
      <w:bookmarkEnd w:id="250"/>
      <w:r w:rsidRPr="00CA16D8">
        <w:rPr>
          <w:rFonts w:ascii="Times New Roman" w:hAnsi="Times New Roman" w:cs="Times New Roman"/>
        </w:rPr>
        <w:t>Discussion</w:t>
      </w:r>
      <w:bookmarkEnd w:id="256"/>
      <w:r w:rsidRPr="00CA16D8">
        <w:rPr>
          <w:rFonts w:ascii="Times New Roman" w:hAnsi="Times New Roman" w:cs="Times New Roman"/>
        </w:rPr>
        <w:t xml:space="preserve"> and ERCOT Expectations</w:t>
      </w:r>
      <w:bookmarkEnd w:id="257"/>
      <w:bookmarkEnd w:id="258"/>
    </w:p>
    <w:p w14:paraId="1C59EE2F" w14:textId="77777777" w:rsidR="00CF380E" w:rsidRPr="009658D8" w:rsidRDefault="00354B74" w:rsidP="00FA15FF">
      <w:pPr>
        <w:spacing w:line="360" w:lineRule="auto"/>
        <w:jc w:val="both"/>
      </w:pPr>
      <w:r>
        <w:t>The Nodal Protocols provide the following definition of the COP in Section 2</w:t>
      </w:r>
      <w:r w:rsidR="00491A65">
        <w:t xml:space="preserve">, “Definitions and </w:t>
      </w:r>
      <w:r w:rsidR="00503161">
        <w:t>Acronyms</w:t>
      </w:r>
      <w:r w:rsidR="00491A65">
        <w:t>”</w:t>
      </w:r>
      <w:r>
        <w:t>:</w:t>
      </w:r>
    </w:p>
    <w:p w14:paraId="41135119" w14:textId="77777777" w:rsidR="003C517E" w:rsidRPr="009658D8" w:rsidRDefault="00CA16D8" w:rsidP="00FA15FF">
      <w:pPr>
        <w:pStyle w:val="BodyText"/>
        <w:spacing w:before="120" w:line="360" w:lineRule="auto"/>
        <w:ind w:left="360" w:right="432"/>
        <w:jc w:val="both"/>
      </w:pPr>
      <w:r w:rsidRPr="00CA16D8">
        <w:t>“A plan by a QSE reflecting anticipated operating conditions for each of the Resources that it represents for each hour in the next seven Operating Days, including Resource operational data, Resource Status, and Ancillary Service Schedule.”</w:t>
      </w:r>
    </w:p>
    <w:p w14:paraId="1D1B05A0" w14:textId="62EB8A99" w:rsidR="003C517E" w:rsidRPr="009658D8" w:rsidRDefault="00354B74" w:rsidP="00FA15FF">
      <w:pPr>
        <w:pStyle w:val="BodyText"/>
        <w:spacing w:before="120" w:line="360" w:lineRule="auto"/>
        <w:ind w:right="432"/>
        <w:jc w:val="both"/>
        <w:rPr>
          <w:sz w:val="24"/>
        </w:rPr>
      </w:pPr>
      <w:r>
        <w:rPr>
          <w:sz w:val="24"/>
        </w:rPr>
        <w:t xml:space="preserve">Furthermore, </w:t>
      </w:r>
      <w:r w:rsidR="00A178A5">
        <w:rPr>
          <w:sz w:val="24"/>
        </w:rPr>
        <w:t>Section</w:t>
      </w:r>
      <w:r w:rsidR="00491A65">
        <w:rPr>
          <w:sz w:val="24"/>
        </w:rPr>
        <w:t xml:space="preserve"> </w:t>
      </w:r>
      <w:r>
        <w:rPr>
          <w:sz w:val="24"/>
        </w:rPr>
        <w:t>3.9.1(1) requires the following:</w:t>
      </w:r>
    </w:p>
    <w:p w14:paraId="30B380ED" w14:textId="77777777" w:rsidR="00142398" w:rsidRPr="009658D8" w:rsidRDefault="00CA16D8" w:rsidP="00FA15FF">
      <w:pPr>
        <w:pStyle w:val="BodyText"/>
        <w:spacing w:before="120" w:line="360" w:lineRule="auto"/>
        <w:ind w:left="360" w:right="432"/>
        <w:jc w:val="both"/>
      </w:pPr>
      <w:r w:rsidRPr="00CA16D8">
        <w:t>“Each QSE that represents a Resource must submit a COP to ERCOT that reflects expected operating conditions for each Resource for each hour in the next seven Operating Days.”</w:t>
      </w:r>
    </w:p>
    <w:p w14:paraId="7165C79B" w14:textId="77777777" w:rsidR="004E6B70" w:rsidRPr="009658D8" w:rsidRDefault="00354B74" w:rsidP="00FA15FF">
      <w:pPr>
        <w:pStyle w:val="BodyText"/>
        <w:spacing w:before="120" w:line="360" w:lineRule="auto"/>
        <w:ind w:right="432"/>
        <w:jc w:val="both"/>
        <w:rPr>
          <w:sz w:val="24"/>
        </w:rPr>
      </w:pPr>
      <w:r>
        <w:rPr>
          <w:sz w:val="24"/>
        </w:rPr>
        <w:t xml:space="preserve">Common to both of these </w:t>
      </w:r>
      <w:r w:rsidR="00491A65">
        <w:rPr>
          <w:sz w:val="24"/>
        </w:rPr>
        <w:t>statements in the Nodal Protocols</w:t>
      </w:r>
      <w:r>
        <w:rPr>
          <w:sz w:val="24"/>
        </w:rPr>
        <w:t xml:space="preserve"> is the idea that the COP represents the QSE’s anticipated or expected operating conditions.  The expectation is that the amount or level of uncertainty starts low and increases as the time horizon of the plan </w:t>
      </w:r>
      <w:r w:rsidR="00A23CDF">
        <w:rPr>
          <w:sz w:val="24"/>
        </w:rPr>
        <w:t>is extended</w:t>
      </w:r>
      <w:r>
        <w:rPr>
          <w:sz w:val="24"/>
        </w:rPr>
        <w:t xml:space="preserve">.  This distinction is important, for example, the ERCOT Day-Ahead Market (DAM) and the Day-Ahead and Hourly Reliability Unit Commitment (DRUC &amp; HRUC) applications use data from the COP as needed for the remaining hours in the current Operating Day and next or prompt Operating Day while other applications such as Resource Adequacy Reporting, WRUC, and Outage Evaluation, use data extending beyond the prompt Operating Day to the last COP reporting hour.  The ability of these applications to provide solutions that best represent the </w:t>
      </w:r>
      <w:r w:rsidR="00034C40">
        <w:rPr>
          <w:sz w:val="24"/>
        </w:rPr>
        <w:t>expected</w:t>
      </w:r>
      <w:r>
        <w:rPr>
          <w:sz w:val="24"/>
        </w:rPr>
        <w:t xml:space="preserve"> conditions </w:t>
      </w:r>
      <w:r w:rsidR="00034C40">
        <w:rPr>
          <w:sz w:val="24"/>
        </w:rPr>
        <w:t>during the study period of the application</w:t>
      </w:r>
      <w:r>
        <w:rPr>
          <w:sz w:val="24"/>
        </w:rPr>
        <w:t xml:space="preserve"> is directly related to the QSE’s diligence in keeping ERCOT informed of its current plans for the operation of its Resources </w:t>
      </w:r>
      <w:r w:rsidR="00034C40">
        <w:rPr>
          <w:sz w:val="24"/>
        </w:rPr>
        <w:t>during the COP reporting period</w:t>
      </w:r>
      <w:r>
        <w:rPr>
          <w:sz w:val="24"/>
        </w:rPr>
        <w:t xml:space="preserve">. </w:t>
      </w:r>
    </w:p>
    <w:p w14:paraId="68A77865" w14:textId="4F07086B" w:rsidR="000C39FF" w:rsidRPr="009658D8" w:rsidRDefault="00354B74" w:rsidP="00FA15FF">
      <w:pPr>
        <w:pStyle w:val="BodyText"/>
        <w:spacing w:before="120" w:line="360" w:lineRule="auto"/>
        <w:ind w:right="432"/>
        <w:jc w:val="both"/>
        <w:rPr>
          <w:sz w:val="24"/>
        </w:rPr>
      </w:pPr>
      <w:r>
        <w:rPr>
          <w:sz w:val="24"/>
        </w:rPr>
        <w:t xml:space="preserve">The terms “availability, available, and unavailable” as used in the Protocols are intended to differentiate between Resources that can be operated versus those that cannot be operated </w:t>
      </w:r>
      <w:r>
        <w:rPr>
          <w:sz w:val="24"/>
        </w:rPr>
        <w:lastRenderedPageBreak/>
        <w:t xml:space="preserve">because of a physical or regulatory impairment associated with the Resource itself, or the transmission equipment necessary to the interconnection of the Resource to the ERCOT Transmission Grid.  </w:t>
      </w:r>
      <w:proofErr w:type="gramStart"/>
      <w:r>
        <w:rPr>
          <w:sz w:val="24"/>
        </w:rPr>
        <w:t>The QSE</w:t>
      </w:r>
      <w:proofErr w:type="gramEnd"/>
      <w:r>
        <w:rPr>
          <w:sz w:val="24"/>
        </w:rPr>
        <w:t xml:space="preserve"> is required to use the Resource Status in its COP to reflect the availability/unavailability of the </w:t>
      </w:r>
      <w:r w:rsidR="00A178A5">
        <w:rPr>
          <w:sz w:val="24"/>
        </w:rPr>
        <w:t>Resource and</w:t>
      </w:r>
      <w:r>
        <w:rPr>
          <w:sz w:val="24"/>
        </w:rPr>
        <w:t xml:space="preserve"> provide the details concerning the nature and type of physical impediment to ERCOT through the Outage Scheduler.  Resource Outages extending longer than the COP timeframe are only reported in the Outage Scheduler.  Consequently, </w:t>
      </w:r>
      <w:r w:rsidR="00BE0073">
        <w:rPr>
          <w:sz w:val="24"/>
        </w:rPr>
        <w:t>for the COP</w:t>
      </w:r>
      <w:r w:rsidR="00151527">
        <w:rPr>
          <w:sz w:val="24"/>
        </w:rPr>
        <w:t>,</w:t>
      </w:r>
      <w:r w:rsidR="00BE0073">
        <w:rPr>
          <w:sz w:val="24"/>
        </w:rPr>
        <w:t xml:space="preserve"> </w:t>
      </w:r>
      <w:r>
        <w:rPr>
          <w:sz w:val="24"/>
        </w:rPr>
        <w:t>ERCOT interprets availability as follows: “</w:t>
      </w:r>
      <w:r w:rsidR="00A178A5">
        <w:rPr>
          <w:sz w:val="24"/>
        </w:rPr>
        <w:t>A Resource</w:t>
      </w:r>
      <w:r>
        <w:rPr>
          <w:sz w:val="24"/>
        </w:rPr>
        <w:t xml:space="preserve"> is available if it is not unavailable”.  </w:t>
      </w:r>
    </w:p>
    <w:p w14:paraId="7BC2BAE4" w14:textId="231C69C4" w:rsidR="00890580" w:rsidRDefault="00354B74" w:rsidP="00FA15FF">
      <w:pPr>
        <w:pStyle w:val="BodyText"/>
        <w:spacing w:before="120" w:line="360" w:lineRule="auto"/>
        <w:ind w:right="432"/>
        <w:jc w:val="both"/>
        <w:rPr>
          <w:sz w:val="24"/>
        </w:rPr>
      </w:pPr>
      <w:r>
        <w:rPr>
          <w:sz w:val="24"/>
        </w:rPr>
        <w:t>The term “resource capability” as used in the Protocols is intended to describe the injection limits reflected by the Resource’s HSL/LSL/HEL/LEL values.  If the HSL/LSL/HEL/LEL</w:t>
      </w:r>
      <w:r w:rsidR="00491A65">
        <w:rPr>
          <w:sz w:val="24"/>
        </w:rPr>
        <w:t xml:space="preserve"> values</w:t>
      </w:r>
      <w:r>
        <w:rPr>
          <w:sz w:val="24"/>
        </w:rPr>
        <w:t xml:space="preserve"> provided in the COP result from a Resource derating, then the detail of the derating is provided to ERCOT through the Outage Scheduler.  Resource deratings that occur in Real Time are provided to ERCOT via telemetry of actual Resource capability (i.e. the HSL/LSL/HEL/LEL</w:t>
      </w:r>
      <w:r w:rsidR="00B029B8">
        <w:rPr>
          <w:sz w:val="24"/>
        </w:rPr>
        <w:t xml:space="preserve"> telemetry </w:t>
      </w:r>
      <w:r>
        <w:rPr>
          <w:sz w:val="24"/>
        </w:rPr>
        <w:t>values).</w:t>
      </w:r>
    </w:p>
    <w:p w14:paraId="7888B4DC" w14:textId="77777777" w:rsidR="00474881" w:rsidRPr="00CF405F" w:rsidRDefault="009042B1" w:rsidP="00CF405F">
      <w:pPr>
        <w:pStyle w:val="BodyText"/>
        <w:spacing w:before="120" w:line="360" w:lineRule="auto"/>
        <w:ind w:right="432"/>
        <w:jc w:val="both"/>
        <w:rPr>
          <w:sz w:val="24"/>
        </w:rPr>
      </w:pPr>
      <w:r w:rsidRPr="00CF405F">
        <w:rPr>
          <w:sz w:val="24"/>
        </w:rPr>
        <w:t>QSEs provide COPs</w:t>
      </w:r>
      <w:r w:rsidR="006D20B5" w:rsidRPr="00CF405F">
        <w:rPr>
          <w:sz w:val="24"/>
        </w:rPr>
        <w:t xml:space="preserve"> to ERCOT through the MMS applications. QSEs also receive notices and other messages via MIS system for ERCOT detected errors in QSE submissions.  Please see Appendix I, Selected Excerpts from</w:t>
      </w:r>
      <w:r w:rsidRPr="00CF405F">
        <w:rPr>
          <w:sz w:val="24"/>
        </w:rPr>
        <w:t xml:space="preserve"> MIS Business Requirements for Notices, Notifications, Alarms and Alerts Version 1.0</w:t>
      </w:r>
      <w:r w:rsidR="006D20B5" w:rsidRPr="00CF405F">
        <w:rPr>
          <w:sz w:val="24"/>
        </w:rPr>
        <w:t xml:space="preserve"> Applicable to Current Operating Plans for </w:t>
      </w:r>
      <w:r w:rsidR="00AA39C2" w:rsidRPr="008E2D20">
        <w:rPr>
          <w:sz w:val="24"/>
        </w:rPr>
        <w:t>detail of error messages</w:t>
      </w:r>
      <w:r w:rsidR="006D20B5" w:rsidRPr="008E2D20">
        <w:rPr>
          <w:sz w:val="24"/>
        </w:rPr>
        <w:t>.</w:t>
      </w:r>
    </w:p>
    <w:p w14:paraId="2F8F5BD3" w14:textId="77777777" w:rsidR="007C47AB" w:rsidRPr="009658D8" w:rsidRDefault="00CA16D8" w:rsidP="007C47AB">
      <w:pPr>
        <w:pStyle w:val="Heading2"/>
        <w:rPr>
          <w:rFonts w:ascii="Times New Roman" w:hAnsi="Times New Roman" w:cs="Times New Roman"/>
        </w:rPr>
      </w:pPr>
      <w:bookmarkStart w:id="259" w:name="_Toc264883464"/>
      <w:bookmarkStart w:id="260" w:name="_Toc216878064"/>
      <w:r w:rsidRPr="00CA16D8">
        <w:rPr>
          <w:rFonts w:ascii="Times New Roman" w:hAnsi="Times New Roman" w:cs="Times New Roman"/>
        </w:rPr>
        <w:t xml:space="preserve">Intermittent </w:t>
      </w:r>
      <w:r w:rsidR="008329F4">
        <w:rPr>
          <w:rFonts w:ascii="Times New Roman" w:hAnsi="Times New Roman" w:cs="Times New Roman"/>
        </w:rPr>
        <w:t xml:space="preserve">Renewable </w:t>
      </w:r>
      <w:r w:rsidRPr="00CA16D8">
        <w:rPr>
          <w:rFonts w:ascii="Times New Roman" w:hAnsi="Times New Roman" w:cs="Times New Roman"/>
        </w:rPr>
        <w:t>Resources</w:t>
      </w:r>
      <w:bookmarkEnd w:id="260"/>
      <w:r w:rsidRPr="00CA16D8">
        <w:rPr>
          <w:rFonts w:ascii="Times New Roman" w:hAnsi="Times New Roman" w:cs="Times New Roman"/>
        </w:rPr>
        <w:t xml:space="preserve"> </w:t>
      </w:r>
      <w:bookmarkEnd w:id="259"/>
    </w:p>
    <w:p w14:paraId="29C289E4" w14:textId="77777777" w:rsidR="003A01A1" w:rsidRDefault="00354B74" w:rsidP="006E67BB">
      <w:pPr>
        <w:pStyle w:val="BodyText"/>
        <w:spacing w:before="120" w:line="360" w:lineRule="auto"/>
        <w:ind w:right="432"/>
        <w:jc w:val="both"/>
        <w:rPr>
          <w:sz w:val="24"/>
        </w:rPr>
      </w:pPr>
      <w:r>
        <w:rPr>
          <w:sz w:val="24"/>
        </w:rPr>
        <w:t>Nodal Protocol 3.13 (1) requires ERCOT to produce forecasts of Renewable Production Potential for Wind</w:t>
      </w:r>
      <w:r w:rsidR="006341F7">
        <w:rPr>
          <w:sz w:val="24"/>
        </w:rPr>
        <w:t>-powered</w:t>
      </w:r>
      <w:r>
        <w:rPr>
          <w:sz w:val="24"/>
        </w:rPr>
        <w:t xml:space="preserve"> Generation Resources</w:t>
      </w:r>
      <w:r w:rsidR="00491A65">
        <w:rPr>
          <w:sz w:val="24"/>
        </w:rPr>
        <w:t xml:space="preserve"> (WGRs)</w:t>
      </w:r>
      <w:r w:rsidR="003A01A1">
        <w:rPr>
          <w:sz w:val="24"/>
        </w:rPr>
        <w:t xml:space="preserve"> and </w:t>
      </w:r>
      <w:r w:rsidR="003A01A1" w:rsidRPr="003A01A1">
        <w:rPr>
          <w:sz w:val="24"/>
        </w:rPr>
        <w:t>PhotoVoltaic Generation Resources (PVGR)</w:t>
      </w:r>
      <w:r>
        <w:rPr>
          <w:sz w:val="24"/>
        </w:rPr>
        <w:t xml:space="preserve"> to be used as input into the Day-Ahead and Hour</w:t>
      </w:r>
      <w:r>
        <w:rPr>
          <w:sz w:val="24"/>
        </w:rPr>
        <w:noBreakHyphen/>
        <w:t>Ahead Reliability Unit Commitment processes (DRUC and HRUC).</w:t>
      </w:r>
    </w:p>
    <w:p w14:paraId="2730BA4F" w14:textId="5BDADDBE" w:rsidR="00557EF9" w:rsidRDefault="004271EB" w:rsidP="006E67BB">
      <w:pPr>
        <w:pStyle w:val="BodyText"/>
        <w:spacing w:before="120" w:line="360" w:lineRule="auto"/>
        <w:ind w:right="432"/>
        <w:jc w:val="both"/>
        <w:rPr>
          <w:sz w:val="24"/>
        </w:rPr>
      </w:pPr>
      <w:r>
        <w:rPr>
          <w:sz w:val="24"/>
        </w:rPr>
        <w:t xml:space="preserve">Additionally, Protocols require </w:t>
      </w:r>
      <w:r w:rsidR="00511419">
        <w:rPr>
          <w:sz w:val="24"/>
        </w:rPr>
        <w:t>QSE’s to provide a Resource Status in the COP reporting hours to indicate the availability of the WGR</w:t>
      </w:r>
      <w:r w:rsidR="003A01A1">
        <w:rPr>
          <w:sz w:val="24"/>
        </w:rPr>
        <w:t>/PVGR</w:t>
      </w:r>
      <w:r w:rsidR="00511419">
        <w:rPr>
          <w:sz w:val="24"/>
        </w:rPr>
        <w:t xml:space="preserve"> and its LEL/LSL/HSL/HEL capability.  </w:t>
      </w:r>
      <w:r w:rsidR="000F73DD">
        <w:rPr>
          <w:sz w:val="24"/>
        </w:rPr>
        <w:t>If the WGR</w:t>
      </w:r>
      <w:r w:rsidR="003A01A1">
        <w:rPr>
          <w:sz w:val="24"/>
        </w:rPr>
        <w:t>/PVGR</w:t>
      </w:r>
      <w:r w:rsidR="000F73DD">
        <w:rPr>
          <w:sz w:val="24"/>
        </w:rPr>
        <w:t xml:space="preserve"> is </w:t>
      </w:r>
      <w:r w:rsidR="00ED600A">
        <w:rPr>
          <w:sz w:val="24"/>
        </w:rPr>
        <w:t>available,</w:t>
      </w:r>
      <w:r w:rsidR="000F73DD">
        <w:rPr>
          <w:sz w:val="24"/>
        </w:rPr>
        <w:t xml:space="preserve"> the expected Resource Status is either ON (indicating that the WGR</w:t>
      </w:r>
      <w:r w:rsidR="0089770C">
        <w:rPr>
          <w:sz w:val="24"/>
        </w:rPr>
        <w:t>/PVGR</w:t>
      </w:r>
      <w:r w:rsidR="000F73DD">
        <w:rPr>
          <w:sz w:val="24"/>
        </w:rPr>
        <w:t xml:space="preserve"> has submitted an EOC) or ONOS (indicating that the WGR</w:t>
      </w:r>
      <w:r w:rsidR="0089770C">
        <w:rPr>
          <w:sz w:val="24"/>
        </w:rPr>
        <w:t>/PVGR</w:t>
      </w:r>
      <w:r w:rsidR="000F73DD">
        <w:rPr>
          <w:sz w:val="24"/>
        </w:rPr>
        <w:t xml:space="preserve"> will operate under the Protocol provisions </w:t>
      </w:r>
      <w:r w:rsidR="00557EF9">
        <w:rPr>
          <w:sz w:val="24"/>
        </w:rPr>
        <w:t>for a WGR</w:t>
      </w:r>
      <w:r w:rsidR="0089770C">
        <w:rPr>
          <w:sz w:val="24"/>
        </w:rPr>
        <w:t>/PVGR</w:t>
      </w:r>
      <w:r w:rsidR="00557EF9">
        <w:rPr>
          <w:sz w:val="24"/>
        </w:rPr>
        <w:t xml:space="preserve"> with/without an Output Schedule).  A </w:t>
      </w:r>
      <w:r w:rsidR="00557EF9">
        <w:rPr>
          <w:sz w:val="24"/>
        </w:rPr>
        <w:lastRenderedPageBreak/>
        <w:t>WGR</w:t>
      </w:r>
      <w:r w:rsidR="0089770C">
        <w:rPr>
          <w:sz w:val="24"/>
        </w:rPr>
        <w:t>/PVGR</w:t>
      </w:r>
      <w:r w:rsidR="00557EF9">
        <w:rPr>
          <w:sz w:val="24"/>
        </w:rPr>
        <w:t xml:space="preserve"> reporting a Resource Status OFF may </w:t>
      </w:r>
      <w:r>
        <w:rPr>
          <w:sz w:val="24"/>
        </w:rPr>
        <w:t xml:space="preserve">be </w:t>
      </w:r>
      <w:r w:rsidR="00557EF9">
        <w:rPr>
          <w:sz w:val="24"/>
        </w:rPr>
        <w:t>subject to a Reliability Unit Commitment</w:t>
      </w:r>
      <w:r>
        <w:rPr>
          <w:sz w:val="24"/>
        </w:rPr>
        <w:t xml:space="preserve"> Dispatch Instruction</w:t>
      </w:r>
      <w:r w:rsidR="00557EF9">
        <w:rPr>
          <w:sz w:val="24"/>
        </w:rPr>
        <w:t>.</w:t>
      </w:r>
    </w:p>
    <w:p w14:paraId="1368314F" w14:textId="77777777" w:rsidR="002473C0" w:rsidRDefault="00354B74" w:rsidP="00BF4F1C">
      <w:pPr>
        <w:pStyle w:val="NormalArial"/>
        <w:spacing w:before="120" w:after="120" w:line="360" w:lineRule="auto"/>
        <w:ind w:right="450"/>
        <w:jc w:val="both"/>
        <w:rPr>
          <w:rFonts w:ascii="Times New Roman" w:hAnsi="Times New Roman"/>
        </w:rPr>
      </w:pPr>
      <w:r w:rsidRPr="008F0E61">
        <w:rPr>
          <w:rFonts w:ascii="Times New Roman" w:hAnsi="Times New Roman"/>
        </w:rPr>
        <w:t xml:space="preserve">As described in Protocol 4.2.2 (1), ERCOT provides </w:t>
      </w:r>
      <w:r w:rsidR="004D2813" w:rsidRPr="008F0E61">
        <w:rPr>
          <w:rFonts w:ascii="Times New Roman" w:hAnsi="Times New Roman"/>
        </w:rPr>
        <w:t xml:space="preserve">for each </w:t>
      </w:r>
      <w:r w:rsidRPr="008F0E61">
        <w:rPr>
          <w:rFonts w:ascii="Times New Roman" w:hAnsi="Times New Roman"/>
        </w:rPr>
        <w:t>WGR a rolling Short Term Wind Power Forecast (STWPF)</w:t>
      </w:r>
      <w:r w:rsidR="004D2813" w:rsidRPr="008F0E61">
        <w:rPr>
          <w:rFonts w:ascii="Times New Roman" w:hAnsi="Times New Roman"/>
        </w:rPr>
        <w:t xml:space="preserve"> in the form of an </w:t>
      </w:r>
      <w:r w:rsidRPr="008F0E61">
        <w:rPr>
          <w:rFonts w:ascii="Times New Roman" w:hAnsi="Times New Roman"/>
        </w:rPr>
        <w:t xml:space="preserve">hourly forecast for the next </w:t>
      </w:r>
      <w:r w:rsidR="0089770C" w:rsidRPr="008F0E61">
        <w:rPr>
          <w:rFonts w:ascii="Times New Roman" w:hAnsi="Times New Roman"/>
        </w:rPr>
        <w:t xml:space="preserve">168 </w:t>
      </w:r>
      <w:r w:rsidRPr="008F0E61">
        <w:rPr>
          <w:rFonts w:ascii="Times New Roman" w:hAnsi="Times New Roman"/>
        </w:rPr>
        <w:t xml:space="preserve">hours.  </w:t>
      </w:r>
      <w:r w:rsidR="008D0F6A">
        <w:rPr>
          <w:rFonts w:ascii="Times New Roman" w:hAnsi="Times New Roman"/>
        </w:rPr>
        <w:t>Also P</w:t>
      </w:r>
      <w:r w:rsidR="00455F26">
        <w:rPr>
          <w:rFonts w:ascii="Times New Roman" w:hAnsi="Times New Roman"/>
        </w:rPr>
        <w:t xml:space="preserve">rotocol 4.2.3 (1) requires </w:t>
      </w:r>
      <w:r w:rsidR="00455F26" w:rsidRPr="008F0E61">
        <w:rPr>
          <w:rFonts w:ascii="Times New Roman" w:hAnsi="Times New Roman"/>
        </w:rPr>
        <w:t xml:space="preserve">ERCOT </w:t>
      </w:r>
      <w:r w:rsidR="008D0F6A">
        <w:rPr>
          <w:rFonts w:ascii="Times New Roman" w:hAnsi="Times New Roman"/>
        </w:rPr>
        <w:t>to</w:t>
      </w:r>
      <w:r w:rsidR="00455F26" w:rsidRPr="008F0E61">
        <w:rPr>
          <w:rFonts w:ascii="Times New Roman" w:hAnsi="Times New Roman"/>
        </w:rPr>
        <w:t xml:space="preserve"> produce a Short-Term PhotoVoltaic Power Forecast (STPPF) </w:t>
      </w:r>
      <w:r w:rsidR="008D0F6A">
        <w:rPr>
          <w:rFonts w:ascii="Times New Roman" w:hAnsi="Times New Roman"/>
        </w:rPr>
        <w:t xml:space="preserve">every hour </w:t>
      </w:r>
      <w:r w:rsidR="00455F26" w:rsidRPr="008F0E61">
        <w:rPr>
          <w:rFonts w:ascii="Times New Roman" w:hAnsi="Times New Roman"/>
        </w:rPr>
        <w:t xml:space="preserve">that provides a rolling 168-hour hourly forecast of PhotoVoltaic production potential for each PVGR.  </w:t>
      </w:r>
    </w:p>
    <w:p w14:paraId="1F38578D" w14:textId="77777777" w:rsidR="002473C0" w:rsidRDefault="008D0F6A" w:rsidP="00BF4F1C">
      <w:pPr>
        <w:pStyle w:val="NormalArial"/>
        <w:spacing w:before="120" w:after="120" w:line="360" w:lineRule="auto"/>
        <w:ind w:right="450"/>
        <w:jc w:val="both"/>
        <w:rPr>
          <w:rFonts w:ascii="Times New Roman" w:hAnsi="Times New Roman"/>
        </w:rPr>
      </w:pPr>
      <w:r>
        <w:rPr>
          <w:rFonts w:ascii="Times New Roman" w:hAnsi="Times New Roman"/>
        </w:rPr>
        <w:t>Upon implementation of NPRR 785, per protocol 3.9.1 (8)</w:t>
      </w:r>
      <w:r w:rsidR="00233D30">
        <w:rPr>
          <w:rFonts w:ascii="Times New Roman" w:hAnsi="Times New Roman"/>
        </w:rPr>
        <w:t>,</w:t>
      </w:r>
      <w:r>
        <w:rPr>
          <w:rFonts w:ascii="Times New Roman" w:hAnsi="Times New Roman"/>
        </w:rPr>
        <w:t xml:space="preserve"> </w:t>
      </w:r>
      <w:r w:rsidR="00233D30">
        <w:rPr>
          <w:rFonts w:ascii="Times New Roman" w:hAnsi="Times New Roman"/>
        </w:rPr>
        <w:t>f</w:t>
      </w:r>
      <w:r w:rsidR="00233D30" w:rsidRPr="000B5C15">
        <w:rPr>
          <w:rFonts w:ascii="Times New Roman" w:hAnsi="Times New Roman"/>
        </w:rPr>
        <w:t xml:space="preserve">or </w:t>
      </w:r>
      <w:r w:rsidR="00233D30" w:rsidRPr="008D0F6A">
        <w:rPr>
          <w:rFonts w:ascii="Times New Roman" w:hAnsi="Times New Roman"/>
        </w:rPr>
        <w:t>hours which fall within the</w:t>
      </w:r>
      <w:r w:rsidR="00233D30" w:rsidRPr="000B5C15" w:rsidDel="008D0F6A">
        <w:rPr>
          <w:rFonts w:ascii="Times New Roman" w:hAnsi="Times New Roman"/>
        </w:rPr>
        <w:t xml:space="preserve"> </w:t>
      </w:r>
      <w:r w:rsidR="00233D30" w:rsidRPr="000B5C15">
        <w:rPr>
          <w:rFonts w:ascii="Times New Roman" w:hAnsi="Times New Roman"/>
        </w:rPr>
        <w:t>168 hour</w:t>
      </w:r>
      <w:r w:rsidR="00233D30">
        <w:rPr>
          <w:rFonts w:ascii="Times New Roman" w:hAnsi="Times New Roman"/>
        </w:rPr>
        <w:t xml:space="preserve"> rolling window</w:t>
      </w:r>
      <w:r w:rsidR="00233D30" w:rsidRPr="000B5C15">
        <w:rPr>
          <w:rFonts w:ascii="Times New Roman" w:hAnsi="Times New Roman"/>
        </w:rPr>
        <w:t xml:space="preserve"> </w:t>
      </w:r>
      <w:r w:rsidR="00233D30">
        <w:rPr>
          <w:rFonts w:ascii="Times New Roman" w:hAnsi="Times New Roman"/>
        </w:rPr>
        <w:t xml:space="preserve">for forecasting, </w:t>
      </w:r>
      <w:r w:rsidRPr="008D0F6A">
        <w:rPr>
          <w:rFonts w:ascii="Times New Roman" w:hAnsi="Times New Roman"/>
        </w:rPr>
        <w:t xml:space="preserve">ERCOT will automatically update the HSL in the COPs for WGRs with the most recently updated STWPF and HSL values in COPs for </w:t>
      </w:r>
      <w:r>
        <w:rPr>
          <w:rFonts w:ascii="Times New Roman" w:hAnsi="Times New Roman"/>
        </w:rPr>
        <w:t>PVGRs</w:t>
      </w:r>
      <w:r w:rsidRPr="008D0F6A">
        <w:rPr>
          <w:rFonts w:ascii="Times New Roman" w:hAnsi="Times New Roman"/>
        </w:rPr>
        <w:t xml:space="preserve"> with the most recently updated STPPF.</w:t>
      </w:r>
      <w:r w:rsidR="002473C0" w:rsidRPr="000B5C15">
        <w:rPr>
          <w:rFonts w:ascii="Times New Roman" w:hAnsi="Times New Roman"/>
        </w:rPr>
        <w:t xml:space="preserve"> </w:t>
      </w:r>
      <w:r w:rsidR="002473C0" w:rsidRPr="002473C0">
        <w:rPr>
          <w:rFonts w:ascii="Times New Roman" w:hAnsi="Times New Roman"/>
        </w:rPr>
        <w:t xml:space="preserve">An Extensible Markup Language (XML) message will be sent every time when a WGR’s or PVGR’s COP HSL value is updated with the forecast value to its corresponding Qualified Scheduling Entity (QSE).  </w:t>
      </w:r>
    </w:p>
    <w:p w14:paraId="4F838A5F" w14:textId="77777777" w:rsidR="00233D30" w:rsidRPr="002473C0" w:rsidRDefault="00233D30" w:rsidP="00BF4F1C">
      <w:pPr>
        <w:pStyle w:val="NormalArial"/>
        <w:spacing w:before="120" w:after="120" w:line="360" w:lineRule="auto"/>
        <w:ind w:right="450"/>
        <w:jc w:val="both"/>
        <w:rPr>
          <w:rFonts w:ascii="Times New Roman" w:hAnsi="Times New Roman"/>
        </w:rPr>
      </w:pPr>
      <w:r w:rsidRPr="008D0F6A">
        <w:rPr>
          <w:rFonts w:ascii="Times New Roman" w:hAnsi="Times New Roman"/>
        </w:rPr>
        <w:t>For hours which fall within the 168-hour rolling window for forecasting and have a forecast from ERCOT, QSEs for WGRs and PVGRs will only be able to update the COP HSL values with values that are lower than the most recent forecast for the resource.</w:t>
      </w:r>
      <w:r w:rsidRPr="00233D30">
        <w:rPr>
          <w:rFonts w:ascii="Times New Roman" w:hAnsi="Times New Roman"/>
        </w:rPr>
        <w:t xml:space="preserve"> </w:t>
      </w:r>
      <w:r w:rsidRPr="002473C0">
        <w:rPr>
          <w:rFonts w:ascii="Times New Roman" w:hAnsi="Times New Roman"/>
        </w:rPr>
        <w:t>For any hour where a QSE update exists, ERCOT’s automatic COP HSL update logic will retain the lower of the most recent forecast and the QSE’s submitted HSL value.</w:t>
      </w:r>
    </w:p>
    <w:p w14:paraId="046049AA" w14:textId="77777777" w:rsidR="002473C0" w:rsidRDefault="002473C0" w:rsidP="00BF4F1C">
      <w:pPr>
        <w:pStyle w:val="NormalArial"/>
        <w:spacing w:before="120" w:after="120" w:line="360" w:lineRule="auto"/>
        <w:ind w:right="450"/>
        <w:jc w:val="both"/>
        <w:rPr>
          <w:rFonts w:ascii="Times New Roman" w:hAnsi="Times New Roman"/>
        </w:rPr>
      </w:pPr>
      <w:r w:rsidRPr="002473C0">
        <w:rPr>
          <w:rFonts w:ascii="Times New Roman" w:hAnsi="Times New Roman"/>
        </w:rPr>
        <w:t xml:space="preserve">QSEs </w:t>
      </w:r>
      <w:r w:rsidR="002718B8">
        <w:rPr>
          <w:rFonts w:ascii="Times New Roman" w:hAnsi="Times New Roman"/>
        </w:rPr>
        <w:t xml:space="preserve">that submit </w:t>
      </w:r>
      <w:r w:rsidRPr="002473C0">
        <w:rPr>
          <w:rFonts w:ascii="Times New Roman" w:hAnsi="Times New Roman"/>
        </w:rPr>
        <w:t>COPs for WGRs and</w:t>
      </w:r>
      <w:r w:rsidR="002718B8">
        <w:rPr>
          <w:rFonts w:ascii="Times New Roman" w:hAnsi="Times New Roman"/>
        </w:rPr>
        <w:t>/</w:t>
      </w:r>
      <w:r w:rsidRPr="002473C0">
        <w:rPr>
          <w:rFonts w:ascii="Times New Roman" w:hAnsi="Times New Roman"/>
        </w:rPr>
        <w:t xml:space="preserve">or PVGRs for hours </w:t>
      </w:r>
      <w:r w:rsidR="00233D30">
        <w:rPr>
          <w:rFonts w:ascii="Times New Roman" w:hAnsi="Times New Roman"/>
        </w:rPr>
        <w:t>which</w:t>
      </w:r>
      <w:r w:rsidRPr="002473C0">
        <w:rPr>
          <w:rFonts w:ascii="Times New Roman" w:hAnsi="Times New Roman"/>
        </w:rPr>
        <w:t xml:space="preserve"> do not have a forecast from ERCOT, it is recommended that the resource’s High Reasonability Limit (HRL) </w:t>
      </w:r>
      <w:r w:rsidR="00233D30">
        <w:rPr>
          <w:rFonts w:ascii="Times New Roman" w:hAnsi="Times New Roman"/>
        </w:rPr>
        <w:t xml:space="preserve">be used </w:t>
      </w:r>
      <w:r w:rsidRPr="002473C0">
        <w:rPr>
          <w:rFonts w:ascii="Times New Roman" w:hAnsi="Times New Roman"/>
        </w:rPr>
        <w:t xml:space="preserve">as </w:t>
      </w:r>
      <w:r w:rsidR="00233D30">
        <w:rPr>
          <w:rFonts w:ascii="Times New Roman" w:hAnsi="Times New Roman"/>
        </w:rPr>
        <w:t xml:space="preserve">its COP </w:t>
      </w:r>
      <w:r w:rsidRPr="002473C0">
        <w:rPr>
          <w:rFonts w:ascii="Times New Roman" w:hAnsi="Times New Roman"/>
        </w:rPr>
        <w:t>HSL value</w:t>
      </w:r>
      <w:r w:rsidR="00233D30">
        <w:rPr>
          <w:rFonts w:ascii="Times New Roman" w:hAnsi="Times New Roman"/>
        </w:rPr>
        <w:t xml:space="preserve"> for these hours</w:t>
      </w:r>
      <w:r w:rsidRPr="002473C0">
        <w:rPr>
          <w:rFonts w:ascii="Times New Roman" w:hAnsi="Times New Roman"/>
        </w:rPr>
        <w:t xml:space="preserve">. Once these hours fall within the 168-hour rolling window for forecasting, ERCOT’s systems will automatically start updating the </w:t>
      </w:r>
      <w:r w:rsidR="00233D30">
        <w:rPr>
          <w:rFonts w:ascii="Times New Roman" w:hAnsi="Times New Roman"/>
        </w:rPr>
        <w:t xml:space="preserve">COP </w:t>
      </w:r>
      <w:r w:rsidRPr="002473C0">
        <w:rPr>
          <w:rFonts w:ascii="Times New Roman" w:hAnsi="Times New Roman"/>
        </w:rPr>
        <w:t xml:space="preserve">HSL value </w:t>
      </w:r>
      <w:r w:rsidR="00233D30" w:rsidRPr="00233D30">
        <w:rPr>
          <w:rFonts w:ascii="Times New Roman" w:hAnsi="Times New Roman"/>
        </w:rPr>
        <w:t>with the most recent forecast for the resource</w:t>
      </w:r>
      <w:r w:rsidRPr="002473C0">
        <w:rPr>
          <w:rFonts w:ascii="Times New Roman" w:hAnsi="Times New Roman"/>
        </w:rPr>
        <w:t xml:space="preserve">.     </w:t>
      </w:r>
    </w:p>
    <w:p w14:paraId="7CF6A87D" w14:textId="77777777" w:rsidR="00734B4B" w:rsidRPr="009658D8" w:rsidRDefault="002718B8" w:rsidP="00BF4F1C">
      <w:pPr>
        <w:pStyle w:val="NormalArial"/>
        <w:spacing w:before="120" w:after="120" w:line="360" w:lineRule="auto"/>
        <w:ind w:right="450"/>
        <w:jc w:val="both"/>
      </w:pPr>
      <w:r>
        <w:rPr>
          <w:rFonts w:ascii="Times New Roman" w:hAnsi="Times New Roman"/>
        </w:rPr>
        <w:t xml:space="preserve">Outages and de-rates should be first entered into the </w:t>
      </w:r>
      <w:r w:rsidR="006D4B8F">
        <w:rPr>
          <w:rFonts w:ascii="Times New Roman" w:hAnsi="Times New Roman"/>
        </w:rPr>
        <w:t>O</w:t>
      </w:r>
      <w:r>
        <w:rPr>
          <w:rFonts w:ascii="Times New Roman" w:hAnsi="Times New Roman"/>
        </w:rPr>
        <w:t xml:space="preserve">utage </w:t>
      </w:r>
      <w:r w:rsidR="006D4B8F">
        <w:rPr>
          <w:rFonts w:ascii="Times New Roman" w:hAnsi="Times New Roman"/>
        </w:rPr>
        <w:t>S</w:t>
      </w:r>
      <w:r>
        <w:rPr>
          <w:rFonts w:ascii="Times New Roman" w:hAnsi="Times New Roman"/>
        </w:rPr>
        <w:t xml:space="preserve">cheduler. </w:t>
      </w:r>
      <w:r w:rsidR="006D4B8F">
        <w:rPr>
          <w:rFonts w:ascii="Times New Roman" w:hAnsi="Times New Roman"/>
        </w:rPr>
        <w:t xml:space="preserve">Outages entered prior to a specific hour’s adjustment period and that hour’s forecast delivery will be taken into account, however outages later in the hour will not be. </w:t>
      </w:r>
      <w:r>
        <w:rPr>
          <w:rFonts w:ascii="Times New Roman" w:hAnsi="Times New Roman"/>
        </w:rPr>
        <w:t>Given a scenario where the timing doesn’t permit</w:t>
      </w:r>
      <w:r w:rsidR="006D4B8F">
        <w:rPr>
          <w:rFonts w:ascii="Times New Roman" w:hAnsi="Times New Roman"/>
        </w:rPr>
        <w:t xml:space="preserve"> this</w:t>
      </w:r>
      <w:r>
        <w:rPr>
          <w:rFonts w:ascii="Times New Roman" w:hAnsi="Times New Roman"/>
        </w:rPr>
        <w:t xml:space="preserve">, </w:t>
      </w:r>
      <w:r w:rsidR="00354B74" w:rsidRPr="008F0E61">
        <w:rPr>
          <w:rFonts w:ascii="Times New Roman" w:hAnsi="Times New Roman"/>
        </w:rPr>
        <w:t>QSEs</w:t>
      </w:r>
      <w:r w:rsidR="00D07E1B">
        <w:rPr>
          <w:rFonts w:ascii="Times New Roman" w:hAnsi="Times New Roman"/>
        </w:rPr>
        <w:t xml:space="preserve"> </w:t>
      </w:r>
      <w:r w:rsidR="00234FC6">
        <w:rPr>
          <w:rFonts w:ascii="Times New Roman" w:hAnsi="Times New Roman"/>
        </w:rPr>
        <w:t>representing</w:t>
      </w:r>
      <w:r w:rsidR="00D07E1B">
        <w:rPr>
          <w:rFonts w:ascii="Times New Roman" w:hAnsi="Times New Roman"/>
        </w:rPr>
        <w:t xml:space="preserve"> WGRs or PVGRs</w:t>
      </w:r>
      <w:r w:rsidR="00354B74" w:rsidRPr="008F0E61">
        <w:rPr>
          <w:rFonts w:ascii="Times New Roman" w:hAnsi="Times New Roman"/>
        </w:rPr>
        <w:t xml:space="preserve"> are required to adjust</w:t>
      </w:r>
      <w:r w:rsidR="00234FC6">
        <w:rPr>
          <w:rFonts w:ascii="Times New Roman" w:hAnsi="Times New Roman"/>
        </w:rPr>
        <w:t xml:space="preserve"> </w:t>
      </w:r>
      <w:r w:rsidR="00354B74" w:rsidRPr="008F0E61">
        <w:rPr>
          <w:rFonts w:ascii="Times New Roman" w:hAnsi="Times New Roman"/>
        </w:rPr>
        <w:t xml:space="preserve">the </w:t>
      </w:r>
      <w:r>
        <w:rPr>
          <w:rFonts w:ascii="Times New Roman" w:hAnsi="Times New Roman"/>
        </w:rPr>
        <w:t>pre-populated</w:t>
      </w:r>
      <w:r w:rsidRPr="006B6E7D">
        <w:rPr>
          <w:rFonts w:ascii="Times New Roman" w:hAnsi="Times New Roman"/>
        </w:rPr>
        <w:t xml:space="preserve"> </w:t>
      </w:r>
      <w:r w:rsidR="00D07E1B">
        <w:rPr>
          <w:rFonts w:ascii="Times New Roman" w:hAnsi="Times New Roman"/>
        </w:rPr>
        <w:t>COP and potentially it</w:t>
      </w:r>
      <w:r w:rsidR="00D07E1B" w:rsidRPr="00AB7230">
        <w:rPr>
          <w:rFonts w:ascii="Times New Roman" w:hAnsi="Times New Roman"/>
        </w:rPr>
        <w:t>s Resource Status in its COP</w:t>
      </w:r>
      <w:r w:rsidR="00354B74" w:rsidRPr="008F0E61">
        <w:rPr>
          <w:rFonts w:ascii="Times New Roman" w:hAnsi="Times New Roman"/>
        </w:rPr>
        <w:t xml:space="preserve"> to account for WGR</w:t>
      </w:r>
      <w:r w:rsidR="00D07E1B">
        <w:rPr>
          <w:rFonts w:ascii="Times New Roman" w:hAnsi="Times New Roman"/>
        </w:rPr>
        <w:t>/PVGR</w:t>
      </w:r>
      <w:r w:rsidR="00354B74" w:rsidRPr="008F0E61">
        <w:rPr>
          <w:rFonts w:ascii="Times New Roman" w:hAnsi="Times New Roman"/>
        </w:rPr>
        <w:t xml:space="preserve"> deratings or availability reductions due to</w:t>
      </w:r>
      <w:r w:rsidR="004D2813" w:rsidRPr="008F0E61">
        <w:rPr>
          <w:rFonts w:ascii="Times New Roman" w:hAnsi="Times New Roman"/>
        </w:rPr>
        <w:t xml:space="preserve"> outages</w:t>
      </w:r>
      <w:r w:rsidR="00B65D02">
        <w:rPr>
          <w:rFonts w:ascii="Times New Roman" w:hAnsi="Times New Roman"/>
        </w:rPr>
        <w:t xml:space="preserve"> not captured by STWPF/STPPF</w:t>
      </w:r>
      <w:r w:rsidR="00234FC6">
        <w:rPr>
          <w:rFonts w:ascii="Times New Roman" w:hAnsi="Times New Roman"/>
        </w:rPr>
        <w:t>.</w:t>
      </w:r>
      <w:r w:rsidR="004D2813" w:rsidRPr="008F0E61">
        <w:rPr>
          <w:rFonts w:ascii="Times New Roman" w:hAnsi="Times New Roman"/>
        </w:rPr>
        <w:t xml:space="preserve"> </w:t>
      </w:r>
      <w:r w:rsidR="00354B74" w:rsidRPr="008F0E61">
        <w:rPr>
          <w:rFonts w:ascii="Times New Roman" w:hAnsi="Times New Roman"/>
        </w:rPr>
        <w:t xml:space="preserve"> </w:t>
      </w:r>
      <w:r w:rsidR="00D07E1B" w:rsidRPr="008F0E61">
        <w:rPr>
          <w:rFonts w:ascii="Times New Roman" w:hAnsi="Times New Roman"/>
        </w:rPr>
        <w:t>Update</w:t>
      </w:r>
      <w:r w:rsidR="005D1222">
        <w:rPr>
          <w:rFonts w:ascii="Times New Roman" w:hAnsi="Times New Roman"/>
        </w:rPr>
        <w:t>s</w:t>
      </w:r>
      <w:r w:rsidR="00D07E1B" w:rsidRPr="008F0E61">
        <w:rPr>
          <w:rFonts w:ascii="Times New Roman" w:hAnsi="Times New Roman"/>
        </w:rPr>
        <w:t xml:space="preserve"> to </w:t>
      </w:r>
      <w:r w:rsidR="00354B74" w:rsidRPr="008F0E61">
        <w:rPr>
          <w:rFonts w:ascii="Times New Roman" w:hAnsi="Times New Roman"/>
        </w:rPr>
        <w:t xml:space="preserve">COP entries represent the QSE’s </w:t>
      </w:r>
      <w:r w:rsidR="00EE7006" w:rsidRPr="008F0E61">
        <w:rPr>
          <w:rFonts w:ascii="Times New Roman" w:hAnsi="Times New Roman"/>
        </w:rPr>
        <w:t xml:space="preserve">best estimate of the </w:t>
      </w:r>
      <w:r w:rsidR="00354B74" w:rsidRPr="008F0E61">
        <w:rPr>
          <w:rFonts w:ascii="Times New Roman" w:hAnsi="Times New Roman"/>
        </w:rPr>
        <w:t xml:space="preserve">anticipated or expected </w:t>
      </w:r>
      <w:r w:rsidR="00D07E1B" w:rsidRPr="008F0E61">
        <w:rPr>
          <w:rFonts w:ascii="Times New Roman" w:hAnsi="Times New Roman"/>
        </w:rPr>
        <w:t>derating</w:t>
      </w:r>
      <w:r w:rsidR="00234FC6">
        <w:rPr>
          <w:rFonts w:ascii="Times New Roman" w:hAnsi="Times New Roman"/>
        </w:rPr>
        <w:t xml:space="preserve">s, </w:t>
      </w:r>
      <w:r w:rsidR="00234FC6" w:rsidRPr="00AB7230">
        <w:rPr>
          <w:rFonts w:ascii="Times New Roman" w:hAnsi="Times New Roman"/>
        </w:rPr>
        <w:lastRenderedPageBreak/>
        <w:t>expected meteorological, regulatory, and physical conditions</w:t>
      </w:r>
      <w:r w:rsidR="00234FC6">
        <w:rPr>
          <w:rFonts w:ascii="Times New Roman" w:hAnsi="Times New Roman"/>
        </w:rPr>
        <w:t xml:space="preserve"> for WGRs/PVGRs</w:t>
      </w:r>
      <w:r w:rsidR="00354B74" w:rsidRPr="008F0E61">
        <w:rPr>
          <w:rFonts w:ascii="Times New Roman" w:hAnsi="Times New Roman"/>
        </w:rPr>
        <w:t xml:space="preserve"> for the </w:t>
      </w:r>
      <w:r w:rsidR="00234FC6">
        <w:rPr>
          <w:rFonts w:ascii="Times New Roman" w:hAnsi="Times New Roman"/>
        </w:rPr>
        <w:t>next 168</w:t>
      </w:r>
      <w:r w:rsidR="00234FC6" w:rsidRPr="008F0E61">
        <w:rPr>
          <w:rFonts w:ascii="Times New Roman" w:hAnsi="Times New Roman"/>
        </w:rPr>
        <w:t xml:space="preserve"> </w:t>
      </w:r>
      <w:r w:rsidR="00354B74" w:rsidRPr="008F0E61">
        <w:rPr>
          <w:rFonts w:ascii="Times New Roman" w:hAnsi="Times New Roman"/>
        </w:rPr>
        <w:t xml:space="preserve">hours. </w:t>
      </w:r>
      <w:r w:rsidR="005D1222">
        <w:rPr>
          <w:rFonts w:ascii="Times New Roman" w:hAnsi="Times New Roman"/>
        </w:rPr>
        <w:t>Updates by the QSE to the forecasted HSL should not be necessary in the event of properly timed outages.</w:t>
      </w:r>
    </w:p>
    <w:p w14:paraId="1DAACA49" w14:textId="77777777" w:rsidR="00890F13" w:rsidRPr="009658D8" w:rsidRDefault="00CA16D8" w:rsidP="00890F13">
      <w:pPr>
        <w:pStyle w:val="Heading2"/>
        <w:rPr>
          <w:rFonts w:ascii="Times New Roman" w:hAnsi="Times New Roman" w:cs="Times New Roman"/>
        </w:rPr>
      </w:pPr>
      <w:bookmarkStart w:id="261" w:name="_Toc264444086"/>
      <w:bookmarkStart w:id="262" w:name="_Toc264883544"/>
      <w:bookmarkStart w:id="263" w:name="_Toc264883465"/>
      <w:bookmarkStart w:id="264" w:name="_Toc216878065"/>
      <w:bookmarkEnd w:id="261"/>
      <w:bookmarkEnd w:id="262"/>
      <w:r w:rsidRPr="00CA16D8">
        <w:rPr>
          <w:rFonts w:ascii="Times New Roman" w:hAnsi="Times New Roman" w:cs="Times New Roman"/>
        </w:rPr>
        <w:t>COP Reporting for Combined Cycle Trains</w:t>
      </w:r>
      <w:bookmarkEnd w:id="263"/>
      <w:r w:rsidR="008B3C0C">
        <w:rPr>
          <w:rFonts w:ascii="Times New Roman" w:hAnsi="Times New Roman" w:cs="Times New Roman"/>
        </w:rPr>
        <w:t xml:space="preserve"> (CCT)</w:t>
      </w:r>
      <w:bookmarkEnd w:id="264"/>
    </w:p>
    <w:p w14:paraId="3C1F0433" w14:textId="77777777" w:rsidR="004674FF" w:rsidRPr="009658D8" w:rsidRDefault="00354B74" w:rsidP="00890F13">
      <w:pPr>
        <w:pStyle w:val="BodyText"/>
        <w:spacing w:before="120" w:line="360" w:lineRule="auto"/>
        <w:ind w:right="432"/>
        <w:jc w:val="both"/>
        <w:rPr>
          <w:sz w:val="24"/>
        </w:rPr>
      </w:pPr>
      <w:r>
        <w:rPr>
          <w:sz w:val="24"/>
        </w:rPr>
        <w:t xml:space="preserve">In ERCOT, the CCT owner must submit a Resource Asset Registration Form to register each of the operating configurations that will participate in the ERCOT market as an individual Combined Cycle Generation Resource with a unique Resource ID (i.e. each of the CCT registered configurations </w:t>
      </w:r>
      <w:r w:rsidR="00CF2DC4">
        <w:rPr>
          <w:sz w:val="24"/>
        </w:rPr>
        <w:t>are</w:t>
      </w:r>
      <w:r>
        <w:rPr>
          <w:sz w:val="24"/>
        </w:rPr>
        <w:t xml:space="preserve"> referred to a Combine Cycle Generation Resource (CCGR)).  For those CCGRs that are injecting power into the ERCOT Grid, the COP is expected to show an appropriate On-Line Resource Status such as ON.</w:t>
      </w:r>
    </w:p>
    <w:p w14:paraId="0CF0DC6A" w14:textId="77777777" w:rsidR="004674FF" w:rsidRPr="009658D8" w:rsidRDefault="00354B74" w:rsidP="00890F13">
      <w:pPr>
        <w:pStyle w:val="BodyText"/>
        <w:spacing w:before="120" w:line="360" w:lineRule="auto"/>
        <w:ind w:right="432"/>
        <w:jc w:val="both"/>
        <w:rPr>
          <w:sz w:val="24"/>
        </w:rPr>
      </w:pPr>
      <w:r>
        <w:rPr>
          <w:sz w:val="24"/>
        </w:rPr>
        <w:t>The following rules should be applied by the QSE when reporting the Resource Status for CCGR configurations in its COP:</w:t>
      </w:r>
    </w:p>
    <w:p w14:paraId="0F4497B7" w14:textId="7679A467" w:rsidR="00370649" w:rsidRPr="009658D8" w:rsidRDefault="00354B74" w:rsidP="004674FF">
      <w:pPr>
        <w:pStyle w:val="BodyText"/>
        <w:numPr>
          <w:ilvl w:val="0"/>
          <w:numId w:val="15"/>
        </w:numPr>
        <w:spacing w:before="120" w:line="360" w:lineRule="auto"/>
        <w:ind w:right="432"/>
        <w:jc w:val="both"/>
        <w:rPr>
          <w:sz w:val="24"/>
        </w:rPr>
      </w:pPr>
      <w:r>
        <w:rPr>
          <w:sz w:val="24"/>
        </w:rPr>
        <w:t xml:space="preserve">For those COP reporting hours that the QSE expects to commit a CCGR configuration, the QSE should show the </w:t>
      </w:r>
      <w:r w:rsidR="008B3C0C">
        <w:rPr>
          <w:sz w:val="24"/>
        </w:rPr>
        <w:t xml:space="preserve">committed </w:t>
      </w:r>
      <w:r>
        <w:rPr>
          <w:sz w:val="24"/>
        </w:rPr>
        <w:t>CCGR configuration to be in an appropriate On-Line Resource Status (i.e. ON, ON</w:t>
      </w:r>
      <w:r w:rsidR="00094D6E">
        <w:rPr>
          <w:sz w:val="24"/>
        </w:rPr>
        <w:t>OS</w:t>
      </w:r>
      <w:r w:rsidR="00CF2DC4">
        <w:rPr>
          <w:sz w:val="24"/>
        </w:rPr>
        <w:t xml:space="preserve"> </w:t>
      </w:r>
      <w:r w:rsidR="00A41794">
        <w:rPr>
          <w:sz w:val="24"/>
        </w:rPr>
        <w:t>etc.</w:t>
      </w:r>
      <w:r>
        <w:rPr>
          <w:sz w:val="24"/>
        </w:rPr>
        <w:t xml:space="preserve">).  All other CCGRs configurations in the CCT should be shown with a Resource Status of </w:t>
      </w:r>
      <w:r w:rsidR="00122C3B">
        <w:rPr>
          <w:sz w:val="24"/>
        </w:rPr>
        <w:t xml:space="preserve">OFF or </w:t>
      </w:r>
      <w:r>
        <w:rPr>
          <w:sz w:val="24"/>
        </w:rPr>
        <w:t>OUT</w:t>
      </w:r>
      <w:r w:rsidR="00122C3B">
        <w:rPr>
          <w:sz w:val="24"/>
        </w:rPr>
        <w:t>, as appropriate to the CCGR configuration availability,</w:t>
      </w:r>
      <w:r>
        <w:rPr>
          <w:sz w:val="24"/>
        </w:rPr>
        <w:t xml:space="preserve"> in that hour.</w:t>
      </w:r>
    </w:p>
    <w:p w14:paraId="557D0CB7" w14:textId="77777777" w:rsidR="00890F13" w:rsidRPr="009658D8" w:rsidRDefault="00354B74" w:rsidP="004674FF">
      <w:pPr>
        <w:pStyle w:val="BodyText"/>
        <w:numPr>
          <w:ilvl w:val="0"/>
          <w:numId w:val="15"/>
        </w:numPr>
        <w:spacing w:before="120" w:line="360" w:lineRule="auto"/>
        <w:ind w:right="432"/>
        <w:jc w:val="both"/>
        <w:rPr>
          <w:sz w:val="24"/>
        </w:rPr>
      </w:pPr>
      <w:r>
        <w:rPr>
          <w:sz w:val="24"/>
        </w:rPr>
        <w:t>If the QSE does not intend to commit a CCT in a COP reporting hour, the CCGR configurations that are available should be reported in the COP as OFF and those CCGR configurations that are unavailable should be reported as OUT.</w:t>
      </w:r>
    </w:p>
    <w:p w14:paraId="395D9C07" w14:textId="59A03DED" w:rsidR="00370649" w:rsidRDefault="00354B74" w:rsidP="004674FF">
      <w:pPr>
        <w:pStyle w:val="BodyText"/>
        <w:numPr>
          <w:ilvl w:val="0"/>
          <w:numId w:val="15"/>
        </w:numPr>
        <w:spacing w:before="120" w:line="360" w:lineRule="auto"/>
        <w:ind w:right="432"/>
        <w:jc w:val="both"/>
        <w:rPr>
          <w:sz w:val="24"/>
        </w:rPr>
      </w:pPr>
      <w:r>
        <w:rPr>
          <w:sz w:val="24"/>
        </w:rPr>
        <w:t>If a CCGR configuration is RUC committed in a COP reporting hour, the QSE should show the Resource Status for the committed CCGR configuration as ONRUC</w:t>
      </w:r>
      <w:r w:rsidR="00464D7A">
        <w:rPr>
          <w:sz w:val="24"/>
        </w:rPr>
        <w:t>, if the QSE is not intending to opt of RUC settlement</w:t>
      </w:r>
      <w:r>
        <w:rPr>
          <w:sz w:val="24"/>
        </w:rPr>
        <w:t xml:space="preserve">.  All other CCGR configurations should be reported as </w:t>
      </w:r>
      <w:r w:rsidR="00154C9A">
        <w:rPr>
          <w:sz w:val="24"/>
        </w:rPr>
        <w:t xml:space="preserve">OFF or OUT, as appropriate to the CCGR configuration availability, </w:t>
      </w:r>
      <w:proofErr w:type="gramStart"/>
      <w:r w:rsidR="00154C9A">
        <w:rPr>
          <w:sz w:val="24"/>
        </w:rPr>
        <w:t>in</w:t>
      </w:r>
      <w:proofErr w:type="gramEnd"/>
      <w:r w:rsidR="00154C9A">
        <w:rPr>
          <w:sz w:val="24"/>
        </w:rPr>
        <w:t xml:space="preserve"> that </w:t>
      </w:r>
      <w:proofErr w:type="gramStart"/>
      <w:r w:rsidR="00A41794">
        <w:rPr>
          <w:sz w:val="24"/>
        </w:rPr>
        <w:t>hour</w:t>
      </w:r>
      <w:proofErr w:type="gramEnd"/>
      <w:r w:rsidR="00A41794">
        <w:rPr>
          <w:sz w:val="24"/>
        </w:rPr>
        <w:t>.</w:t>
      </w:r>
    </w:p>
    <w:p w14:paraId="240A1371" w14:textId="6E4F66CC" w:rsidR="008850D4" w:rsidRDefault="008850D4" w:rsidP="008850D4">
      <w:pPr>
        <w:pStyle w:val="BodyText"/>
        <w:numPr>
          <w:ilvl w:val="0"/>
          <w:numId w:val="15"/>
        </w:numPr>
        <w:spacing w:before="120" w:line="360" w:lineRule="auto"/>
        <w:ind w:right="432"/>
        <w:jc w:val="both"/>
        <w:rPr>
          <w:sz w:val="24"/>
        </w:rPr>
      </w:pPr>
      <w:r>
        <w:rPr>
          <w:sz w:val="24"/>
        </w:rPr>
        <w:t xml:space="preserve">If a CCGR configuration is RUC committed in a COP reporting hour, the QSE </w:t>
      </w:r>
      <w:r w:rsidRPr="008850D4">
        <w:rPr>
          <w:sz w:val="24"/>
        </w:rPr>
        <w:t xml:space="preserve">may opt out of the RUC Settlement by setting the COP status of any Combined Cycle Generation Resource within the same Combined Cycle Train as the RUC-committed Resource to ONOPTOUT for the first hour of a contiguous block of RUC-Committed </w:t>
      </w:r>
      <w:r w:rsidRPr="008850D4">
        <w:rPr>
          <w:sz w:val="24"/>
        </w:rPr>
        <w:lastRenderedPageBreak/>
        <w:t>Hours in the Opt Out Snapshot</w:t>
      </w:r>
      <w:r>
        <w:rPr>
          <w:sz w:val="24"/>
        </w:rPr>
        <w:t xml:space="preserve">, as </w:t>
      </w:r>
      <w:r w:rsidR="005E3848">
        <w:rPr>
          <w:sz w:val="24"/>
        </w:rPr>
        <w:t>per</w:t>
      </w:r>
      <w:r>
        <w:rPr>
          <w:sz w:val="24"/>
        </w:rPr>
        <w:t xml:space="preserve"> protocol 2.1</w:t>
      </w:r>
      <w:r w:rsidR="009933E0">
        <w:rPr>
          <w:sz w:val="24"/>
        </w:rPr>
        <w:t xml:space="preserve"> and</w:t>
      </w:r>
      <w:r>
        <w:rPr>
          <w:sz w:val="24"/>
        </w:rPr>
        <w:t xml:space="preserve"> 5.5.2 (14).  All other CCGR configurations should be reported as </w:t>
      </w:r>
      <w:r w:rsidR="00154C9A">
        <w:rPr>
          <w:sz w:val="24"/>
        </w:rPr>
        <w:t>OFF or OUT, as appropriate to the CCGR configuration availability, in that hour.</w:t>
      </w:r>
    </w:p>
    <w:p w14:paraId="57378053" w14:textId="168DFAC8" w:rsidR="009A72B1" w:rsidRPr="009658D8" w:rsidRDefault="00354B74" w:rsidP="0020292A">
      <w:pPr>
        <w:pStyle w:val="BodyText"/>
        <w:spacing w:before="120" w:line="360" w:lineRule="auto"/>
        <w:ind w:right="432"/>
        <w:jc w:val="both"/>
        <w:rPr>
          <w:sz w:val="24"/>
        </w:rPr>
      </w:pPr>
      <w:r>
        <w:rPr>
          <w:sz w:val="24"/>
        </w:rPr>
        <w:t>The protocol requirements for the dec</w:t>
      </w:r>
      <w:r w:rsidR="001F2782">
        <w:rPr>
          <w:sz w:val="24"/>
        </w:rPr>
        <w:t>ommitment of a Resource apply.</w:t>
      </w:r>
    </w:p>
    <w:p w14:paraId="0742CA72" w14:textId="46D6790C" w:rsidR="00B652ED" w:rsidRPr="009658D8" w:rsidRDefault="00354B74" w:rsidP="00B652ED">
      <w:pPr>
        <w:pStyle w:val="BodyText"/>
        <w:spacing w:before="120" w:line="360" w:lineRule="auto"/>
        <w:ind w:right="432"/>
        <w:jc w:val="both"/>
        <w:rPr>
          <w:sz w:val="24"/>
        </w:rPr>
      </w:pPr>
      <w:r>
        <w:rPr>
          <w:sz w:val="24"/>
        </w:rPr>
        <w:t xml:space="preserve">The QSE should report an appropriate Resource Capability (HSL/LSL/HEL/LEL) and Ancillary Service </w:t>
      </w:r>
      <w:r w:rsidR="003025C1">
        <w:rPr>
          <w:sz w:val="24"/>
        </w:rPr>
        <w:t>Capability</w:t>
      </w:r>
      <w:r>
        <w:rPr>
          <w:sz w:val="24"/>
        </w:rPr>
        <w:t xml:space="preserve"> in its COP in accordance with the guidelines described in Section 4 below.  </w:t>
      </w:r>
      <w:r w:rsidR="00724107">
        <w:rPr>
          <w:sz w:val="24"/>
        </w:rPr>
        <w:t>The QSE/CCT Owner for facilities with the ability to interconnect to either ERCOT or another Control Area must assure that the combined commitment of its Resource capacity in each Control Area is not greater than the actual capability of the generation facility.</w:t>
      </w:r>
    </w:p>
    <w:p w14:paraId="285D262C" w14:textId="2CEEA5C4" w:rsidR="00DA4BE7" w:rsidRPr="009658D8" w:rsidRDefault="004A4EE8" w:rsidP="00DA4BE7">
      <w:pPr>
        <w:pStyle w:val="Heading2"/>
        <w:rPr>
          <w:rFonts w:ascii="Times New Roman" w:hAnsi="Times New Roman" w:cs="Times New Roman"/>
        </w:rPr>
      </w:pPr>
      <w:bookmarkStart w:id="265" w:name="_Toc216878066"/>
      <w:r>
        <w:rPr>
          <w:rFonts w:ascii="Times New Roman" w:hAnsi="Times New Roman" w:cs="Times New Roman"/>
        </w:rPr>
        <w:t>RUC-Committed Resources</w:t>
      </w:r>
      <w:bookmarkEnd w:id="265"/>
    </w:p>
    <w:p w14:paraId="188E26A6" w14:textId="79434C27" w:rsidR="008B35A3" w:rsidRPr="00471CD3" w:rsidRDefault="00354B74" w:rsidP="00C204CE">
      <w:pPr>
        <w:pStyle w:val="BodyText"/>
        <w:spacing w:before="120" w:line="360" w:lineRule="auto"/>
        <w:ind w:right="432"/>
        <w:jc w:val="both"/>
        <w:rPr>
          <w:iCs/>
          <w:sz w:val="24"/>
        </w:rPr>
      </w:pPr>
      <w:r w:rsidRPr="00474881">
        <w:rPr>
          <w:iCs/>
          <w:sz w:val="24"/>
        </w:rPr>
        <w:t xml:space="preserve">For Resources that are committed in specific hours of an Operating Day by a RUC process for the purpose of meeting </w:t>
      </w:r>
      <w:r w:rsidRPr="00471CD3">
        <w:rPr>
          <w:iCs/>
          <w:sz w:val="24"/>
        </w:rPr>
        <w:t xml:space="preserve">ERCOT System capacity requirements, the QSE must report a COP Resource Status of ONRUC </w:t>
      </w:r>
      <w:r w:rsidR="00452CE5">
        <w:rPr>
          <w:iCs/>
          <w:sz w:val="24"/>
        </w:rPr>
        <w:t xml:space="preserve">or ONOPTOUT </w:t>
      </w:r>
      <w:r w:rsidRPr="00471CD3">
        <w:rPr>
          <w:iCs/>
          <w:sz w:val="24"/>
        </w:rPr>
        <w:t>in the commitment hours. Failure to do so will result in the COP update being rejected.</w:t>
      </w:r>
    </w:p>
    <w:p w14:paraId="206D7EC8" w14:textId="69A93E5E" w:rsidR="007964F0" w:rsidRPr="00474881" w:rsidRDefault="007964F0" w:rsidP="007964F0">
      <w:pPr>
        <w:pStyle w:val="BodyText"/>
        <w:spacing w:before="120" w:line="360" w:lineRule="auto"/>
        <w:ind w:right="432"/>
        <w:jc w:val="both"/>
        <w:rPr>
          <w:iCs/>
          <w:sz w:val="24"/>
        </w:rPr>
      </w:pPr>
    </w:p>
    <w:p w14:paraId="23A57548" w14:textId="77777777" w:rsidR="000E7B35" w:rsidRPr="00BF4F1C" w:rsidRDefault="0019210A">
      <w:pPr>
        <w:pStyle w:val="Heading2"/>
        <w:rPr>
          <w:rStyle w:val="Emphasis"/>
          <w:rFonts w:ascii="Times New Roman" w:hAnsi="Times New Roman" w:cs="Times New Roman"/>
          <w:i w:val="0"/>
        </w:rPr>
      </w:pPr>
      <w:bookmarkStart w:id="266" w:name="_Toc216878067"/>
      <w:r w:rsidRPr="00BF4F1C">
        <w:rPr>
          <w:rStyle w:val="Emphasis"/>
          <w:rFonts w:ascii="Times New Roman" w:hAnsi="Times New Roman" w:cs="Times New Roman"/>
          <w:i w:val="0"/>
        </w:rPr>
        <w:t>Reliability Must Run Resources</w:t>
      </w:r>
      <w:bookmarkEnd w:id="266"/>
    </w:p>
    <w:p w14:paraId="1D910E98" w14:textId="77777777" w:rsidR="000E7B35" w:rsidRPr="00474881" w:rsidRDefault="00D10A40" w:rsidP="00474881">
      <w:pPr>
        <w:pStyle w:val="BodyText"/>
        <w:spacing w:before="120" w:line="360" w:lineRule="auto"/>
        <w:ind w:right="432"/>
        <w:jc w:val="both"/>
        <w:rPr>
          <w:iCs/>
          <w:sz w:val="24"/>
        </w:rPr>
      </w:pPr>
      <w:r w:rsidRPr="00474881">
        <w:rPr>
          <w:iCs/>
          <w:sz w:val="24"/>
        </w:rPr>
        <w:t xml:space="preserve">In accordance with Protocol Section 4.4.8, </w:t>
      </w:r>
      <w:r w:rsidR="007E7367" w:rsidRPr="00474881">
        <w:rPr>
          <w:iCs/>
          <w:sz w:val="24"/>
        </w:rPr>
        <w:t xml:space="preserve">ERCOT </w:t>
      </w:r>
      <w:r w:rsidRPr="00474881">
        <w:rPr>
          <w:iCs/>
          <w:sz w:val="24"/>
        </w:rPr>
        <w:t>shall decide when to make a Reliability Must Run (RMR) Unit available for commitment in the DRUC</w:t>
      </w:r>
      <w:r w:rsidR="005C36AD">
        <w:rPr>
          <w:iCs/>
          <w:sz w:val="24"/>
        </w:rPr>
        <w:t xml:space="preserve"> or </w:t>
      </w:r>
      <w:r w:rsidRPr="00474881">
        <w:rPr>
          <w:iCs/>
          <w:sz w:val="24"/>
        </w:rPr>
        <w:t xml:space="preserve">HRUC.  By </w:t>
      </w:r>
      <w:r w:rsidR="005C36AD" w:rsidRPr="008E2D20">
        <w:rPr>
          <w:iCs/>
          <w:sz w:val="24"/>
        </w:rPr>
        <w:t>1</w:t>
      </w:r>
      <w:r w:rsidR="005C36AD">
        <w:rPr>
          <w:iCs/>
          <w:sz w:val="24"/>
        </w:rPr>
        <w:t>43</w:t>
      </w:r>
      <w:r w:rsidR="005C36AD" w:rsidRPr="008E2D20">
        <w:rPr>
          <w:iCs/>
          <w:sz w:val="24"/>
        </w:rPr>
        <w:t xml:space="preserve">0 </w:t>
      </w:r>
      <w:r w:rsidRPr="008E2D20">
        <w:rPr>
          <w:iCs/>
          <w:sz w:val="24"/>
        </w:rPr>
        <w:t xml:space="preserve">hours in the Day Ahead ERCOT shall submit Three-Part Supply Offers based on the </w:t>
      </w:r>
      <w:r w:rsidR="00AA39C2" w:rsidRPr="008E2D20">
        <w:rPr>
          <w:iCs/>
          <w:sz w:val="24"/>
        </w:rPr>
        <w:t xml:space="preserve">RMR Agreement </w:t>
      </w:r>
      <w:r w:rsidRPr="008E2D20">
        <w:rPr>
          <w:iCs/>
          <w:sz w:val="24"/>
        </w:rPr>
        <w:t xml:space="preserve">and any other relevant information as provided under contract on behalf of RMR Units for any RMR Units to be considered in the DRUC </w:t>
      </w:r>
      <w:r w:rsidR="00F5128D" w:rsidRPr="008E2D20">
        <w:rPr>
          <w:iCs/>
          <w:sz w:val="24"/>
        </w:rPr>
        <w:t>or HRUC.</w:t>
      </w:r>
      <w:r w:rsidR="00F5128D" w:rsidRPr="00474881">
        <w:rPr>
          <w:iCs/>
          <w:sz w:val="24"/>
        </w:rPr>
        <w:t xml:space="preserve">  </w:t>
      </w:r>
    </w:p>
    <w:p w14:paraId="60E9A2FA" w14:textId="7168424E" w:rsidR="000E7B35" w:rsidRPr="00474881" w:rsidRDefault="00474881" w:rsidP="00474881">
      <w:pPr>
        <w:pStyle w:val="BodyText"/>
        <w:spacing w:before="120" w:line="360" w:lineRule="auto"/>
        <w:ind w:right="432"/>
        <w:jc w:val="both"/>
        <w:rPr>
          <w:iCs/>
          <w:sz w:val="24"/>
        </w:rPr>
      </w:pPr>
      <w:r>
        <w:rPr>
          <w:iCs/>
          <w:sz w:val="24"/>
        </w:rPr>
        <w:t xml:space="preserve">Because ERCOT is responsible for </w:t>
      </w:r>
      <w:r w:rsidR="00BC7C18">
        <w:rPr>
          <w:iCs/>
          <w:sz w:val="24"/>
        </w:rPr>
        <w:t xml:space="preserve">all </w:t>
      </w:r>
      <w:r>
        <w:rPr>
          <w:iCs/>
          <w:sz w:val="24"/>
        </w:rPr>
        <w:t xml:space="preserve">RMR commitments, ERCOT requests that the </w:t>
      </w:r>
      <w:r w:rsidR="002E5A46">
        <w:rPr>
          <w:iCs/>
          <w:sz w:val="24"/>
        </w:rPr>
        <w:t>QSE show a Resource Status of</w:t>
      </w:r>
      <w:r w:rsidR="002308E2">
        <w:rPr>
          <w:iCs/>
          <w:sz w:val="24"/>
        </w:rPr>
        <w:t xml:space="preserve"> either </w:t>
      </w:r>
      <w:r w:rsidR="008329F4">
        <w:rPr>
          <w:iCs/>
          <w:sz w:val="24"/>
        </w:rPr>
        <w:t xml:space="preserve">EMR </w:t>
      </w:r>
      <w:r w:rsidR="002E5A46">
        <w:rPr>
          <w:iCs/>
          <w:sz w:val="24"/>
        </w:rPr>
        <w:t xml:space="preserve">for all COP reporting hours during which the RMR is available or OUT in those hours in which the RMR is </w:t>
      </w:r>
      <w:r w:rsidR="002308E2">
        <w:rPr>
          <w:iCs/>
          <w:sz w:val="24"/>
        </w:rPr>
        <w:t xml:space="preserve">expected to be </w:t>
      </w:r>
      <w:r w:rsidR="002E5A46">
        <w:rPr>
          <w:iCs/>
          <w:sz w:val="24"/>
        </w:rPr>
        <w:t xml:space="preserve">unavailable.  </w:t>
      </w:r>
      <w:r w:rsidR="00457157">
        <w:rPr>
          <w:iCs/>
          <w:sz w:val="24"/>
        </w:rPr>
        <w:t>QSE</w:t>
      </w:r>
      <w:r w:rsidR="002308E2">
        <w:rPr>
          <w:iCs/>
          <w:sz w:val="24"/>
        </w:rPr>
        <w:t>s</w:t>
      </w:r>
      <w:r w:rsidR="00457157">
        <w:rPr>
          <w:iCs/>
          <w:sz w:val="24"/>
        </w:rPr>
        <w:t xml:space="preserve"> comply with Protocol </w:t>
      </w:r>
      <w:r w:rsidR="002308E2">
        <w:rPr>
          <w:iCs/>
          <w:sz w:val="24"/>
        </w:rPr>
        <w:t>4.3(2) (</w:t>
      </w:r>
      <w:r w:rsidR="00457157">
        <w:rPr>
          <w:iCs/>
          <w:sz w:val="24"/>
        </w:rPr>
        <w:t>“B</w:t>
      </w:r>
      <w:r w:rsidR="009C79EA" w:rsidRPr="00474881">
        <w:rPr>
          <w:iCs/>
          <w:sz w:val="24"/>
        </w:rPr>
        <w:t xml:space="preserve">y 0600 hours in the Day Ahead, each QSE representing RMR Units must </w:t>
      </w:r>
      <w:r w:rsidR="00A76B5E" w:rsidRPr="00474881">
        <w:rPr>
          <w:iCs/>
          <w:sz w:val="24"/>
        </w:rPr>
        <w:t>indicate the availability of the RMR Units for the Operating Day</w:t>
      </w:r>
      <w:r w:rsidR="00457157">
        <w:rPr>
          <w:iCs/>
          <w:sz w:val="24"/>
        </w:rPr>
        <w:t>”</w:t>
      </w:r>
      <w:r w:rsidR="002308E2">
        <w:rPr>
          <w:iCs/>
          <w:sz w:val="24"/>
        </w:rPr>
        <w:t>)</w:t>
      </w:r>
      <w:r w:rsidR="00457157">
        <w:rPr>
          <w:iCs/>
          <w:sz w:val="24"/>
        </w:rPr>
        <w:t xml:space="preserve"> </w:t>
      </w:r>
      <w:r w:rsidR="00A76B5E" w:rsidRPr="00474881">
        <w:rPr>
          <w:iCs/>
          <w:sz w:val="24"/>
        </w:rPr>
        <w:t xml:space="preserve">by </w:t>
      </w:r>
      <w:r w:rsidR="00731B19" w:rsidRPr="00474881">
        <w:rPr>
          <w:iCs/>
          <w:sz w:val="24"/>
        </w:rPr>
        <w:t>updating their</w:t>
      </w:r>
      <w:r w:rsidR="009C79EA" w:rsidRPr="00474881">
        <w:rPr>
          <w:iCs/>
          <w:sz w:val="24"/>
        </w:rPr>
        <w:t xml:space="preserve"> COP </w:t>
      </w:r>
      <w:r w:rsidR="00BC7C18">
        <w:rPr>
          <w:iCs/>
          <w:sz w:val="24"/>
        </w:rPr>
        <w:t xml:space="preserve">for </w:t>
      </w:r>
      <w:r w:rsidR="009C79EA" w:rsidRPr="00474881">
        <w:rPr>
          <w:iCs/>
          <w:sz w:val="24"/>
        </w:rPr>
        <w:t>the next Operating Day</w:t>
      </w:r>
      <w:r w:rsidR="002308E2">
        <w:rPr>
          <w:iCs/>
          <w:sz w:val="24"/>
        </w:rPr>
        <w:t>, by 0600 in the Day Ahead,</w:t>
      </w:r>
      <w:r w:rsidR="009C79EA" w:rsidRPr="00474881">
        <w:rPr>
          <w:iCs/>
          <w:sz w:val="24"/>
        </w:rPr>
        <w:t xml:space="preserve"> to reflect the </w:t>
      </w:r>
      <w:r w:rsidR="002308E2">
        <w:rPr>
          <w:iCs/>
          <w:sz w:val="24"/>
        </w:rPr>
        <w:t xml:space="preserve">expected </w:t>
      </w:r>
      <w:r w:rsidR="009C79EA" w:rsidRPr="00474881">
        <w:rPr>
          <w:iCs/>
          <w:sz w:val="24"/>
        </w:rPr>
        <w:t xml:space="preserve">availability of the RMR Unit during </w:t>
      </w:r>
      <w:r w:rsidR="002308E2">
        <w:rPr>
          <w:iCs/>
          <w:sz w:val="24"/>
        </w:rPr>
        <w:t xml:space="preserve">the next </w:t>
      </w:r>
      <w:r w:rsidR="009C79EA" w:rsidRPr="00474881">
        <w:rPr>
          <w:iCs/>
          <w:sz w:val="24"/>
        </w:rPr>
        <w:t>Operating Day</w:t>
      </w:r>
      <w:r w:rsidR="002308E2">
        <w:rPr>
          <w:iCs/>
          <w:sz w:val="24"/>
        </w:rPr>
        <w:t>.</w:t>
      </w:r>
    </w:p>
    <w:p w14:paraId="7E1E2EC7" w14:textId="47C494A9" w:rsidR="000E7B35" w:rsidRPr="00474881" w:rsidRDefault="001A6E49" w:rsidP="00474881">
      <w:pPr>
        <w:pStyle w:val="BodyText"/>
        <w:spacing w:before="120" w:line="360" w:lineRule="auto"/>
        <w:ind w:right="432"/>
        <w:jc w:val="both"/>
        <w:rPr>
          <w:iCs/>
          <w:sz w:val="24"/>
        </w:rPr>
      </w:pPr>
      <w:r w:rsidRPr="00474881">
        <w:rPr>
          <w:iCs/>
          <w:sz w:val="24"/>
        </w:rPr>
        <w:lastRenderedPageBreak/>
        <w:t xml:space="preserve">ERCOT shall notify the QSE representing </w:t>
      </w:r>
      <w:r w:rsidR="00731B19" w:rsidRPr="00474881">
        <w:rPr>
          <w:iCs/>
          <w:sz w:val="24"/>
        </w:rPr>
        <w:t>an RMR</w:t>
      </w:r>
      <w:r w:rsidRPr="00474881">
        <w:rPr>
          <w:iCs/>
          <w:sz w:val="24"/>
        </w:rPr>
        <w:t xml:space="preserve"> Unit </w:t>
      </w:r>
      <w:r w:rsidR="00BC7C18">
        <w:rPr>
          <w:iCs/>
          <w:sz w:val="24"/>
        </w:rPr>
        <w:t>of</w:t>
      </w:r>
      <w:r w:rsidRPr="00474881">
        <w:rPr>
          <w:iCs/>
          <w:sz w:val="24"/>
        </w:rPr>
        <w:t xml:space="preserve"> any </w:t>
      </w:r>
      <w:r w:rsidR="00A76B5E" w:rsidRPr="00474881">
        <w:rPr>
          <w:iCs/>
          <w:sz w:val="24"/>
        </w:rPr>
        <w:t>RMR U</w:t>
      </w:r>
      <w:r w:rsidRPr="00474881">
        <w:rPr>
          <w:iCs/>
          <w:sz w:val="24"/>
        </w:rPr>
        <w:t xml:space="preserve">nit that is being committed by </w:t>
      </w:r>
      <w:proofErr w:type="gramStart"/>
      <w:r w:rsidRPr="00474881">
        <w:rPr>
          <w:iCs/>
          <w:sz w:val="24"/>
        </w:rPr>
        <w:t>the DRUC</w:t>
      </w:r>
      <w:proofErr w:type="gramEnd"/>
      <w:r w:rsidRPr="00474881">
        <w:rPr>
          <w:iCs/>
          <w:sz w:val="24"/>
        </w:rPr>
        <w:t xml:space="preserve"> or HRUC at the same time it notifies other Market Participants of the results of these processes.  Within 1 hour of the notification, the QSE is expected to update the RMR COP Resource Status to ONRUC for commitments by the RUC processes.</w:t>
      </w:r>
    </w:p>
    <w:p w14:paraId="66F57FF4" w14:textId="77777777" w:rsidR="000E7B35" w:rsidRDefault="00311893" w:rsidP="00474881">
      <w:pPr>
        <w:pStyle w:val="BodyText"/>
        <w:spacing w:before="120" w:line="360" w:lineRule="auto"/>
        <w:ind w:right="432"/>
        <w:jc w:val="both"/>
        <w:rPr>
          <w:iCs/>
          <w:sz w:val="24"/>
        </w:rPr>
      </w:pPr>
      <w:r w:rsidRPr="00474881">
        <w:rPr>
          <w:iCs/>
          <w:sz w:val="24"/>
        </w:rPr>
        <w:t xml:space="preserve">In all hours for the COP reporting Period, the QSE should report </w:t>
      </w:r>
      <w:r w:rsidR="00BC7C18">
        <w:rPr>
          <w:iCs/>
          <w:sz w:val="24"/>
        </w:rPr>
        <w:t>LEL/</w:t>
      </w:r>
      <w:r w:rsidRPr="00474881">
        <w:rPr>
          <w:iCs/>
          <w:sz w:val="24"/>
        </w:rPr>
        <w:t>LSL</w:t>
      </w:r>
      <w:r w:rsidR="00BC7C18">
        <w:rPr>
          <w:iCs/>
          <w:sz w:val="24"/>
        </w:rPr>
        <w:t>/</w:t>
      </w:r>
      <w:r w:rsidRPr="00474881">
        <w:rPr>
          <w:iCs/>
          <w:sz w:val="24"/>
        </w:rPr>
        <w:t>HSL</w:t>
      </w:r>
      <w:r w:rsidR="00BC7C18">
        <w:rPr>
          <w:iCs/>
          <w:sz w:val="24"/>
        </w:rPr>
        <w:t>/HEL</w:t>
      </w:r>
      <w:r w:rsidRPr="00474881">
        <w:rPr>
          <w:iCs/>
          <w:sz w:val="24"/>
        </w:rPr>
        <w:t xml:space="preserve"> value</w:t>
      </w:r>
      <w:r w:rsidR="00A76B5E" w:rsidRPr="00474881">
        <w:rPr>
          <w:iCs/>
          <w:sz w:val="24"/>
        </w:rPr>
        <w:t>s</w:t>
      </w:r>
      <w:r w:rsidRPr="00474881">
        <w:rPr>
          <w:iCs/>
          <w:sz w:val="24"/>
        </w:rPr>
        <w:t xml:space="preserve"> consistent with the RMR Agreement</w:t>
      </w:r>
      <w:r w:rsidR="00BC7C18">
        <w:rPr>
          <w:iCs/>
          <w:sz w:val="24"/>
        </w:rPr>
        <w:t>, such as the</w:t>
      </w:r>
      <w:r w:rsidRPr="00474881">
        <w:rPr>
          <w:iCs/>
          <w:sz w:val="24"/>
        </w:rPr>
        <w:t xml:space="preserve"> specified RMR Capacity.</w:t>
      </w:r>
    </w:p>
    <w:p w14:paraId="733A90A0" w14:textId="77777777" w:rsidR="0083643C" w:rsidRPr="00BF4F1C" w:rsidRDefault="0083643C" w:rsidP="00722D76">
      <w:pPr>
        <w:pStyle w:val="Heading2"/>
        <w:spacing w:line="360" w:lineRule="auto"/>
        <w:rPr>
          <w:rFonts w:ascii="Times New Roman" w:hAnsi="Times New Roman" w:cs="Times New Roman"/>
        </w:rPr>
      </w:pPr>
      <w:bookmarkStart w:id="267" w:name="_Toc216878068"/>
      <w:r w:rsidRPr="00BF4F1C">
        <w:rPr>
          <w:rFonts w:ascii="Times New Roman" w:hAnsi="Times New Roman" w:cs="Times New Roman"/>
        </w:rPr>
        <w:t xml:space="preserve">Quick Start Generation Resources Available </w:t>
      </w:r>
      <w:proofErr w:type="gramStart"/>
      <w:r w:rsidRPr="00BF4F1C">
        <w:rPr>
          <w:rFonts w:ascii="Times New Roman" w:hAnsi="Times New Roman" w:cs="Times New Roman"/>
        </w:rPr>
        <w:t>For</w:t>
      </w:r>
      <w:proofErr w:type="gramEnd"/>
      <w:r w:rsidRPr="00BF4F1C">
        <w:rPr>
          <w:rFonts w:ascii="Times New Roman" w:hAnsi="Times New Roman" w:cs="Times New Roman"/>
        </w:rPr>
        <w:t xml:space="preserve"> Deployment by SCED</w:t>
      </w:r>
      <w:bookmarkEnd w:id="267"/>
    </w:p>
    <w:p w14:paraId="28CB33ED" w14:textId="77777777" w:rsidR="004602F7" w:rsidRDefault="0083643C" w:rsidP="0083643C">
      <w:pPr>
        <w:pStyle w:val="BodyText"/>
        <w:spacing w:before="120" w:line="360" w:lineRule="auto"/>
        <w:ind w:right="432"/>
        <w:jc w:val="both"/>
        <w:rPr>
          <w:iCs/>
          <w:sz w:val="24"/>
        </w:rPr>
      </w:pPr>
      <w:r w:rsidRPr="00B47021">
        <w:rPr>
          <w:iCs/>
          <w:sz w:val="24"/>
        </w:rPr>
        <w:t>Nodal Protocol Section 2.1 defines a Quick Start Generation Resource (QS</w:t>
      </w:r>
      <w:r>
        <w:rPr>
          <w:iCs/>
          <w:sz w:val="24"/>
        </w:rPr>
        <w:t xml:space="preserve">GR) </w:t>
      </w:r>
      <w:r w:rsidR="00B32025">
        <w:rPr>
          <w:iCs/>
          <w:sz w:val="24"/>
        </w:rPr>
        <w:t xml:space="preserve">as </w:t>
      </w:r>
      <w:r>
        <w:rPr>
          <w:iCs/>
          <w:sz w:val="24"/>
        </w:rPr>
        <w:t>Ge</w:t>
      </w:r>
      <w:r w:rsidRPr="00B47021">
        <w:rPr>
          <w:iCs/>
          <w:sz w:val="24"/>
        </w:rPr>
        <w:t>n</w:t>
      </w:r>
      <w:r>
        <w:rPr>
          <w:iCs/>
          <w:sz w:val="24"/>
        </w:rPr>
        <w:t>e</w:t>
      </w:r>
      <w:r w:rsidRPr="00B47021">
        <w:rPr>
          <w:iCs/>
          <w:sz w:val="24"/>
        </w:rPr>
        <w:t xml:space="preserve">ration Resource that can come </w:t>
      </w:r>
      <w:r w:rsidR="00B32025">
        <w:rPr>
          <w:iCs/>
          <w:sz w:val="24"/>
        </w:rPr>
        <w:t>O</w:t>
      </w:r>
      <w:r w:rsidRPr="00B47021">
        <w:rPr>
          <w:iCs/>
          <w:sz w:val="24"/>
        </w:rPr>
        <w:t>n-</w:t>
      </w:r>
      <w:r w:rsidR="00B32025">
        <w:rPr>
          <w:iCs/>
          <w:sz w:val="24"/>
        </w:rPr>
        <w:t>L</w:t>
      </w:r>
      <w:r w:rsidRPr="00B47021">
        <w:rPr>
          <w:iCs/>
          <w:sz w:val="24"/>
        </w:rPr>
        <w:t xml:space="preserve">ine from a cold start state within ten minutes of receiving </w:t>
      </w:r>
      <w:proofErr w:type="gramStart"/>
      <w:r w:rsidRPr="00B47021">
        <w:rPr>
          <w:iCs/>
          <w:sz w:val="24"/>
        </w:rPr>
        <w:t>a notice</w:t>
      </w:r>
      <w:proofErr w:type="gramEnd"/>
      <w:r w:rsidRPr="00B47021">
        <w:rPr>
          <w:iCs/>
          <w:sz w:val="24"/>
        </w:rPr>
        <w:t xml:space="preserve"> or instruction from ERCOT.  Before engaging in the activities described in this section, a Generation Resource must be qualified by ERCOT as </w:t>
      </w:r>
      <w:r>
        <w:rPr>
          <w:iCs/>
          <w:sz w:val="24"/>
        </w:rPr>
        <w:t>a QSGR in accordance with Protocol Section 8.1.1.2, General Capacity Testing Requirements, paragraph (15).</w:t>
      </w:r>
    </w:p>
    <w:p w14:paraId="1693D0DC" w14:textId="77777777" w:rsidR="0052118D" w:rsidRDefault="0083643C" w:rsidP="0083643C">
      <w:pPr>
        <w:pStyle w:val="BodyText"/>
        <w:spacing w:before="120" w:line="360" w:lineRule="auto"/>
        <w:ind w:right="432"/>
        <w:jc w:val="both"/>
        <w:rPr>
          <w:iCs/>
          <w:sz w:val="24"/>
        </w:rPr>
      </w:pPr>
      <w:r>
        <w:rPr>
          <w:iCs/>
          <w:sz w:val="24"/>
        </w:rPr>
        <w:t xml:space="preserve">A QSE may offer </w:t>
      </w:r>
      <w:r w:rsidR="00B32025">
        <w:rPr>
          <w:iCs/>
          <w:sz w:val="24"/>
        </w:rPr>
        <w:t>a</w:t>
      </w:r>
      <w:r>
        <w:rPr>
          <w:iCs/>
          <w:sz w:val="24"/>
        </w:rPr>
        <w:t xml:space="preserve"> QSGR into the ERCOT </w:t>
      </w:r>
      <w:r w:rsidR="004602F7">
        <w:rPr>
          <w:iCs/>
          <w:sz w:val="24"/>
        </w:rPr>
        <w:t>Day-</w:t>
      </w:r>
      <w:r w:rsidR="00CE76C8">
        <w:rPr>
          <w:iCs/>
          <w:sz w:val="24"/>
        </w:rPr>
        <w:t>A</w:t>
      </w:r>
      <w:r w:rsidR="004602F7">
        <w:rPr>
          <w:iCs/>
          <w:sz w:val="24"/>
        </w:rPr>
        <w:t xml:space="preserve">head </w:t>
      </w:r>
      <w:r>
        <w:rPr>
          <w:iCs/>
          <w:sz w:val="24"/>
        </w:rPr>
        <w:t xml:space="preserve">Market in the same manner as </w:t>
      </w:r>
      <w:r w:rsidR="004602F7">
        <w:rPr>
          <w:iCs/>
          <w:sz w:val="24"/>
        </w:rPr>
        <w:t>it would offer any other Generation Resource into this market</w:t>
      </w:r>
      <w:r w:rsidR="009531AA">
        <w:rPr>
          <w:iCs/>
          <w:sz w:val="24"/>
        </w:rPr>
        <w:t xml:space="preserve"> (i.e. </w:t>
      </w:r>
      <w:r w:rsidR="00AB1082">
        <w:rPr>
          <w:iCs/>
          <w:sz w:val="24"/>
        </w:rPr>
        <w:t xml:space="preserve">by submitting </w:t>
      </w:r>
      <w:r w:rsidR="009531AA">
        <w:rPr>
          <w:iCs/>
          <w:sz w:val="24"/>
        </w:rPr>
        <w:t>a Three Part Supply Offer)</w:t>
      </w:r>
      <w:r w:rsidR="004602F7">
        <w:rPr>
          <w:iCs/>
          <w:sz w:val="24"/>
        </w:rPr>
        <w:t xml:space="preserve">.  If a QSGR </w:t>
      </w:r>
      <w:r w:rsidR="00AB1082">
        <w:rPr>
          <w:iCs/>
          <w:sz w:val="24"/>
        </w:rPr>
        <w:t>T</w:t>
      </w:r>
      <w:r w:rsidR="009531AA">
        <w:rPr>
          <w:iCs/>
          <w:sz w:val="24"/>
        </w:rPr>
        <w:t>hree Part Supply O</w:t>
      </w:r>
      <w:r w:rsidR="004602F7">
        <w:rPr>
          <w:iCs/>
          <w:sz w:val="24"/>
        </w:rPr>
        <w:t>ffer is struck in the DAM, the</w:t>
      </w:r>
      <w:r w:rsidR="009531AA">
        <w:rPr>
          <w:iCs/>
          <w:sz w:val="24"/>
        </w:rPr>
        <w:t>n</w:t>
      </w:r>
      <w:r w:rsidR="004602F7">
        <w:rPr>
          <w:iCs/>
          <w:sz w:val="24"/>
        </w:rPr>
        <w:t xml:space="preserve"> </w:t>
      </w:r>
      <w:r w:rsidR="009531AA">
        <w:rPr>
          <w:iCs/>
          <w:sz w:val="24"/>
        </w:rPr>
        <w:t xml:space="preserve">all </w:t>
      </w:r>
      <w:r w:rsidR="004602F7">
        <w:rPr>
          <w:iCs/>
          <w:sz w:val="24"/>
        </w:rPr>
        <w:t>Nodal Protocol requirements related to a DAM award</w:t>
      </w:r>
      <w:r w:rsidR="009531AA">
        <w:rPr>
          <w:iCs/>
          <w:sz w:val="24"/>
        </w:rPr>
        <w:t xml:space="preserve">ed </w:t>
      </w:r>
      <w:r w:rsidR="003A42E5">
        <w:rPr>
          <w:iCs/>
          <w:sz w:val="24"/>
        </w:rPr>
        <w:t>Three</w:t>
      </w:r>
      <w:r w:rsidR="00B32025">
        <w:rPr>
          <w:iCs/>
          <w:sz w:val="24"/>
        </w:rPr>
        <w:t xml:space="preserve"> Part Supply </w:t>
      </w:r>
      <w:r w:rsidR="009531AA">
        <w:rPr>
          <w:iCs/>
          <w:sz w:val="24"/>
        </w:rPr>
        <w:t xml:space="preserve">Offer </w:t>
      </w:r>
      <w:r w:rsidR="004602F7">
        <w:rPr>
          <w:iCs/>
          <w:sz w:val="24"/>
        </w:rPr>
        <w:t>apply</w:t>
      </w:r>
      <w:r w:rsidR="009531AA">
        <w:rPr>
          <w:iCs/>
          <w:sz w:val="24"/>
        </w:rPr>
        <w:t xml:space="preserve">.  </w:t>
      </w:r>
      <w:r w:rsidR="00B32025" w:rsidRPr="00B32025">
        <w:rPr>
          <w:iCs/>
          <w:sz w:val="24"/>
        </w:rPr>
        <w:t xml:space="preserve">For example, the QSGR committed by DAM may be eligible for a DAM make whole payment provided it is started by </w:t>
      </w:r>
      <w:r w:rsidR="0052118D">
        <w:rPr>
          <w:iCs/>
          <w:sz w:val="24"/>
        </w:rPr>
        <w:t xml:space="preserve">either </w:t>
      </w:r>
      <w:r w:rsidR="00B32025" w:rsidRPr="00B32025">
        <w:rPr>
          <w:iCs/>
          <w:sz w:val="24"/>
        </w:rPr>
        <w:t xml:space="preserve">the QSE, or </w:t>
      </w:r>
      <w:r w:rsidR="0052118D">
        <w:rPr>
          <w:iCs/>
          <w:sz w:val="24"/>
        </w:rPr>
        <w:t xml:space="preserve">a </w:t>
      </w:r>
      <w:r w:rsidR="00B11635">
        <w:rPr>
          <w:iCs/>
          <w:sz w:val="24"/>
        </w:rPr>
        <w:t>SCED</w:t>
      </w:r>
      <w:r w:rsidR="0052118D">
        <w:rPr>
          <w:iCs/>
          <w:sz w:val="24"/>
        </w:rPr>
        <w:t xml:space="preserve"> Dispatch Instruction,</w:t>
      </w:r>
      <w:r w:rsidR="00B11635">
        <w:rPr>
          <w:iCs/>
          <w:sz w:val="24"/>
        </w:rPr>
        <w:t xml:space="preserve"> </w:t>
      </w:r>
      <w:r w:rsidR="00B32025" w:rsidRPr="00B32025">
        <w:rPr>
          <w:iCs/>
          <w:sz w:val="24"/>
        </w:rPr>
        <w:t xml:space="preserve">if </w:t>
      </w:r>
      <w:r w:rsidR="0052118D">
        <w:rPr>
          <w:iCs/>
          <w:sz w:val="24"/>
        </w:rPr>
        <w:t xml:space="preserve">the QSGR is </w:t>
      </w:r>
      <w:r w:rsidR="00B32025" w:rsidRPr="00B32025">
        <w:rPr>
          <w:iCs/>
          <w:sz w:val="24"/>
        </w:rPr>
        <w:t>provided by the QSE for deployment by SCED during a DAM commitment period.</w:t>
      </w:r>
    </w:p>
    <w:p w14:paraId="3FC03F85" w14:textId="77777777" w:rsidR="00B11635" w:rsidRDefault="009531AA" w:rsidP="0083643C">
      <w:pPr>
        <w:pStyle w:val="BodyText"/>
        <w:spacing w:before="120" w:line="360" w:lineRule="auto"/>
        <w:ind w:right="432"/>
        <w:jc w:val="both"/>
        <w:rPr>
          <w:iCs/>
          <w:sz w:val="24"/>
        </w:rPr>
      </w:pPr>
      <w:r>
        <w:rPr>
          <w:iCs/>
          <w:sz w:val="24"/>
        </w:rPr>
        <w:t>T</w:t>
      </w:r>
      <w:r w:rsidR="004602F7">
        <w:rPr>
          <w:iCs/>
          <w:sz w:val="24"/>
        </w:rPr>
        <w:t>he QSE shall provide entries in its COP consistent with</w:t>
      </w:r>
      <w:r w:rsidR="00B11635">
        <w:rPr>
          <w:iCs/>
          <w:sz w:val="24"/>
        </w:rPr>
        <w:t>:</w:t>
      </w:r>
    </w:p>
    <w:p w14:paraId="4D51A29D" w14:textId="77777777" w:rsidR="0052118D" w:rsidRDefault="00B11635">
      <w:pPr>
        <w:pStyle w:val="BodyText"/>
        <w:numPr>
          <w:ilvl w:val="0"/>
          <w:numId w:val="23"/>
        </w:numPr>
        <w:spacing w:before="120" w:line="360" w:lineRule="auto"/>
        <w:ind w:right="432"/>
        <w:jc w:val="both"/>
        <w:rPr>
          <w:iCs/>
          <w:sz w:val="24"/>
        </w:rPr>
      </w:pPr>
      <w:r>
        <w:rPr>
          <w:iCs/>
          <w:sz w:val="24"/>
        </w:rPr>
        <w:t>a</w:t>
      </w:r>
      <w:r w:rsidR="009531AA">
        <w:rPr>
          <w:iCs/>
          <w:sz w:val="24"/>
        </w:rPr>
        <w:t xml:space="preserve"> DAM award and its decision to operate the QSGR during the DAM committed hours</w:t>
      </w:r>
      <w:r>
        <w:rPr>
          <w:iCs/>
          <w:sz w:val="24"/>
        </w:rPr>
        <w:t>, or</w:t>
      </w:r>
    </w:p>
    <w:p w14:paraId="4FD83DF2" w14:textId="77777777" w:rsidR="0052118D" w:rsidRDefault="00B11635">
      <w:pPr>
        <w:pStyle w:val="BodyText"/>
        <w:numPr>
          <w:ilvl w:val="0"/>
          <w:numId w:val="23"/>
        </w:numPr>
        <w:spacing w:before="120" w:line="360" w:lineRule="auto"/>
        <w:ind w:right="432"/>
        <w:jc w:val="both"/>
        <w:rPr>
          <w:iCs/>
          <w:sz w:val="24"/>
        </w:rPr>
      </w:pPr>
      <w:r>
        <w:rPr>
          <w:iCs/>
          <w:sz w:val="24"/>
        </w:rPr>
        <w:t>the QSE’s intent to provide the QSGR for deployment by SCED during a COP reporting hour.</w:t>
      </w:r>
    </w:p>
    <w:p w14:paraId="35CD4FBF" w14:textId="19766A18" w:rsidR="00A169E6" w:rsidRDefault="00A169E6" w:rsidP="00B11635">
      <w:pPr>
        <w:pStyle w:val="BodyText"/>
        <w:spacing w:before="120" w:line="360" w:lineRule="auto"/>
        <w:ind w:right="432"/>
        <w:jc w:val="both"/>
        <w:rPr>
          <w:iCs/>
          <w:sz w:val="24"/>
        </w:rPr>
      </w:pPr>
      <w:r>
        <w:rPr>
          <w:iCs/>
          <w:sz w:val="24"/>
        </w:rPr>
        <w:t xml:space="preserve">A QSE may offer to sell Ancillary Services on a QSGR in the Day-Ahead </w:t>
      </w:r>
      <w:proofErr w:type="gramStart"/>
      <w:r>
        <w:rPr>
          <w:iCs/>
          <w:sz w:val="24"/>
        </w:rPr>
        <w:t>Market</w:t>
      </w:r>
      <w:r w:rsidR="003259BE">
        <w:rPr>
          <w:iCs/>
          <w:sz w:val="24"/>
        </w:rPr>
        <w:t>, or</w:t>
      </w:r>
      <w:proofErr w:type="gramEnd"/>
      <w:r w:rsidR="003259BE">
        <w:rPr>
          <w:iCs/>
          <w:sz w:val="24"/>
        </w:rPr>
        <w:t xml:space="preserve"> may assign self-arranged Ancillary Service </w:t>
      </w:r>
      <w:r w:rsidR="00ED420F">
        <w:rPr>
          <w:iCs/>
          <w:sz w:val="24"/>
        </w:rPr>
        <w:t xml:space="preserve">to </w:t>
      </w:r>
      <w:r w:rsidR="003259BE">
        <w:rPr>
          <w:iCs/>
          <w:sz w:val="24"/>
        </w:rPr>
        <w:t>a QSGR</w:t>
      </w:r>
      <w:r w:rsidR="00C06B90">
        <w:rPr>
          <w:iCs/>
          <w:sz w:val="24"/>
        </w:rPr>
        <w:t>.</w:t>
      </w:r>
    </w:p>
    <w:p w14:paraId="74798E73" w14:textId="77777777" w:rsidR="008C199D" w:rsidRDefault="00CE76C8" w:rsidP="00BF4F1C">
      <w:pPr>
        <w:pStyle w:val="BodyText"/>
        <w:spacing w:before="120" w:line="360" w:lineRule="auto"/>
        <w:ind w:right="432"/>
        <w:jc w:val="both"/>
        <w:rPr>
          <w:iCs/>
        </w:rPr>
      </w:pPr>
      <w:r>
        <w:rPr>
          <w:iCs/>
          <w:sz w:val="24"/>
        </w:rPr>
        <w:t xml:space="preserve">Whether or not the </w:t>
      </w:r>
      <w:r w:rsidR="008E0A4D">
        <w:rPr>
          <w:iCs/>
          <w:sz w:val="24"/>
        </w:rPr>
        <w:t xml:space="preserve">QSE </w:t>
      </w:r>
      <w:r w:rsidR="003259BE">
        <w:rPr>
          <w:iCs/>
          <w:sz w:val="24"/>
        </w:rPr>
        <w:t xml:space="preserve">submits a Three Part Supply Offer for its </w:t>
      </w:r>
      <w:r>
        <w:rPr>
          <w:iCs/>
          <w:sz w:val="24"/>
        </w:rPr>
        <w:t>QSGR in the Day-Ahead Market</w:t>
      </w:r>
      <w:r w:rsidR="003259BE">
        <w:rPr>
          <w:iCs/>
          <w:sz w:val="24"/>
        </w:rPr>
        <w:t>,</w:t>
      </w:r>
      <w:r>
        <w:rPr>
          <w:iCs/>
          <w:sz w:val="24"/>
        </w:rPr>
        <w:t xml:space="preserve"> the </w:t>
      </w:r>
      <w:r w:rsidR="004602F7">
        <w:rPr>
          <w:iCs/>
          <w:sz w:val="24"/>
        </w:rPr>
        <w:t xml:space="preserve">QSE may provide the QSGR for deployment </w:t>
      </w:r>
      <w:r w:rsidR="003259BE">
        <w:rPr>
          <w:iCs/>
          <w:sz w:val="24"/>
        </w:rPr>
        <w:t xml:space="preserve">during an Operating Hour </w:t>
      </w:r>
      <w:r w:rsidR="004602F7">
        <w:rPr>
          <w:iCs/>
          <w:sz w:val="24"/>
        </w:rPr>
        <w:t xml:space="preserve">in the </w:t>
      </w:r>
      <w:r w:rsidR="004602F7">
        <w:rPr>
          <w:iCs/>
          <w:sz w:val="24"/>
        </w:rPr>
        <w:lastRenderedPageBreak/>
        <w:t>Nodal Real</w:t>
      </w:r>
      <w:r w:rsidR="003A42E5">
        <w:rPr>
          <w:iCs/>
          <w:sz w:val="24"/>
        </w:rPr>
        <w:t>-</w:t>
      </w:r>
      <w:r w:rsidR="004602F7">
        <w:rPr>
          <w:iCs/>
          <w:sz w:val="24"/>
        </w:rPr>
        <w:t>Time Market</w:t>
      </w:r>
      <w:r w:rsidR="008425E3">
        <w:rPr>
          <w:iCs/>
          <w:sz w:val="24"/>
        </w:rPr>
        <w:t xml:space="preserve"> through the operation of SCED as described in Nodal Protocol 3.8.3</w:t>
      </w:r>
      <w:r w:rsidR="00661AB1">
        <w:rPr>
          <w:iCs/>
          <w:sz w:val="24"/>
        </w:rPr>
        <w:t xml:space="preserve">; however, </w:t>
      </w:r>
      <w:r w:rsidR="00BA09FC">
        <w:rPr>
          <w:iCs/>
          <w:sz w:val="24"/>
        </w:rPr>
        <w:t>the Real</w:t>
      </w:r>
      <w:r w:rsidR="003A42E5">
        <w:rPr>
          <w:iCs/>
          <w:sz w:val="24"/>
        </w:rPr>
        <w:t>-</w:t>
      </w:r>
      <w:r w:rsidR="00BA09FC">
        <w:rPr>
          <w:iCs/>
          <w:sz w:val="24"/>
        </w:rPr>
        <w:t>Time Settlement Intervals in which the QSGR was provided for SCED deployment are considered as QSE</w:t>
      </w:r>
      <w:r w:rsidR="00BA09FC">
        <w:rPr>
          <w:iCs/>
          <w:sz w:val="24"/>
        </w:rPr>
        <w:noBreakHyphen/>
        <w:t>Committed Settlement Intervals</w:t>
      </w:r>
      <w:r w:rsidR="000C214A">
        <w:rPr>
          <w:iCs/>
          <w:sz w:val="24"/>
        </w:rPr>
        <w:t xml:space="preserve"> </w:t>
      </w:r>
      <w:r w:rsidR="000C214A" w:rsidRPr="000C214A">
        <w:rPr>
          <w:iCs/>
          <w:sz w:val="24"/>
        </w:rPr>
        <w:t>for pur</w:t>
      </w:r>
      <w:r w:rsidR="000C214A">
        <w:rPr>
          <w:iCs/>
          <w:sz w:val="24"/>
        </w:rPr>
        <w:t>poses of Settlement and Billing</w:t>
      </w:r>
      <w:r w:rsidR="00661AB1">
        <w:rPr>
          <w:iCs/>
          <w:sz w:val="24"/>
        </w:rPr>
        <w:t>.</w:t>
      </w:r>
    </w:p>
    <w:p w14:paraId="765AD3A0" w14:textId="77777777" w:rsidR="00B31F18" w:rsidRDefault="00B31F18" w:rsidP="0083643C">
      <w:pPr>
        <w:pStyle w:val="BodyText"/>
        <w:spacing w:before="120" w:line="360" w:lineRule="auto"/>
        <w:ind w:right="432"/>
        <w:jc w:val="both"/>
        <w:rPr>
          <w:iCs/>
          <w:sz w:val="24"/>
        </w:rPr>
      </w:pPr>
      <w:r>
        <w:rPr>
          <w:iCs/>
          <w:sz w:val="24"/>
        </w:rPr>
        <w:t xml:space="preserve">For those hours in the COP </w:t>
      </w:r>
      <w:r w:rsidR="00B11635">
        <w:rPr>
          <w:iCs/>
          <w:sz w:val="24"/>
        </w:rPr>
        <w:t xml:space="preserve">reporting </w:t>
      </w:r>
      <w:r>
        <w:rPr>
          <w:iCs/>
          <w:sz w:val="24"/>
        </w:rPr>
        <w:t>period during which the QSE intends to provide the QSGR for deployment by the SCED in accordance with Protocol Section 3.8.3, Quick Start Generation Resources, the QSE shall report the following</w:t>
      </w:r>
      <w:r w:rsidR="00F3690B">
        <w:rPr>
          <w:iCs/>
          <w:sz w:val="24"/>
        </w:rPr>
        <w:t xml:space="preserve"> in the COP</w:t>
      </w:r>
      <w:r>
        <w:rPr>
          <w:iCs/>
          <w:sz w:val="24"/>
        </w:rPr>
        <w:t>:</w:t>
      </w:r>
    </w:p>
    <w:p w14:paraId="5B7EB37D" w14:textId="77777777" w:rsidR="0052118D" w:rsidRDefault="00734C33" w:rsidP="00E8553B">
      <w:pPr>
        <w:pStyle w:val="BodyText"/>
        <w:numPr>
          <w:ilvl w:val="0"/>
          <w:numId w:val="19"/>
        </w:numPr>
        <w:spacing w:before="120" w:line="360" w:lineRule="auto"/>
        <w:ind w:right="432"/>
        <w:jc w:val="both"/>
        <w:rPr>
          <w:iCs/>
          <w:sz w:val="24"/>
        </w:rPr>
      </w:pPr>
      <w:r>
        <w:rPr>
          <w:iCs/>
          <w:sz w:val="24"/>
        </w:rPr>
        <w:t xml:space="preserve">LSL/HSL values set to the QSE’s expected </w:t>
      </w:r>
      <w:r w:rsidR="00CC31B7">
        <w:rPr>
          <w:iCs/>
          <w:sz w:val="24"/>
        </w:rPr>
        <w:t xml:space="preserve">QSGR </w:t>
      </w:r>
      <w:r>
        <w:rPr>
          <w:iCs/>
          <w:sz w:val="24"/>
        </w:rPr>
        <w:t>low and high sustain</w:t>
      </w:r>
      <w:r w:rsidR="003A42E5">
        <w:rPr>
          <w:iCs/>
          <w:sz w:val="24"/>
        </w:rPr>
        <w:t>ed</w:t>
      </w:r>
      <w:r>
        <w:rPr>
          <w:iCs/>
          <w:sz w:val="24"/>
        </w:rPr>
        <w:t xml:space="preserve"> </w:t>
      </w:r>
      <w:r w:rsidR="00CC31B7">
        <w:rPr>
          <w:iCs/>
          <w:sz w:val="24"/>
        </w:rPr>
        <w:t xml:space="preserve">limits </w:t>
      </w:r>
      <w:r>
        <w:rPr>
          <w:iCs/>
          <w:sz w:val="24"/>
        </w:rPr>
        <w:t xml:space="preserve">in the COP reporting </w:t>
      </w:r>
      <w:proofErr w:type="gramStart"/>
      <w:r>
        <w:rPr>
          <w:iCs/>
          <w:sz w:val="24"/>
        </w:rPr>
        <w:t>hour</w:t>
      </w:r>
      <w:r w:rsidR="00E8553B">
        <w:rPr>
          <w:iCs/>
          <w:sz w:val="24"/>
        </w:rPr>
        <w:t>;</w:t>
      </w:r>
      <w:proofErr w:type="gramEnd"/>
    </w:p>
    <w:p w14:paraId="26B89BBA" w14:textId="77777777" w:rsidR="0052118D" w:rsidRDefault="00734C33">
      <w:pPr>
        <w:pStyle w:val="BodyText"/>
        <w:numPr>
          <w:ilvl w:val="0"/>
          <w:numId w:val="19"/>
        </w:numPr>
        <w:spacing w:before="120" w:line="360" w:lineRule="auto"/>
        <w:ind w:right="432"/>
        <w:jc w:val="both"/>
        <w:rPr>
          <w:iCs/>
          <w:sz w:val="24"/>
        </w:rPr>
      </w:pPr>
      <w:r>
        <w:rPr>
          <w:iCs/>
          <w:sz w:val="24"/>
        </w:rPr>
        <w:t>LEL/HEL values set to the QSE’s expected QSGR capability at each of these limits (</w:t>
      </w:r>
      <w:r w:rsidR="00ED420F">
        <w:rPr>
          <w:iCs/>
          <w:sz w:val="24"/>
        </w:rPr>
        <w:t xml:space="preserve">Note, </w:t>
      </w:r>
      <w:r w:rsidR="00CF61C7">
        <w:rPr>
          <w:iCs/>
          <w:sz w:val="24"/>
        </w:rPr>
        <w:t>LEL/HEL may equal LSL/HSL, respectively</w:t>
      </w:r>
      <w:proofErr w:type="gramStart"/>
      <w:r w:rsidR="00CF61C7">
        <w:rPr>
          <w:iCs/>
          <w:sz w:val="24"/>
        </w:rPr>
        <w:t>);</w:t>
      </w:r>
      <w:proofErr w:type="gramEnd"/>
    </w:p>
    <w:p w14:paraId="0384176F" w14:textId="1D3B1E11" w:rsidR="00D60F17" w:rsidRDefault="00D24951">
      <w:pPr>
        <w:spacing w:line="360" w:lineRule="auto"/>
        <w:rPr>
          <w:iCs/>
        </w:rPr>
      </w:pPr>
      <w:r>
        <w:rPr>
          <w:iCs/>
        </w:rPr>
        <w:t>A QSE must submit and maintain an Energy Offer Curve for their QSGRs for each COP reporting hour in which the QSGR has an “O</w:t>
      </w:r>
      <w:r w:rsidR="003A42E5">
        <w:rPr>
          <w:iCs/>
        </w:rPr>
        <w:t>FFQS</w:t>
      </w:r>
      <w:r>
        <w:rPr>
          <w:iCs/>
        </w:rPr>
        <w:t>” or “OFF” Resource Status.</w:t>
      </w:r>
    </w:p>
    <w:p w14:paraId="7D83BB5D" w14:textId="77777777" w:rsidR="00C42433" w:rsidRDefault="00C42433" w:rsidP="00461ED6">
      <w:pPr>
        <w:pStyle w:val="Heading2"/>
        <w:spacing w:line="360" w:lineRule="auto"/>
        <w:ind w:left="432"/>
        <w:rPr>
          <w:rFonts w:ascii="Times New Roman" w:hAnsi="Times New Roman" w:cs="Times New Roman"/>
        </w:rPr>
      </w:pPr>
      <w:bookmarkStart w:id="268" w:name="_Toc216878069"/>
      <w:r>
        <w:rPr>
          <w:rFonts w:ascii="Times New Roman" w:hAnsi="Times New Roman" w:cs="Times New Roman"/>
        </w:rPr>
        <w:t>Switchable Generation Resource</w:t>
      </w:r>
      <w:r w:rsidR="00605DF8">
        <w:rPr>
          <w:rFonts w:ascii="Times New Roman" w:hAnsi="Times New Roman" w:cs="Times New Roman"/>
        </w:rPr>
        <w:t>s</w:t>
      </w:r>
      <w:bookmarkEnd w:id="268"/>
      <w:r>
        <w:rPr>
          <w:rFonts w:ascii="Times New Roman" w:hAnsi="Times New Roman" w:cs="Times New Roman"/>
        </w:rPr>
        <w:t xml:space="preserve"> </w:t>
      </w:r>
    </w:p>
    <w:p w14:paraId="41B7C7E9" w14:textId="77777777" w:rsidR="002E25AF" w:rsidRPr="00151D8A" w:rsidRDefault="002E25AF" w:rsidP="00461ED6">
      <w:pPr>
        <w:pStyle w:val="BodyText"/>
        <w:spacing w:before="120" w:line="360" w:lineRule="auto"/>
        <w:ind w:right="432"/>
        <w:jc w:val="both"/>
        <w:rPr>
          <w:iCs/>
          <w:sz w:val="24"/>
        </w:rPr>
      </w:pPr>
      <w:r w:rsidRPr="008739E7">
        <w:rPr>
          <w:iCs/>
          <w:sz w:val="24"/>
        </w:rPr>
        <w:t>Nodal Protocol Section 2.1 defines a Switchable Generation Resource (SWGR) as A Generation Resource that can be connected to either the ERCOT Transmission Grid or a non-</w:t>
      </w:r>
      <w:r w:rsidRPr="00151D8A">
        <w:rPr>
          <w:iCs/>
          <w:sz w:val="24"/>
        </w:rPr>
        <w:t xml:space="preserve">ERCOT Control Area. </w:t>
      </w:r>
    </w:p>
    <w:p w14:paraId="427D097D" w14:textId="77777777" w:rsidR="002E25AF" w:rsidRPr="00151D8A" w:rsidRDefault="002E25AF" w:rsidP="00461ED6">
      <w:pPr>
        <w:pStyle w:val="BodyText"/>
        <w:spacing w:before="120" w:line="360" w:lineRule="auto"/>
        <w:ind w:right="432"/>
        <w:jc w:val="both"/>
        <w:rPr>
          <w:iCs/>
          <w:sz w:val="24"/>
        </w:rPr>
      </w:pPr>
      <w:r w:rsidRPr="00151D8A">
        <w:rPr>
          <w:iCs/>
          <w:sz w:val="24"/>
        </w:rPr>
        <w:t xml:space="preserve">SWGRs are required to submit COPs just like all other Resources. Protocol Section 3.9.1, Current Operating Plan (COP) Criteria, requires each QSE representing a Resource to submit a COP for all hours for the next seven operating days to reflect the QSE’s expected operation of the Resource. A QSE representing </w:t>
      </w:r>
      <w:proofErr w:type="gramStart"/>
      <w:r w:rsidRPr="00151D8A">
        <w:rPr>
          <w:iCs/>
          <w:sz w:val="24"/>
        </w:rPr>
        <w:t>a SWGR</w:t>
      </w:r>
      <w:proofErr w:type="gramEnd"/>
      <w:r w:rsidRPr="00151D8A">
        <w:rPr>
          <w:iCs/>
          <w:sz w:val="24"/>
        </w:rPr>
        <w:t xml:space="preserve"> shall submit its COP for the hours to reflect its intentions to operate </w:t>
      </w:r>
      <w:proofErr w:type="gramStart"/>
      <w:r w:rsidRPr="00151D8A">
        <w:rPr>
          <w:iCs/>
          <w:sz w:val="24"/>
        </w:rPr>
        <w:t>in ERCOT</w:t>
      </w:r>
      <w:proofErr w:type="gramEnd"/>
      <w:r w:rsidRPr="00151D8A">
        <w:rPr>
          <w:iCs/>
          <w:sz w:val="24"/>
        </w:rPr>
        <w:t xml:space="preserve"> grid or </w:t>
      </w:r>
      <w:proofErr w:type="gramStart"/>
      <w:r w:rsidRPr="00151D8A">
        <w:rPr>
          <w:iCs/>
          <w:sz w:val="24"/>
        </w:rPr>
        <w:t>in</w:t>
      </w:r>
      <w:proofErr w:type="gramEnd"/>
      <w:r w:rsidRPr="00151D8A">
        <w:rPr>
          <w:iCs/>
          <w:sz w:val="24"/>
        </w:rPr>
        <w:t xml:space="preserve"> another grid.</w:t>
      </w:r>
    </w:p>
    <w:p w14:paraId="51E1E410" w14:textId="77777777" w:rsidR="002E25AF" w:rsidRPr="00151D8A" w:rsidRDefault="002E25AF" w:rsidP="00461ED6">
      <w:pPr>
        <w:pStyle w:val="BodyText"/>
        <w:spacing w:before="120" w:line="360" w:lineRule="auto"/>
        <w:ind w:right="432"/>
        <w:jc w:val="both"/>
        <w:rPr>
          <w:iCs/>
          <w:sz w:val="24"/>
        </w:rPr>
      </w:pPr>
      <w:r w:rsidRPr="00151D8A">
        <w:rPr>
          <w:iCs/>
          <w:sz w:val="24"/>
        </w:rPr>
        <w:t xml:space="preserve">If the QSE’s intent is to operate the SWGR synchronized to ERCOT grid, the QSE shall submit its COP in the same manner of any other ERCOT Generation Resource, to reflect the Resource’s </w:t>
      </w:r>
      <w:r>
        <w:rPr>
          <w:iCs/>
          <w:sz w:val="24"/>
        </w:rPr>
        <w:t xml:space="preserve">On-Line </w:t>
      </w:r>
      <w:r w:rsidRPr="00151D8A">
        <w:rPr>
          <w:iCs/>
          <w:sz w:val="24"/>
        </w:rPr>
        <w:t>status, as described in Protocol Section 3.9.1 (5) (b) (i).</w:t>
      </w:r>
    </w:p>
    <w:p w14:paraId="61F729FA" w14:textId="77777777" w:rsidR="002E25AF" w:rsidRDefault="002E25AF" w:rsidP="00461ED6">
      <w:pPr>
        <w:pStyle w:val="BodyText"/>
        <w:spacing w:before="120" w:line="360" w:lineRule="auto"/>
        <w:ind w:right="432"/>
        <w:jc w:val="both"/>
        <w:rPr>
          <w:iCs/>
          <w:sz w:val="24"/>
        </w:rPr>
      </w:pPr>
      <w:r w:rsidRPr="00151D8A">
        <w:rPr>
          <w:iCs/>
          <w:sz w:val="24"/>
        </w:rPr>
        <w:t xml:space="preserve">If the QSE’s intent is to operate the SWGR in another grid, the QSE shall submit its COP to report </w:t>
      </w:r>
      <w:r>
        <w:rPr>
          <w:iCs/>
          <w:sz w:val="24"/>
        </w:rPr>
        <w:t>the</w:t>
      </w:r>
      <w:r w:rsidRPr="00151D8A">
        <w:rPr>
          <w:iCs/>
          <w:sz w:val="24"/>
        </w:rPr>
        <w:t xml:space="preserve"> status</w:t>
      </w:r>
      <w:r>
        <w:rPr>
          <w:iCs/>
          <w:sz w:val="24"/>
        </w:rPr>
        <w:t xml:space="preserve"> as “EMRSWGR”, for the hours when the Resource operating in non-ERCOT g</w:t>
      </w:r>
      <w:r w:rsidR="005658C2">
        <w:rPr>
          <w:iCs/>
          <w:sz w:val="24"/>
        </w:rPr>
        <w:t>ri</w:t>
      </w:r>
      <w:r>
        <w:rPr>
          <w:iCs/>
          <w:sz w:val="24"/>
        </w:rPr>
        <w:t xml:space="preserve">d.  </w:t>
      </w:r>
    </w:p>
    <w:p w14:paraId="621258CD" w14:textId="1E65C088" w:rsidR="002E25AF" w:rsidRDefault="002E25AF" w:rsidP="00461ED6">
      <w:pPr>
        <w:pStyle w:val="BodyText"/>
        <w:spacing w:before="120" w:line="360" w:lineRule="auto"/>
        <w:ind w:right="432"/>
        <w:jc w:val="both"/>
        <w:rPr>
          <w:iCs/>
          <w:sz w:val="24"/>
        </w:rPr>
      </w:pPr>
      <w:r>
        <w:rPr>
          <w:iCs/>
          <w:sz w:val="24"/>
        </w:rPr>
        <w:lastRenderedPageBreak/>
        <w:t>If the QSE’s intent is to operate the SWGR Off-Line, the QSE shall submit its COP as one of the following to reflect the Resource’s Off-Line status: “OFF”</w:t>
      </w:r>
      <w:r w:rsidR="001231C9">
        <w:rPr>
          <w:iCs/>
          <w:sz w:val="24"/>
        </w:rPr>
        <w:t xml:space="preserve"> </w:t>
      </w:r>
      <w:r w:rsidR="001C4B4A">
        <w:rPr>
          <w:iCs/>
          <w:sz w:val="24"/>
        </w:rPr>
        <w:t>or</w:t>
      </w:r>
      <w:r>
        <w:rPr>
          <w:iCs/>
          <w:sz w:val="24"/>
        </w:rPr>
        <w:t xml:space="preserve"> “EMR”, as described in </w:t>
      </w:r>
      <w:r w:rsidRPr="00151D8A">
        <w:rPr>
          <w:iCs/>
          <w:sz w:val="24"/>
        </w:rPr>
        <w:t>Protocol Section 3.9.1 (5) (b) (i</w:t>
      </w:r>
      <w:r>
        <w:rPr>
          <w:iCs/>
          <w:sz w:val="24"/>
        </w:rPr>
        <w:t>i</w:t>
      </w:r>
      <w:r w:rsidRPr="00151D8A">
        <w:rPr>
          <w:iCs/>
          <w:sz w:val="24"/>
        </w:rPr>
        <w:t>).</w:t>
      </w:r>
      <w:r w:rsidR="00FC3FA6">
        <w:rPr>
          <w:iCs/>
          <w:sz w:val="24"/>
        </w:rPr>
        <w:t xml:space="preserve"> Resource status code of OUT in COP should be used when the Resource is on outage.</w:t>
      </w:r>
    </w:p>
    <w:p w14:paraId="74E58969" w14:textId="77777777" w:rsidR="002E25AF" w:rsidRDefault="002E25AF" w:rsidP="00461ED6">
      <w:pPr>
        <w:pStyle w:val="BodyText"/>
        <w:spacing w:before="120" w:line="360" w:lineRule="auto"/>
        <w:ind w:right="432"/>
        <w:jc w:val="both"/>
        <w:rPr>
          <w:iCs/>
          <w:sz w:val="24"/>
        </w:rPr>
      </w:pPr>
      <w:r>
        <w:rPr>
          <w:iCs/>
          <w:sz w:val="24"/>
        </w:rPr>
        <w:t xml:space="preserve">As </w:t>
      </w:r>
      <w:proofErr w:type="gramStart"/>
      <w:r>
        <w:rPr>
          <w:iCs/>
          <w:sz w:val="24"/>
        </w:rPr>
        <w:t>describe</w:t>
      </w:r>
      <w:proofErr w:type="gramEnd"/>
      <w:r>
        <w:rPr>
          <w:iCs/>
          <w:sz w:val="24"/>
        </w:rPr>
        <w:t xml:space="preserve"> in Section 3.2, the QSE representing a Combined Cycle Train (CCT) is required to submit its COP for each Combined Cycle Generation Resource (CCGR) (i.e. each CCT operating configuration) in each operating hour, to reflect the intended operating conditions of CCT. </w:t>
      </w:r>
    </w:p>
    <w:p w14:paraId="24D5724A" w14:textId="77777777" w:rsidR="002E25AF" w:rsidRDefault="002E25AF" w:rsidP="00461ED6">
      <w:pPr>
        <w:pStyle w:val="BodyText"/>
        <w:spacing w:before="120" w:line="360" w:lineRule="auto"/>
        <w:ind w:right="432"/>
        <w:jc w:val="both"/>
        <w:rPr>
          <w:iCs/>
          <w:sz w:val="24"/>
        </w:rPr>
      </w:pPr>
      <w:r>
        <w:rPr>
          <w:iCs/>
          <w:sz w:val="24"/>
        </w:rPr>
        <w:t>When a CCT is registered as SWGR, the QSE representing the CCT shall submit its COPs with the following rules:</w:t>
      </w:r>
    </w:p>
    <w:p w14:paraId="2B8E3F26" w14:textId="4097DB67" w:rsidR="002E25AF" w:rsidRDefault="002E25AF" w:rsidP="00461ED6">
      <w:pPr>
        <w:pStyle w:val="BodyText"/>
        <w:numPr>
          <w:ilvl w:val="0"/>
          <w:numId w:val="19"/>
        </w:numPr>
        <w:spacing w:before="120" w:line="360" w:lineRule="auto"/>
        <w:ind w:right="432"/>
        <w:jc w:val="both"/>
        <w:rPr>
          <w:iCs/>
          <w:sz w:val="24"/>
        </w:rPr>
      </w:pPr>
      <w:r>
        <w:rPr>
          <w:iCs/>
          <w:sz w:val="24"/>
        </w:rPr>
        <w:t>If the QSE intends to operate the CCT in a COP reporting hour, and the CCT is only synchronized to ERCOT grid, the QSE shall submit On-Line status (i.e. ON, ON</w:t>
      </w:r>
      <w:r w:rsidR="000B2D97">
        <w:rPr>
          <w:iCs/>
          <w:sz w:val="24"/>
        </w:rPr>
        <w:t>EMR</w:t>
      </w:r>
      <w:r>
        <w:rPr>
          <w:iCs/>
          <w:sz w:val="24"/>
        </w:rPr>
        <w:t>, etc.) for the committed CCGR configuration, and OFF or OUT status for all other CCGR configurations, as appropriate to the CCGR configuration availability, in that hour.</w:t>
      </w:r>
    </w:p>
    <w:p w14:paraId="0B196C79" w14:textId="77777777" w:rsidR="002E25AF" w:rsidRDefault="002E25AF" w:rsidP="00461ED6">
      <w:pPr>
        <w:pStyle w:val="BodyText"/>
        <w:numPr>
          <w:ilvl w:val="0"/>
          <w:numId w:val="19"/>
        </w:numPr>
        <w:spacing w:before="120" w:line="360" w:lineRule="auto"/>
        <w:ind w:right="432"/>
        <w:jc w:val="both"/>
        <w:rPr>
          <w:iCs/>
          <w:sz w:val="24"/>
        </w:rPr>
      </w:pPr>
      <w:r>
        <w:rPr>
          <w:iCs/>
          <w:sz w:val="24"/>
        </w:rPr>
        <w:t xml:space="preserve">If the QSE intends to not operate the CCT in a COP reporting hour, either in ERCOT grid or non-ERCOT grid, the QSE shall submit OFF or OUT </w:t>
      </w:r>
      <w:r w:rsidR="00FC3FA6">
        <w:rPr>
          <w:iCs/>
          <w:sz w:val="24"/>
        </w:rPr>
        <w:t xml:space="preserve">(during outage) </w:t>
      </w:r>
      <w:r>
        <w:rPr>
          <w:iCs/>
          <w:sz w:val="24"/>
        </w:rPr>
        <w:t>status for its all CCGR configurations, as appropriate to the CCGR configuration availability, in that hour.</w:t>
      </w:r>
    </w:p>
    <w:p w14:paraId="6963255D" w14:textId="77777777" w:rsidR="002E25AF" w:rsidRDefault="002E25AF" w:rsidP="00461ED6">
      <w:pPr>
        <w:pStyle w:val="BodyText"/>
        <w:numPr>
          <w:ilvl w:val="0"/>
          <w:numId w:val="19"/>
        </w:numPr>
        <w:spacing w:before="120" w:line="360" w:lineRule="auto"/>
        <w:ind w:right="432"/>
        <w:jc w:val="both"/>
        <w:rPr>
          <w:iCs/>
          <w:sz w:val="24"/>
        </w:rPr>
      </w:pPr>
      <w:r>
        <w:rPr>
          <w:iCs/>
          <w:sz w:val="24"/>
        </w:rPr>
        <w:t xml:space="preserve">If the QSE intends to operate </w:t>
      </w:r>
      <w:proofErr w:type="gramStart"/>
      <w:r>
        <w:rPr>
          <w:iCs/>
          <w:sz w:val="24"/>
        </w:rPr>
        <w:t>the CCT</w:t>
      </w:r>
      <w:proofErr w:type="gramEnd"/>
      <w:r>
        <w:rPr>
          <w:iCs/>
          <w:sz w:val="24"/>
        </w:rPr>
        <w:t xml:space="preserve"> in a COP reporting hour, and the CCT is only synchronized to non-ERCOT grid, the QSE shall submit:</w:t>
      </w:r>
    </w:p>
    <w:p w14:paraId="1B9D3E99" w14:textId="77777777" w:rsidR="002E25AF" w:rsidRDefault="002E25AF" w:rsidP="00461ED6">
      <w:pPr>
        <w:pStyle w:val="BodyText"/>
        <w:numPr>
          <w:ilvl w:val="0"/>
          <w:numId w:val="29"/>
        </w:numPr>
        <w:spacing w:before="120" w:line="360" w:lineRule="auto"/>
        <w:ind w:right="432"/>
        <w:jc w:val="both"/>
        <w:rPr>
          <w:iCs/>
          <w:sz w:val="24"/>
        </w:rPr>
      </w:pPr>
      <w:r>
        <w:rPr>
          <w:iCs/>
          <w:sz w:val="24"/>
        </w:rPr>
        <w:t xml:space="preserve"> EMRSWGR for the CCGR configurations </w:t>
      </w:r>
      <w:r w:rsidR="00F872DF">
        <w:rPr>
          <w:iCs/>
          <w:sz w:val="24"/>
        </w:rPr>
        <w:t>that</w:t>
      </w:r>
      <w:r>
        <w:rPr>
          <w:iCs/>
          <w:sz w:val="24"/>
        </w:rPr>
        <w:t xml:space="preserve"> are available but require switching back the part of CCT committed to non-ERCOT </w:t>
      </w:r>
      <w:proofErr w:type="gramStart"/>
      <w:r>
        <w:rPr>
          <w:iCs/>
          <w:sz w:val="24"/>
        </w:rPr>
        <w:t>grids;</w:t>
      </w:r>
      <w:proofErr w:type="gramEnd"/>
    </w:p>
    <w:p w14:paraId="7A7736F0" w14:textId="77777777" w:rsidR="002E25AF" w:rsidRDefault="002E25AF" w:rsidP="00461ED6">
      <w:pPr>
        <w:pStyle w:val="BodyText"/>
        <w:numPr>
          <w:ilvl w:val="0"/>
          <w:numId w:val="29"/>
        </w:numPr>
        <w:spacing w:before="120" w:line="360" w:lineRule="auto"/>
        <w:ind w:right="432"/>
        <w:jc w:val="both"/>
        <w:rPr>
          <w:iCs/>
          <w:sz w:val="24"/>
        </w:rPr>
      </w:pPr>
      <w:r>
        <w:rPr>
          <w:iCs/>
          <w:sz w:val="24"/>
        </w:rPr>
        <w:t xml:space="preserve">OFF for the CCGR configurations </w:t>
      </w:r>
      <w:r w:rsidR="00F872DF">
        <w:rPr>
          <w:iCs/>
          <w:sz w:val="24"/>
        </w:rPr>
        <w:t>that</w:t>
      </w:r>
      <w:r>
        <w:rPr>
          <w:iCs/>
          <w:sz w:val="24"/>
        </w:rPr>
        <w:t xml:space="preserve"> are available without switching back the parts of CCT committed to non-ERCOT </w:t>
      </w:r>
      <w:proofErr w:type="gramStart"/>
      <w:r>
        <w:rPr>
          <w:iCs/>
          <w:sz w:val="24"/>
        </w:rPr>
        <w:t>grids;</w:t>
      </w:r>
      <w:proofErr w:type="gramEnd"/>
    </w:p>
    <w:p w14:paraId="4A83A0B4" w14:textId="77777777" w:rsidR="002E25AF" w:rsidRDefault="002E25AF" w:rsidP="00461ED6">
      <w:pPr>
        <w:pStyle w:val="BodyText"/>
        <w:numPr>
          <w:ilvl w:val="0"/>
          <w:numId w:val="29"/>
        </w:numPr>
        <w:spacing w:before="120" w:line="360" w:lineRule="auto"/>
        <w:ind w:right="432"/>
        <w:jc w:val="both"/>
        <w:rPr>
          <w:iCs/>
          <w:sz w:val="24"/>
        </w:rPr>
      </w:pPr>
      <w:r>
        <w:rPr>
          <w:iCs/>
          <w:sz w:val="24"/>
        </w:rPr>
        <w:t xml:space="preserve">OUT for the CCGR configurations </w:t>
      </w:r>
      <w:r w:rsidR="00F872DF">
        <w:rPr>
          <w:iCs/>
          <w:sz w:val="24"/>
        </w:rPr>
        <w:t>that</w:t>
      </w:r>
      <w:r>
        <w:rPr>
          <w:iCs/>
          <w:sz w:val="24"/>
        </w:rPr>
        <w:t xml:space="preserve"> are unavailable due to outages.      </w:t>
      </w:r>
    </w:p>
    <w:p w14:paraId="36B8FB9F" w14:textId="5DC188CE" w:rsidR="002E25AF" w:rsidRDefault="002E25AF" w:rsidP="00461ED6">
      <w:pPr>
        <w:pStyle w:val="BodyText"/>
        <w:numPr>
          <w:ilvl w:val="0"/>
          <w:numId w:val="19"/>
        </w:numPr>
        <w:spacing w:before="120" w:line="360" w:lineRule="auto"/>
        <w:ind w:right="432"/>
        <w:jc w:val="both"/>
        <w:rPr>
          <w:iCs/>
          <w:sz w:val="24"/>
        </w:rPr>
      </w:pPr>
      <w:r>
        <w:rPr>
          <w:iCs/>
          <w:sz w:val="24"/>
        </w:rPr>
        <w:lastRenderedPageBreak/>
        <w:t xml:space="preserve">If the QSE intends to operate the CCT in a COP reporting hour, part of the CCT is synchronized to ERCOT grid, and </w:t>
      </w:r>
      <w:r w:rsidR="00750529">
        <w:rPr>
          <w:iCs/>
          <w:sz w:val="24"/>
        </w:rPr>
        <w:t>an</w:t>
      </w:r>
      <w:r>
        <w:rPr>
          <w:iCs/>
          <w:sz w:val="24"/>
        </w:rPr>
        <w:t xml:space="preserve">other part of the CCT is synchronized to non-ERCOT </w:t>
      </w:r>
      <w:r w:rsidR="00750529">
        <w:rPr>
          <w:iCs/>
          <w:sz w:val="24"/>
        </w:rPr>
        <w:t>grid</w:t>
      </w:r>
      <w:r>
        <w:rPr>
          <w:iCs/>
          <w:sz w:val="24"/>
        </w:rPr>
        <w:t>, the QSE shall submit:</w:t>
      </w:r>
    </w:p>
    <w:p w14:paraId="7199E19E" w14:textId="64AA35A7" w:rsidR="002E25AF" w:rsidRDefault="002E25AF" w:rsidP="00461ED6">
      <w:pPr>
        <w:pStyle w:val="BodyText"/>
        <w:numPr>
          <w:ilvl w:val="0"/>
          <w:numId w:val="29"/>
        </w:numPr>
        <w:spacing w:before="120" w:line="360" w:lineRule="auto"/>
        <w:ind w:right="432"/>
        <w:jc w:val="both"/>
        <w:rPr>
          <w:iCs/>
          <w:sz w:val="24"/>
        </w:rPr>
      </w:pPr>
      <w:r>
        <w:rPr>
          <w:iCs/>
          <w:sz w:val="24"/>
        </w:rPr>
        <w:t>On-Line status (i.e. ON, ON</w:t>
      </w:r>
      <w:r w:rsidR="00A04071">
        <w:rPr>
          <w:iCs/>
          <w:sz w:val="24"/>
        </w:rPr>
        <w:t>EMR</w:t>
      </w:r>
      <w:r>
        <w:rPr>
          <w:iCs/>
          <w:sz w:val="24"/>
        </w:rPr>
        <w:t xml:space="preserve">, etc.) for the CCGR configuration </w:t>
      </w:r>
      <w:r w:rsidR="00F872DF">
        <w:rPr>
          <w:iCs/>
          <w:sz w:val="24"/>
        </w:rPr>
        <w:t>that</w:t>
      </w:r>
      <w:r>
        <w:rPr>
          <w:iCs/>
          <w:sz w:val="24"/>
        </w:rPr>
        <w:t xml:space="preserve"> is committed to </w:t>
      </w:r>
      <w:proofErr w:type="gramStart"/>
      <w:r>
        <w:rPr>
          <w:iCs/>
          <w:sz w:val="24"/>
        </w:rPr>
        <w:t>operate</w:t>
      </w:r>
      <w:proofErr w:type="gramEnd"/>
      <w:r>
        <w:rPr>
          <w:iCs/>
          <w:sz w:val="24"/>
        </w:rPr>
        <w:t xml:space="preserve"> </w:t>
      </w:r>
      <w:proofErr w:type="gramStart"/>
      <w:r>
        <w:rPr>
          <w:iCs/>
          <w:sz w:val="24"/>
        </w:rPr>
        <w:t>in ERCOT</w:t>
      </w:r>
      <w:proofErr w:type="gramEnd"/>
      <w:r>
        <w:rPr>
          <w:iCs/>
          <w:sz w:val="24"/>
        </w:rPr>
        <w:t xml:space="preserve"> grid </w:t>
      </w:r>
      <w:proofErr w:type="gramStart"/>
      <w:r>
        <w:rPr>
          <w:iCs/>
          <w:sz w:val="24"/>
        </w:rPr>
        <w:t>in</w:t>
      </w:r>
      <w:proofErr w:type="gramEnd"/>
      <w:r>
        <w:rPr>
          <w:iCs/>
          <w:sz w:val="24"/>
        </w:rPr>
        <w:t xml:space="preserve"> that operating </w:t>
      </w:r>
      <w:proofErr w:type="gramStart"/>
      <w:r>
        <w:rPr>
          <w:iCs/>
          <w:sz w:val="24"/>
        </w:rPr>
        <w:t>hour;</w:t>
      </w:r>
      <w:proofErr w:type="gramEnd"/>
      <w:r>
        <w:rPr>
          <w:iCs/>
          <w:sz w:val="24"/>
        </w:rPr>
        <w:t xml:space="preserve">  </w:t>
      </w:r>
    </w:p>
    <w:p w14:paraId="377168F4" w14:textId="77777777" w:rsidR="002E25AF" w:rsidRDefault="002E25AF" w:rsidP="00461ED6">
      <w:pPr>
        <w:pStyle w:val="BodyText"/>
        <w:numPr>
          <w:ilvl w:val="0"/>
          <w:numId w:val="29"/>
        </w:numPr>
        <w:spacing w:before="120" w:line="360" w:lineRule="auto"/>
        <w:ind w:right="432"/>
        <w:jc w:val="both"/>
        <w:rPr>
          <w:iCs/>
          <w:sz w:val="24"/>
        </w:rPr>
      </w:pPr>
      <w:r>
        <w:rPr>
          <w:iCs/>
          <w:sz w:val="24"/>
        </w:rPr>
        <w:t xml:space="preserve">EMRSWGR for the CCGR configurations </w:t>
      </w:r>
      <w:r w:rsidR="00F872DF">
        <w:rPr>
          <w:iCs/>
          <w:sz w:val="24"/>
        </w:rPr>
        <w:t>that</w:t>
      </w:r>
      <w:r>
        <w:rPr>
          <w:iCs/>
          <w:sz w:val="24"/>
        </w:rPr>
        <w:t xml:space="preserve"> are available but require switching back the part of CCT committed to non-ERCOT </w:t>
      </w:r>
      <w:proofErr w:type="gramStart"/>
      <w:r>
        <w:rPr>
          <w:iCs/>
          <w:sz w:val="24"/>
        </w:rPr>
        <w:t>grids;</w:t>
      </w:r>
      <w:proofErr w:type="gramEnd"/>
    </w:p>
    <w:p w14:paraId="14D42A8A" w14:textId="77777777" w:rsidR="002E25AF" w:rsidRDefault="002E25AF" w:rsidP="00461ED6">
      <w:pPr>
        <w:pStyle w:val="BodyText"/>
        <w:numPr>
          <w:ilvl w:val="0"/>
          <w:numId w:val="29"/>
        </w:numPr>
        <w:spacing w:before="120" w:line="360" w:lineRule="auto"/>
        <w:ind w:right="432"/>
        <w:jc w:val="both"/>
        <w:rPr>
          <w:iCs/>
          <w:sz w:val="24"/>
        </w:rPr>
      </w:pPr>
      <w:r>
        <w:rPr>
          <w:iCs/>
          <w:sz w:val="24"/>
        </w:rPr>
        <w:t xml:space="preserve">OFF for the CCGR configurations </w:t>
      </w:r>
      <w:r w:rsidR="00F872DF">
        <w:rPr>
          <w:iCs/>
          <w:sz w:val="24"/>
        </w:rPr>
        <w:t>that</w:t>
      </w:r>
      <w:r>
        <w:rPr>
          <w:iCs/>
          <w:sz w:val="24"/>
        </w:rPr>
        <w:t xml:space="preserve"> are available without switching back the parts of CCT committed to non-ERCOT </w:t>
      </w:r>
      <w:proofErr w:type="gramStart"/>
      <w:r>
        <w:rPr>
          <w:iCs/>
          <w:sz w:val="24"/>
        </w:rPr>
        <w:t>grids;</w:t>
      </w:r>
      <w:proofErr w:type="gramEnd"/>
    </w:p>
    <w:p w14:paraId="3078318D" w14:textId="77777777" w:rsidR="00AB512A" w:rsidRDefault="002E25AF" w:rsidP="00461ED6">
      <w:pPr>
        <w:pStyle w:val="BodyText"/>
        <w:numPr>
          <w:ilvl w:val="0"/>
          <w:numId w:val="29"/>
        </w:numPr>
        <w:spacing w:before="120" w:line="360" w:lineRule="auto"/>
        <w:ind w:right="432"/>
        <w:jc w:val="both"/>
        <w:rPr>
          <w:iCs/>
          <w:sz w:val="24"/>
        </w:rPr>
      </w:pPr>
      <w:r>
        <w:rPr>
          <w:iCs/>
          <w:sz w:val="24"/>
        </w:rPr>
        <w:t xml:space="preserve">OUT for the CCGR configurations </w:t>
      </w:r>
      <w:r w:rsidR="00F872DF">
        <w:rPr>
          <w:iCs/>
          <w:sz w:val="24"/>
        </w:rPr>
        <w:t>that</w:t>
      </w:r>
      <w:r>
        <w:rPr>
          <w:iCs/>
          <w:sz w:val="24"/>
        </w:rPr>
        <w:t xml:space="preserve"> are unavailable due to outages.  </w:t>
      </w:r>
    </w:p>
    <w:p w14:paraId="2A70B811" w14:textId="28DE1587" w:rsidR="002E25AF" w:rsidRDefault="005A3D11" w:rsidP="005B528F">
      <w:pPr>
        <w:pStyle w:val="Heading2"/>
        <w:spacing w:line="360" w:lineRule="auto"/>
      </w:pPr>
      <w:bookmarkStart w:id="269" w:name="_Toc216878070"/>
      <w:r w:rsidRPr="00900950">
        <w:t>Energy Storage Resources</w:t>
      </w:r>
      <w:bookmarkEnd w:id="269"/>
      <w:r w:rsidR="002E25AF" w:rsidRPr="00900950">
        <w:t xml:space="preserve">    </w:t>
      </w:r>
    </w:p>
    <w:p w14:paraId="0977FE3E" w14:textId="5B0BADD0" w:rsidR="004456CC" w:rsidRDefault="00C40CC0" w:rsidP="005B528F">
      <w:pPr>
        <w:spacing w:line="360" w:lineRule="auto"/>
        <w:jc w:val="both"/>
        <w:rPr>
          <w:iCs/>
        </w:rPr>
      </w:pPr>
      <w:r>
        <w:t xml:space="preserve">Nodal Protocol 2.1 defines an Energy Storage Resource as </w:t>
      </w:r>
      <w:r>
        <w:rPr>
          <w:iCs/>
        </w:rPr>
        <w:t>a</w:t>
      </w:r>
      <w:r w:rsidRPr="00C40CC0">
        <w:rPr>
          <w:iCs/>
        </w:rPr>
        <w:t>n Energy Storage System (ESS) registered with ERCOT for the purpose of providing energy and/or Ancillary Service to the ERCOT System.</w:t>
      </w:r>
      <w:r w:rsidR="00F34B00">
        <w:rPr>
          <w:iCs/>
        </w:rPr>
        <w:t xml:space="preserve">  </w:t>
      </w:r>
      <w:r w:rsidR="00D509C2">
        <w:rPr>
          <w:iCs/>
        </w:rPr>
        <w:t xml:space="preserve">In addition, </w:t>
      </w:r>
      <w:r w:rsidR="004456CC">
        <w:rPr>
          <w:iCs/>
        </w:rPr>
        <w:t>2.1 includes the following definitions related to State of Charge (SOC) for a</w:t>
      </w:r>
      <w:r w:rsidR="009C7CC0">
        <w:rPr>
          <w:iCs/>
        </w:rPr>
        <w:t>n</w:t>
      </w:r>
      <w:r w:rsidR="004456CC">
        <w:rPr>
          <w:iCs/>
        </w:rPr>
        <w:t xml:space="preserve"> ESR.</w:t>
      </w:r>
    </w:p>
    <w:p w14:paraId="78098B47" w14:textId="667FA951" w:rsidR="004456CC" w:rsidRDefault="00B419DF" w:rsidP="00F508FA">
      <w:pPr>
        <w:pStyle w:val="ListParagraph"/>
        <w:numPr>
          <w:ilvl w:val="0"/>
          <w:numId w:val="19"/>
        </w:numPr>
        <w:spacing w:line="360" w:lineRule="auto"/>
        <w:jc w:val="both"/>
        <w:rPr>
          <w:iCs/>
        </w:rPr>
      </w:pPr>
      <w:r>
        <w:rPr>
          <w:iCs/>
        </w:rPr>
        <w:t>State of Charge</w:t>
      </w:r>
      <w:r w:rsidR="00743DAA">
        <w:rPr>
          <w:iCs/>
        </w:rPr>
        <w:t xml:space="preserve"> (SOC)</w:t>
      </w:r>
      <w:r>
        <w:rPr>
          <w:iCs/>
        </w:rPr>
        <w:t>: The stored energy in MWh, of an ESR, that can be injected into the grid at the Point of Interconnection (POI) or Point of Common Coupling (POCC)</w:t>
      </w:r>
    </w:p>
    <w:p w14:paraId="1D4A083F" w14:textId="77777777" w:rsidR="00811243" w:rsidRPr="00811243" w:rsidRDefault="00743DAA" w:rsidP="005B528F">
      <w:pPr>
        <w:pStyle w:val="ListParagraph"/>
        <w:numPr>
          <w:ilvl w:val="1"/>
          <w:numId w:val="19"/>
        </w:numPr>
        <w:spacing w:line="360" w:lineRule="auto"/>
        <w:jc w:val="both"/>
        <w:rPr>
          <w:bCs/>
          <w:iCs/>
          <w:lang w:val="x-none"/>
        </w:rPr>
      </w:pPr>
      <w:r>
        <w:rPr>
          <w:iCs/>
        </w:rPr>
        <w:t>Hour Beginning Planned SOC:</w:t>
      </w:r>
      <w:r w:rsidR="00811243">
        <w:rPr>
          <w:iCs/>
        </w:rPr>
        <w:t xml:space="preserve"> </w:t>
      </w:r>
      <w:r w:rsidR="00811243" w:rsidRPr="00811243">
        <w:rPr>
          <w:bCs/>
          <w:iCs/>
          <w:lang w:val="x-none"/>
        </w:rPr>
        <w:t xml:space="preserve">The planned State of Charge, in MWh, at the beginning of an hour, as communicated to ERCOT by the QSE for </w:t>
      </w:r>
      <w:proofErr w:type="gramStart"/>
      <w:r w:rsidR="00811243" w:rsidRPr="00811243">
        <w:rPr>
          <w:bCs/>
          <w:iCs/>
          <w:lang w:val="x-none"/>
        </w:rPr>
        <w:t>the Resource</w:t>
      </w:r>
      <w:proofErr w:type="gramEnd"/>
      <w:r w:rsidR="00811243" w:rsidRPr="00811243">
        <w:rPr>
          <w:bCs/>
          <w:iCs/>
          <w:lang w:val="x-none"/>
        </w:rPr>
        <w:t>.</w:t>
      </w:r>
    </w:p>
    <w:p w14:paraId="131CF397" w14:textId="3D377869" w:rsidR="00743DAA" w:rsidRDefault="00811243" w:rsidP="00F508FA">
      <w:pPr>
        <w:pStyle w:val="ListParagraph"/>
        <w:numPr>
          <w:ilvl w:val="1"/>
          <w:numId w:val="19"/>
        </w:numPr>
        <w:spacing w:line="360" w:lineRule="auto"/>
        <w:jc w:val="both"/>
        <w:rPr>
          <w:iCs/>
        </w:rPr>
      </w:pPr>
      <w:r>
        <w:rPr>
          <w:iCs/>
        </w:rPr>
        <w:t>Min</w:t>
      </w:r>
      <w:r w:rsidR="00E14121">
        <w:rPr>
          <w:iCs/>
        </w:rPr>
        <w:t>imum State of Charge (MinSOC): The minimum amount of State of Charge, in MWh of an ESR</w:t>
      </w:r>
    </w:p>
    <w:p w14:paraId="75C81656" w14:textId="48E3D31F" w:rsidR="00E14121" w:rsidRPr="004456CC" w:rsidRDefault="00E14121" w:rsidP="005B528F">
      <w:pPr>
        <w:pStyle w:val="ListParagraph"/>
        <w:numPr>
          <w:ilvl w:val="1"/>
          <w:numId w:val="19"/>
        </w:numPr>
        <w:spacing w:line="360" w:lineRule="auto"/>
        <w:jc w:val="both"/>
        <w:rPr>
          <w:iCs/>
        </w:rPr>
      </w:pPr>
      <w:r>
        <w:rPr>
          <w:iCs/>
        </w:rPr>
        <w:t>Maximum State of Charge (MaxSOC): The maximum State of Charge, in MWh of an ESR</w:t>
      </w:r>
    </w:p>
    <w:p w14:paraId="6BB8358F" w14:textId="4740386F" w:rsidR="005623D1" w:rsidRDefault="002564D3" w:rsidP="005B528F">
      <w:pPr>
        <w:spacing w:line="360" w:lineRule="auto"/>
        <w:jc w:val="both"/>
        <w:rPr>
          <w:iCs/>
        </w:rPr>
      </w:pPr>
      <w:r>
        <w:rPr>
          <w:iCs/>
        </w:rPr>
        <w:t>As</w:t>
      </w:r>
      <w:r w:rsidR="00442CB2">
        <w:rPr>
          <w:iCs/>
        </w:rPr>
        <w:t xml:space="preserve"> described in Protocol Section 3.9.1 (5) </w:t>
      </w:r>
      <w:r w:rsidR="0051159A">
        <w:rPr>
          <w:iCs/>
        </w:rPr>
        <w:t>(h),</w:t>
      </w:r>
      <w:r w:rsidR="007E423F">
        <w:rPr>
          <w:iCs/>
        </w:rPr>
        <w:t xml:space="preserve"> </w:t>
      </w:r>
      <w:r w:rsidR="00E14121">
        <w:rPr>
          <w:iCs/>
        </w:rPr>
        <w:t xml:space="preserve">the </w:t>
      </w:r>
      <w:r w:rsidR="007E423F">
        <w:rPr>
          <w:iCs/>
        </w:rPr>
        <w:t>COP for</w:t>
      </w:r>
      <w:r w:rsidR="0051159A">
        <w:rPr>
          <w:iCs/>
        </w:rPr>
        <w:t xml:space="preserve"> ESRs</w:t>
      </w:r>
      <w:r w:rsidR="008B74B0">
        <w:rPr>
          <w:iCs/>
        </w:rPr>
        <w:t xml:space="preserve"> must include:</w:t>
      </w:r>
    </w:p>
    <w:p w14:paraId="19B6C585" w14:textId="15FD3009" w:rsidR="008B74B0" w:rsidRDefault="008B74B0" w:rsidP="00F508FA">
      <w:pPr>
        <w:pStyle w:val="ListParagraph"/>
        <w:numPr>
          <w:ilvl w:val="0"/>
          <w:numId w:val="19"/>
        </w:numPr>
        <w:spacing w:line="360" w:lineRule="auto"/>
        <w:jc w:val="both"/>
      </w:pPr>
      <w:r>
        <w:t>Minimum State of Charge (MinSOC</w:t>
      </w:r>
      <w:proofErr w:type="gramStart"/>
      <w:r>
        <w:t>);</w:t>
      </w:r>
      <w:proofErr w:type="gramEnd"/>
    </w:p>
    <w:p w14:paraId="265CFF14" w14:textId="77777777" w:rsidR="00022CBB" w:rsidRDefault="008B74B0" w:rsidP="00F508FA">
      <w:pPr>
        <w:pStyle w:val="ListParagraph"/>
        <w:numPr>
          <w:ilvl w:val="0"/>
          <w:numId w:val="19"/>
        </w:numPr>
        <w:spacing w:line="360" w:lineRule="auto"/>
        <w:jc w:val="both"/>
      </w:pPr>
      <w:r>
        <w:t>Maximum</w:t>
      </w:r>
      <w:r w:rsidR="0097338E">
        <w:t xml:space="preserve"> State of Charge</w:t>
      </w:r>
      <w:r w:rsidR="00022CBB">
        <w:t xml:space="preserve"> (MaxSOC); and</w:t>
      </w:r>
    </w:p>
    <w:p w14:paraId="61809DEB" w14:textId="08E61688" w:rsidR="008B74B0" w:rsidRDefault="00022CBB" w:rsidP="00F508FA">
      <w:pPr>
        <w:pStyle w:val="ListParagraph"/>
        <w:numPr>
          <w:ilvl w:val="0"/>
          <w:numId w:val="19"/>
        </w:numPr>
        <w:spacing w:line="360" w:lineRule="auto"/>
        <w:jc w:val="both"/>
      </w:pPr>
      <w:r>
        <w:t xml:space="preserve">Hour Beginning Planned SOC </w:t>
      </w:r>
      <w:r w:rsidR="008B74B0">
        <w:t xml:space="preserve"> </w:t>
      </w:r>
    </w:p>
    <w:p w14:paraId="05493B69" w14:textId="1035A80E" w:rsidR="00EC7B5D" w:rsidRDefault="00EC7B5D" w:rsidP="00F508FA">
      <w:pPr>
        <w:spacing w:line="360" w:lineRule="auto"/>
        <w:jc w:val="both"/>
      </w:pPr>
      <w:r>
        <w:t>As described in Protocol Section 3.9.1 (17)</w:t>
      </w:r>
      <w:r w:rsidR="009A0FDC">
        <w:t>, a QSE representing an ESR shall ensure that the COP values for a given hour follow the following rules:</w:t>
      </w:r>
    </w:p>
    <w:p w14:paraId="20BA7A31" w14:textId="05C1E387" w:rsidR="009A0FDC" w:rsidRDefault="009A0FDC" w:rsidP="00F508FA">
      <w:pPr>
        <w:pStyle w:val="ListParagraph"/>
        <w:numPr>
          <w:ilvl w:val="0"/>
          <w:numId w:val="30"/>
        </w:numPr>
        <w:spacing w:line="360" w:lineRule="auto"/>
        <w:jc w:val="both"/>
      </w:pPr>
      <w:r>
        <w:lastRenderedPageBreak/>
        <w:t>MinS</w:t>
      </w:r>
      <w:r w:rsidR="00872405">
        <w:t>OC</w:t>
      </w:r>
      <w:r>
        <w:t xml:space="preserve"> is great</w:t>
      </w:r>
      <w:r w:rsidR="00FE6045">
        <w:t>er</w:t>
      </w:r>
      <w:r>
        <w:t xml:space="preserve"> than or equal to </w:t>
      </w:r>
      <w:r w:rsidR="00872405">
        <w:t xml:space="preserve">the nameplate minimum MWh operating SOC </w:t>
      </w:r>
      <w:proofErr w:type="gramStart"/>
      <w:r w:rsidR="00872405">
        <w:t>limit;</w:t>
      </w:r>
      <w:proofErr w:type="gramEnd"/>
    </w:p>
    <w:p w14:paraId="6203E4CA" w14:textId="605FEF6F" w:rsidR="00872405" w:rsidRDefault="00872405" w:rsidP="00F508FA">
      <w:pPr>
        <w:pStyle w:val="ListParagraph"/>
        <w:numPr>
          <w:ilvl w:val="0"/>
          <w:numId w:val="30"/>
        </w:numPr>
        <w:spacing w:line="360" w:lineRule="auto"/>
        <w:jc w:val="both"/>
      </w:pPr>
      <w:r>
        <w:t>MaxSOC is less tha</w:t>
      </w:r>
      <w:r w:rsidR="00FE6045">
        <w:t>n</w:t>
      </w:r>
      <w:r>
        <w:t xml:space="preserve"> or equal to the nameplate maximum MWh operati</w:t>
      </w:r>
      <w:r w:rsidR="00270D25">
        <w:t>ng</w:t>
      </w:r>
      <w:r>
        <w:t xml:space="preserve"> SOC limit; and</w:t>
      </w:r>
    </w:p>
    <w:p w14:paraId="04E7997D" w14:textId="7B8B2580" w:rsidR="00872405" w:rsidRDefault="00872405" w:rsidP="005B528F">
      <w:pPr>
        <w:pStyle w:val="ListParagraph"/>
        <w:numPr>
          <w:ilvl w:val="0"/>
          <w:numId w:val="30"/>
        </w:numPr>
        <w:spacing w:line="360" w:lineRule="auto"/>
        <w:jc w:val="both"/>
      </w:pPr>
      <w:r>
        <w:t>Hour Beginning Planned SOC is a value between the corresponding COP values of MinSOC and MaxSOC.</w:t>
      </w:r>
    </w:p>
    <w:p w14:paraId="30420DD3" w14:textId="20B84ACA" w:rsidR="00900950" w:rsidRDefault="00EF52DD" w:rsidP="00900950">
      <w:pPr>
        <w:spacing w:line="360" w:lineRule="auto"/>
        <w:jc w:val="both"/>
      </w:pPr>
      <w:r>
        <w:rPr>
          <w:iCs/>
        </w:rPr>
        <w:t>In addition, a</w:t>
      </w:r>
      <w:r w:rsidR="00FA6F44">
        <w:rPr>
          <w:iCs/>
        </w:rPr>
        <w:t>s described in Protocol Section 3.9.1 (3), for a COP provided by an ESR, the QSE shall ensure that the Hour Beginning Planned SOC for any two consecutive hours shall be feasible based on the ESR’s maximum rate of charge or discharge.</w:t>
      </w:r>
    </w:p>
    <w:p w14:paraId="7286E721" w14:textId="77777777" w:rsidR="00900950" w:rsidRDefault="00900950" w:rsidP="005B528F">
      <w:pPr>
        <w:spacing w:line="360" w:lineRule="auto"/>
        <w:ind w:left="423"/>
        <w:jc w:val="both"/>
      </w:pPr>
    </w:p>
    <w:p w14:paraId="6BE5D201" w14:textId="77777777" w:rsidR="009F479F" w:rsidRPr="005623D1" w:rsidRDefault="009F479F" w:rsidP="005B528F">
      <w:pPr>
        <w:spacing w:line="360" w:lineRule="auto"/>
        <w:jc w:val="both"/>
      </w:pPr>
    </w:p>
    <w:p w14:paraId="4152260A" w14:textId="77777777" w:rsidR="00AA0636" w:rsidRPr="00151D8A" w:rsidRDefault="00AA0636" w:rsidP="005B528F">
      <w:pPr>
        <w:pStyle w:val="BodyText"/>
        <w:spacing w:before="120" w:line="360" w:lineRule="auto"/>
        <w:ind w:right="432"/>
        <w:jc w:val="both"/>
        <w:rPr>
          <w:iCs/>
          <w:sz w:val="24"/>
        </w:rPr>
      </w:pPr>
    </w:p>
    <w:p w14:paraId="078A1A83" w14:textId="77777777" w:rsidR="00C42433" w:rsidRDefault="00C42433">
      <w:pPr>
        <w:spacing w:line="360" w:lineRule="auto"/>
      </w:pPr>
    </w:p>
    <w:p w14:paraId="5827D500" w14:textId="77777777" w:rsidR="009561F6" w:rsidRDefault="009561F6">
      <w:pPr>
        <w:spacing w:line="360" w:lineRule="auto"/>
      </w:pPr>
    </w:p>
    <w:p w14:paraId="0B2350CC" w14:textId="77777777" w:rsidR="009561F6" w:rsidRDefault="009561F6">
      <w:pPr>
        <w:spacing w:line="360" w:lineRule="auto"/>
      </w:pPr>
    </w:p>
    <w:p w14:paraId="64DF55E2" w14:textId="77777777" w:rsidR="009561F6" w:rsidRDefault="009561F6">
      <w:pPr>
        <w:spacing w:line="360" w:lineRule="auto"/>
      </w:pPr>
    </w:p>
    <w:p w14:paraId="66EEACA5" w14:textId="77777777" w:rsidR="0087058D" w:rsidRDefault="0087058D" w:rsidP="007B27E4">
      <w:pPr>
        <w:spacing w:line="360" w:lineRule="auto"/>
      </w:pPr>
    </w:p>
    <w:p w14:paraId="6D622535" w14:textId="77777777" w:rsidR="0087058D" w:rsidRDefault="0087058D" w:rsidP="007B27E4">
      <w:pPr>
        <w:spacing w:line="360" w:lineRule="auto"/>
      </w:pPr>
    </w:p>
    <w:p w14:paraId="693A5857" w14:textId="77777777" w:rsidR="007B27E4" w:rsidRDefault="007B27E4" w:rsidP="007B27E4">
      <w:pPr>
        <w:spacing w:line="360" w:lineRule="auto"/>
        <w:jc w:val="center"/>
      </w:pPr>
    </w:p>
    <w:p w14:paraId="7E5BE5A2" w14:textId="77777777" w:rsidR="007B27E4" w:rsidRDefault="007B27E4" w:rsidP="007B27E4">
      <w:pPr>
        <w:spacing w:line="360" w:lineRule="auto"/>
      </w:pPr>
    </w:p>
    <w:p w14:paraId="26856480" w14:textId="77777777" w:rsidR="007B27E4" w:rsidRPr="007B27E4" w:rsidRDefault="007B27E4" w:rsidP="007B27E4">
      <w:pPr>
        <w:spacing w:line="360" w:lineRule="auto"/>
        <w:jc w:val="center"/>
        <w:sectPr w:rsidR="007B27E4" w:rsidRPr="007B27E4" w:rsidSect="00AF11EA">
          <w:footerReference w:type="default" r:id="rId18"/>
          <w:pgSz w:w="12240" w:h="15840"/>
          <w:pgMar w:top="1440" w:right="1440" w:bottom="1440" w:left="1440" w:header="720" w:footer="720" w:gutter="0"/>
          <w:cols w:space="720"/>
          <w:docGrid w:linePitch="360"/>
        </w:sectPr>
      </w:pPr>
    </w:p>
    <w:p w14:paraId="0BB26D1F" w14:textId="34D2B466" w:rsidR="00941910" w:rsidRPr="00941910" w:rsidRDefault="009042B1" w:rsidP="00941910">
      <w:pPr>
        <w:pStyle w:val="Heading1"/>
        <w:jc w:val="center"/>
      </w:pPr>
      <w:bookmarkStart w:id="270" w:name="_Toc216878071"/>
      <w:r w:rsidRPr="00073EC0">
        <w:lastRenderedPageBreak/>
        <w:t>Appendix I</w:t>
      </w:r>
      <w:r w:rsidR="00941910">
        <w:t xml:space="preserve"> – MMS System Generated Notices</w:t>
      </w:r>
      <w:bookmarkEnd w:id="270"/>
    </w:p>
    <w:p w14:paraId="57110179" w14:textId="77777777" w:rsidR="00574F54" w:rsidRPr="00CF405F" w:rsidRDefault="009042B1" w:rsidP="00574F54">
      <w:pPr>
        <w:jc w:val="center"/>
        <w:rPr>
          <w:sz w:val="28"/>
          <w:szCs w:val="28"/>
        </w:rPr>
      </w:pPr>
      <w:r w:rsidRPr="00CF405F">
        <w:rPr>
          <w:sz w:val="28"/>
          <w:szCs w:val="28"/>
        </w:rPr>
        <w:t xml:space="preserve">Selected Excerpts from </w:t>
      </w:r>
    </w:p>
    <w:p w14:paraId="3760C04F" w14:textId="54A0B18C" w:rsidR="00574F54" w:rsidRPr="00CF405F" w:rsidRDefault="00B900BB" w:rsidP="00B900BB">
      <w:pPr>
        <w:jc w:val="center"/>
        <w:rPr>
          <w:sz w:val="28"/>
          <w:szCs w:val="28"/>
        </w:rPr>
      </w:pPr>
      <w:r>
        <w:rPr>
          <w:sz w:val="28"/>
          <w:szCs w:val="28"/>
        </w:rPr>
        <w:t xml:space="preserve">Section </w:t>
      </w:r>
      <w:r w:rsidR="009104EA">
        <w:rPr>
          <w:sz w:val="28"/>
          <w:szCs w:val="28"/>
        </w:rPr>
        <w:t>5.3.1.1</w:t>
      </w:r>
      <w:r w:rsidR="00971058">
        <w:rPr>
          <w:sz w:val="28"/>
          <w:szCs w:val="28"/>
        </w:rPr>
        <w:t xml:space="preserve"> of the </w:t>
      </w:r>
      <w:r w:rsidR="00E545F2">
        <w:rPr>
          <w:sz w:val="28"/>
          <w:szCs w:val="28"/>
        </w:rPr>
        <w:t>EIP External Inter</w:t>
      </w:r>
      <w:r w:rsidR="00EA5B16">
        <w:rPr>
          <w:sz w:val="28"/>
          <w:szCs w:val="28"/>
        </w:rPr>
        <w:t>faces Specification RTC+B</w:t>
      </w:r>
      <w:r w:rsidR="00887576">
        <w:rPr>
          <w:sz w:val="28"/>
          <w:szCs w:val="28"/>
        </w:rPr>
        <w:t xml:space="preserve"> v</w:t>
      </w:r>
      <w:r w:rsidR="00A97972">
        <w:rPr>
          <w:sz w:val="28"/>
          <w:szCs w:val="28"/>
        </w:rPr>
        <w:t>1.00</w:t>
      </w:r>
    </w:p>
    <w:p w14:paraId="15BE66E0" w14:textId="77777777" w:rsidR="00874219" w:rsidRDefault="009042B1" w:rsidP="00574F54">
      <w:pPr>
        <w:jc w:val="center"/>
        <w:rPr>
          <w:sz w:val="28"/>
          <w:szCs w:val="28"/>
        </w:rPr>
      </w:pPr>
      <w:r w:rsidRPr="00CF405F">
        <w:rPr>
          <w:sz w:val="28"/>
          <w:szCs w:val="28"/>
        </w:rPr>
        <w:t xml:space="preserve"> Applicable to Current Operating Plans</w:t>
      </w:r>
    </w:p>
    <w:p w14:paraId="43E6192A" w14:textId="4FF99F50" w:rsidR="00AA34DB" w:rsidRDefault="00AA34DB" w:rsidP="00574F54">
      <w:pPr>
        <w:jc w:val="center"/>
        <w:rPr>
          <w:sz w:val="28"/>
          <w:szCs w:val="28"/>
        </w:rPr>
      </w:pPr>
      <w:r>
        <w:rPr>
          <w:sz w:val="28"/>
          <w:szCs w:val="28"/>
        </w:rPr>
        <w:t xml:space="preserve">See this link </w:t>
      </w:r>
      <w:r w:rsidR="00007ED2">
        <w:rPr>
          <w:sz w:val="28"/>
          <w:szCs w:val="28"/>
        </w:rPr>
        <w:t>and section 5.3.1:</w:t>
      </w:r>
      <w:r w:rsidR="00D1603E">
        <w:rPr>
          <w:sz w:val="28"/>
          <w:szCs w:val="28"/>
        </w:rPr>
        <w:t xml:space="preserve"> </w:t>
      </w:r>
      <w:hyperlink r:id="rId19" w:history="1">
        <w:r w:rsidR="00D1603E" w:rsidRPr="00B71CE5">
          <w:rPr>
            <w:rStyle w:val="Hyperlink"/>
            <w:sz w:val="28"/>
            <w:szCs w:val="28"/>
          </w:rPr>
          <w:t>https://www.ercot.com/files/docs/2024/06/24/EIP_External_Interfaces_Specification_RTCB_v1.0.zip</w:t>
        </w:r>
      </w:hyperlink>
    </w:p>
    <w:p w14:paraId="2B256300" w14:textId="77777777" w:rsidR="00D1603E" w:rsidRPr="00CF405F" w:rsidRDefault="00D1603E" w:rsidP="00574F54">
      <w:pPr>
        <w:jc w:val="center"/>
        <w:rPr>
          <w:sz w:val="28"/>
          <w:szCs w:val="28"/>
        </w:rPr>
      </w:pPr>
    </w:p>
    <w:p w14:paraId="447D607D" w14:textId="77777777" w:rsidR="00941910" w:rsidRDefault="00941910" w:rsidP="00574F54">
      <w:pPr>
        <w:pStyle w:val="BodyText1"/>
      </w:pPr>
    </w:p>
    <w:p w14:paraId="18EB6F55" w14:textId="77777777" w:rsidR="00574F54" w:rsidRDefault="00574F54" w:rsidP="00574F54">
      <w:pPr>
        <w:pStyle w:val="BodyText1"/>
      </w:pPr>
      <w:r>
        <w:t xml:space="preserve">The following notices are system-generated and will display on the MMS market-facing user interface on the notices page and on MIS notices page. In addition to the protocol-required notices, the MMS system generates some additional notices that are documented below. </w:t>
      </w:r>
    </w:p>
    <w:p w14:paraId="1B1AD424" w14:textId="77777777" w:rsidR="00574F54" w:rsidRDefault="00574F54" w:rsidP="00574F54">
      <w:pPr>
        <w:pStyle w:val="BodyText1"/>
      </w:pPr>
    </w:p>
    <w:p w14:paraId="6F492EC2" w14:textId="77777777" w:rsidR="00574F54" w:rsidRDefault="00574F54" w:rsidP="00574F54">
      <w:pPr>
        <w:pStyle w:val="BodyText1"/>
      </w:pPr>
      <w:r>
        <w:t>Note: Some notices appear more than once if there are multiple protocol requirements for the same notice</w:t>
      </w:r>
    </w:p>
    <w:p w14:paraId="6593C5D4" w14:textId="77777777" w:rsidR="00574F54" w:rsidRDefault="00574F54" w:rsidP="00574F54"/>
    <w:tbl>
      <w:tblPr>
        <w:tblW w:w="131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3425"/>
        <w:gridCol w:w="1584"/>
        <w:gridCol w:w="966"/>
        <w:gridCol w:w="1350"/>
        <w:gridCol w:w="928"/>
        <w:gridCol w:w="1321"/>
        <w:gridCol w:w="2544"/>
      </w:tblGrid>
      <w:tr w:rsidR="006D20B5" w:rsidRPr="00932BD0" w14:paraId="748B7046" w14:textId="77777777" w:rsidTr="005B528F">
        <w:trPr>
          <w:cantSplit/>
          <w:trHeight w:val="70"/>
          <w:tblHeader/>
        </w:trPr>
        <w:tc>
          <w:tcPr>
            <w:tcW w:w="1022" w:type="dxa"/>
          </w:tcPr>
          <w:p w14:paraId="711951DF" w14:textId="77777777" w:rsidR="00574F54" w:rsidRPr="00932BD0" w:rsidRDefault="00574F54" w:rsidP="00474881">
            <w:pPr>
              <w:spacing w:after="40"/>
              <w:ind w:left="360"/>
              <w:jc w:val="right"/>
              <w:rPr>
                <w:rFonts w:ascii="Arial" w:hAnsi="Arial" w:cs="Arial"/>
                <w:sz w:val="20"/>
                <w:szCs w:val="20"/>
              </w:rPr>
            </w:pPr>
            <w:r w:rsidRPr="00932BD0">
              <w:rPr>
                <w:rFonts w:ascii="Arial" w:hAnsi="Arial" w:cs="Arial"/>
                <w:b/>
                <w:sz w:val="20"/>
                <w:szCs w:val="20"/>
              </w:rPr>
              <w:t>#</w:t>
            </w:r>
          </w:p>
        </w:tc>
        <w:tc>
          <w:tcPr>
            <w:tcW w:w="3425" w:type="dxa"/>
          </w:tcPr>
          <w:p w14:paraId="7366BB84" w14:textId="77777777" w:rsidR="00574F54" w:rsidRPr="00932BD0" w:rsidRDefault="00574F54" w:rsidP="00474881">
            <w:pPr>
              <w:spacing w:after="40"/>
              <w:ind w:left="72"/>
              <w:rPr>
                <w:rFonts w:ascii="Arial" w:hAnsi="Arial" w:cs="Arial"/>
                <w:color w:val="000000"/>
                <w:sz w:val="20"/>
                <w:szCs w:val="20"/>
              </w:rPr>
            </w:pPr>
            <w:r w:rsidRPr="00932BD0">
              <w:rPr>
                <w:rFonts w:ascii="Arial" w:hAnsi="Arial" w:cs="Arial"/>
                <w:b/>
                <w:sz w:val="20"/>
                <w:szCs w:val="20"/>
              </w:rPr>
              <w:t>Description</w:t>
            </w:r>
          </w:p>
        </w:tc>
        <w:tc>
          <w:tcPr>
            <w:tcW w:w="1584" w:type="dxa"/>
          </w:tcPr>
          <w:p w14:paraId="4734992F" w14:textId="33C836C1" w:rsidR="00574F54" w:rsidRPr="00932BD0" w:rsidRDefault="00BD3672" w:rsidP="00474881">
            <w:pPr>
              <w:rPr>
                <w:rFonts w:ascii="Arial" w:hAnsi="Arial" w:cs="Arial"/>
                <w:sz w:val="20"/>
                <w:szCs w:val="20"/>
              </w:rPr>
            </w:pPr>
            <w:r>
              <w:rPr>
                <w:rFonts w:ascii="Arial" w:hAnsi="Arial"/>
                <w:b/>
                <w:sz w:val="20"/>
              </w:rPr>
              <w:t>Generated by:</w:t>
            </w:r>
          </w:p>
        </w:tc>
        <w:tc>
          <w:tcPr>
            <w:tcW w:w="966" w:type="dxa"/>
          </w:tcPr>
          <w:p w14:paraId="47E57F02" w14:textId="77777777" w:rsidR="00574F54" w:rsidRPr="00932BD0" w:rsidRDefault="00574F54" w:rsidP="00474881">
            <w:pPr>
              <w:rPr>
                <w:rFonts w:ascii="Arial" w:hAnsi="Arial"/>
                <w:b/>
                <w:sz w:val="20"/>
              </w:rPr>
            </w:pPr>
            <w:r w:rsidRPr="00932BD0">
              <w:rPr>
                <w:rFonts w:ascii="Arial" w:hAnsi="Arial"/>
                <w:b/>
                <w:sz w:val="20"/>
              </w:rPr>
              <w:t>Owner</w:t>
            </w:r>
          </w:p>
        </w:tc>
        <w:tc>
          <w:tcPr>
            <w:tcW w:w="1350" w:type="dxa"/>
          </w:tcPr>
          <w:p w14:paraId="4A464EE3" w14:textId="77777777" w:rsidR="00574F54" w:rsidRPr="00932BD0" w:rsidRDefault="00574F54" w:rsidP="00474881">
            <w:pPr>
              <w:rPr>
                <w:rFonts w:ascii="Arial" w:hAnsi="Arial"/>
                <w:sz w:val="20"/>
              </w:rPr>
            </w:pPr>
            <w:r w:rsidRPr="00932BD0">
              <w:rPr>
                <w:rFonts w:ascii="Arial" w:hAnsi="Arial"/>
                <w:b/>
                <w:sz w:val="20"/>
              </w:rPr>
              <w:t>Type</w:t>
            </w:r>
          </w:p>
        </w:tc>
        <w:tc>
          <w:tcPr>
            <w:tcW w:w="928" w:type="dxa"/>
          </w:tcPr>
          <w:p w14:paraId="064D282B" w14:textId="77777777" w:rsidR="00574F54" w:rsidRPr="00932BD0" w:rsidRDefault="00574F54" w:rsidP="00474881">
            <w:pPr>
              <w:rPr>
                <w:rFonts w:ascii="Arial" w:hAnsi="Arial"/>
                <w:sz w:val="20"/>
              </w:rPr>
            </w:pPr>
            <w:r w:rsidRPr="00932BD0">
              <w:rPr>
                <w:rFonts w:ascii="Arial" w:hAnsi="Arial"/>
                <w:b/>
                <w:sz w:val="20"/>
              </w:rPr>
              <w:t>Priority</w:t>
            </w:r>
          </w:p>
        </w:tc>
        <w:tc>
          <w:tcPr>
            <w:tcW w:w="1321" w:type="dxa"/>
          </w:tcPr>
          <w:p w14:paraId="590ABAF5" w14:textId="77777777" w:rsidR="00574F54" w:rsidRPr="00932BD0" w:rsidRDefault="00574F54" w:rsidP="00474881">
            <w:pPr>
              <w:rPr>
                <w:rFonts w:ascii="Arial" w:hAnsi="Arial"/>
                <w:sz w:val="20"/>
              </w:rPr>
            </w:pPr>
            <w:r w:rsidRPr="00932BD0">
              <w:rPr>
                <w:rFonts w:ascii="Arial" w:hAnsi="Arial"/>
                <w:b/>
                <w:sz w:val="20"/>
              </w:rPr>
              <w:t>Audience</w:t>
            </w:r>
          </w:p>
        </w:tc>
        <w:tc>
          <w:tcPr>
            <w:tcW w:w="2544" w:type="dxa"/>
          </w:tcPr>
          <w:p w14:paraId="0BB331D5" w14:textId="77777777" w:rsidR="00574F54" w:rsidRPr="00932BD0" w:rsidRDefault="00574F54" w:rsidP="00474881">
            <w:pPr>
              <w:ind w:left="72"/>
              <w:rPr>
                <w:rFonts w:ascii="Arial" w:hAnsi="Arial"/>
                <w:sz w:val="20"/>
              </w:rPr>
            </w:pPr>
            <w:r w:rsidRPr="00932BD0">
              <w:rPr>
                <w:rFonts w:ascii="Arial" w:hAnsi="Arial"/>
                <w:b/>
                <w:sz w:val="20"/>
              </w:rPr>
              <w:t>Text</w:t>
            </w:r>
          </w:p>
        </w:tc>
      </w:tr>
      <w:tr w:rsidR="006D20B5" w:rsidRPr="00932BD0" w14:paraId="3D3DAAF4" w14:textId="77777777" w:rsidTr="005B528F">
        <w:trPr>
          <w:cantSplit/>
        </w:trPr>
        <w:tc>
          <w:tcPr>
            <w:tcW w:w="1022" w:type="dxa"/>
          </w:tcPr>
          <w:p w14:paraId="245F1A9A" w14:textId="22E95D5C" w:rsidR="00574F54" w:rsidRPr="00932BD0" w:rsidRDefault="00574F54" w:rsidP="00474881">
            <w:pPr>
              <w:spacing w:after="40"/>
              <w:ind w:left="360"/>
              <w:jc w:val="right"/>
              <w:rPr>
                <w:rFonts w:ascii="Arial" w:hAnsi="Arial" w:cs="Arial"/>
                <w:sz w:val="20"/>
                <w:szCs w:val="20"/>
              </w:rPr>
            </w:pPr>
          </w:p>
        </w:tc>
        <w:tc>
          <w:tcPr>
            <w:tcW w:w="3425" w:type="dxa"/>
          </w:tcPr>
          <w:p w14:paraId="6F8C5272" w14:textId="0AB33D9A" w:rsidR="00574F54" w:rsidRPr="00932BD0" w:rsidRDefault="00574F54" w:rsidP="00474881">
            <w:pPr>
              <w:spacing w:after="40"/>
              <w:ind w:left="72"/>
              <w:rPr>
                <w:rFonts w:ascii="Arial" w:hAnsi="Arial" w:cs="Arial"/>
                <w:sz w:val="20"/>
                <w:szCs w:val="20"/>
              </w:rPr>
            </w:pPr>
          </w:p>
        </w:tc>
        <w:tc>
          <w:tcPr>
            <w:tcW w:w="1584" w:type="dxa"/>
          </w:tcPr>
          <w:p w14:paraId="7543CAB5" w14:textId="194EEC61" w:rsidR="00574F54" w:rsidRPr="00932BD0" w:rsidRDefault="00574F54" w:rsidP="00474881">
            <w:pPr>
              <w:rPr>
                <w:rFonts w:ascii="Arial" w:hAnsi="Arial" w:cs="Arial"/>
                <w:sz w:val="20"/>
                <w:szCs w:val="20"/>
              </w:rPr>
            </w:pPr>
          </w:p>
        </w:tc>
        <w:tc>
          <w:tcPr>
            <w:tcW w:w="966" w:type="dxa"/>
          </w:tcPr>
          <w:p w14:paraId="44C48627" w14:textId="03CEF7E5" w:rsidR="00574F54" w:rsidRPr="00932BD0" w:rsidRDefault="00574F54" w:rsidP="00474881">
            <w:pPr>
              <w:rPr>
                <w:rFonts w:ascii="Arial" w:hAnsi="Arial"/>
                <w:sz w:val="20"/>
              </w:rPr>
            </w:pPr>
          </w:p>
        </w:tc>
        <w:tc>
          <w:tcPr>
            <w:tcW w:w="1350" w:type="dxa"/>
          </w:tcPr>
          <w:p w14:paraId="425B5E82" w14:textId="3608B793" w:rsidR="00574F54" w:rsidRPr="00932BD0" w:rsidRDefault="00574F54" w:rsidP="00474881">
            <w:pPr>
              <w:rPr>
                <w:rFonts w:ascii="Arial" w:hAnsi="Arial"/>
                <w:sz w:val="20"/>
              </w:rPr>
            </w:pPr>
          </w:p>
        </w:tc>
        <w:tc>
          <w:tcPr>
            <w:tcW w:w="928" w:type="dxa"/>
          </w:tcPr>
          <w:p w14:paraId="464580FC" w14:textId="077762C4" w:rsidR="00574F54" w:rsidRPr="00932BD0" w:rsidRDefault="00574F54" w:rsidP="00474881">
            <w:pPr>
              <w:rPr>
                <w:rFonts w:ascii="Arial" w:hAnsi="Arial"/>
                <w:sz w:val="20"/>
              </w:rPr>
            </w:pPr>
          </w:p>
        </w:tc>
        <w:tc>
          <w:tcPr>
            <w:tcW w:w="1321" w:type="dxa"/>
          </w:tcPr>
          <w:p w14:paraId="737222A1" w14:textId="0A149CF3" w:rsidR="00574F54" w:rsidRPr="00932BD0" w:rsidRDefault="00574F54" w:rsidP="00474881">
            <w:pPr>
              <w:rPr>
                <w:rFonts w:ascii="Arial" w:hAnsi="Arial"/>
                <w:sz w:val="20"/>
              </w:rPr>
            </w:pPr>
          </w:p>
        </w:tc>
        <w:tc>
          <w:tcPr>
            <w:tcW w:w="2544" w:type="dxa"/>
          </w:tcPr>
          <w:p w14:paraId="7CA76795" w14:textId="53D5BC0A" w:rsidR="00574F54" w:rsidRPr="00932BD0" w:rsidRDefault="00574F54" w:rsidP="00474881">
            <w:pPr>
              <w:rPr>
                <w:rFonts w:ascii="Arial" w:hAnsi="Arial" w:cs="Arial"/>
                <w:sz w:val="20"/>
                <w:szCs w:val="20"/>
              </w:rPr>
            </w:pPr>
          </w:p>
        </w:tc>
      </w:tr>
      <w:tr w:rsidR="00574F54" w:rsidRPr="00932BD0" w14:paraId="3C54BA59" w14:textId="77777777" w:rsidTr="005B528F">
        <w:trPr>
          <w:cantSplit/>
        </w:trPr>
        <w:tc>
          <w:tcPr>
            <w:tcW w:w="1022" w:type="dxa"/>
            <w:tcBorders>
              <w:top w:val="single" w:sz="4" w:space="0" w:color="auto"/>
              <w:left w:val="single" w:sz="4" w:space="0" w:color="auto"/>
              <w:bottom w:val="single" w:sz="4" w:space="0" w:color="auto"/>
              <w:right w:val="single" w:sz="4" w:space="0" w:color="auto"/>
            </w:tcBorders>
          </w:tcPr>
          <w:p w14:paraId="2894E3DA" w14:textId="77777777" w:rsidR="00AA34DB" w:rsidRDefault="00AA34DB" w:rsidP="00474881">
            <w:pPr>
              <w:spacing w:after="40"/>
              <w:ind w:left="360"/>
              <w:jc w:val="right"/>
              <w:rPr>
                <w:rFonts w:ascii="Arial" w:hAnsi="Arial" w:cs="Arial"/>
                <w:sz w:val="20"/>
                <w:szCs w:val="20"/>
              </w:rPr>
            </w:pPr>
            <w:r>
              <w:rPr>
                <w:rFonts w:ascii="Arial" w:hAnsi="Arial" w:cs="Arial"/>
                <w:sz w:val="20"/>
                <w:szCs w:val="20"/>
              </w:rPr>
              <w:t>11</w:t>
            </w:r>
          </w:p>
          <w:p w14:paraId="01D414CE" w14:textId="499BBA74" w:rsidR="00574F54" w:rsidRPr="00932BD0" w:rsidRDefault="00574F54" w:rsidP="00474881">
            <w:pPr>
              <w:spacing w:after="40"/>
              <w:ind w:left="360"/>
              <w:jc w:val="right"/>
              <w:rPr>
                <w:rFonts w:ascii="Arial" w:hAnsi="Arial" w:cs="Arial"/>
                <w:sz w:val="20"/>
                <w:szCs w:val="20"/>
              </w:rPr>
            </w:pPr>
          </w:p>
        </w:tc>
        <w:tc>
          <w:tcPr>
            <w:tcW w:w="3425" w:type="dxa"/>
            <w:tcBorders>
              <w:top w:val="single" w:sz="4" w:space="0" w:color="auto"/>
              <w:left w:val="single" w:sz="4" w:space="0" w:color="auto"/>
              <w:bottom w:val="single" w:sz="4" w:space="0" w:color="auto"/>
              <w:right w:val="single" w:sz="4" w:space="0" w:color="auto"/>
            </w:tcBorders>
          </w:tcPr>
          <w:p w14:paraId="402EE539" w14:textId="77777777" w:rsidR="00574F54" w:rsidRPr="00932BD0" w:rsidRDefault="00574F54" w:rsidP="00574F54">
            <w:pPr>
              <w:spacing w:after="40"/>
              <w:ind w:left="72"/>
              <w:rPr>
                <w:rFonts w:ascii="Arial" w:hAnsi="Arial" w:cs="Arial"/>
                <w:sz w:val="20"/>
                <w:szCs w:val="20"/>
              </w:rPr>
            </w:pPr>
            <w:r w:rsidRPr="00932BD0">
              <w:rPr>
                <w:rFonts w:ascii="Arial" w:hAnsi="Arial" w:cs="Arial"/>
                <w:sz w:val="20"/>
                <w:szCs w:val="20"/>
              </w:rPr>
              <w:t xml:space="preserve">Five minutes before the end of each hour, ERCOT shall identify inconsistencies between the telemetered Resource Status and the Resource Status stated in the COP for that Resource in the next hour.  On detecting an inconsistency, </w:t>
            </w:r>
            <w:r w:rsidRPr="00574F54">
              <w:rPr>
                <w:rFonts w:ascii="Arial" w:hAnsi="Arial" w:cs="Arial"/>
                <w:sz w:val="20"/>
                <w:szCs w:val="20"/>
              </w:rPr>
              <w:t>ERCOT shall provide a notice of inconsistent Resource Status to the QSE</w:t>
            </w:r>
            <w:r w:rsidRPr="00932BD0">
              <w:rPr>
                <w:rFonts w:ascii="Arial" w:hAnsi="Arial" w:cs="Arial"/>
                <w:sz w:val="20"/>
                <w:szCs w:val="20"/>
              </w:rPr>
              <w:t xml:space="preserve"> using the Messaging System</w:t>
            </w:r>
          </w:p>
        </w:tc>
        <w:tc>
          <w:tcPr>
            <w:tcW w:w="1584" w:type="dxa"/>
            <w:tcBorders>
              <w:top w:val="single" w:sz="4" w:space="0" w:color="auto"/>
              <w:left w:val="single" w:sz="4" w:space="0" w:color="auto"/>
              <w:bottom w:val="single" w:sz="4" w:space="0" w:color="auto"/>
              <w:right w:val="single" w:sz="4" w:space="0" w:color="auto"/>
            </w:tcBorders>
          </w:tcPr>
          <w:p w14:paraId="621C9300" w14:textId="764CC06A" w:rsidR="00574F54" w:rsidRPr="00574F54" w:rsidRDefault="00BD3672" w:rsidP="00474881">
            <w:pPr>
              <w:rPr>
                <w:rFonts w:ascii="Arial" w:hAnsi="Arial" w:cs="Arial"/>
                <w:sz w:val="20"/>
                <w:szCs w:val="20"/>
              </w:rPr>
            </w:pPr>
            <w:r>
              <w:rPr>
                <w:rFonts w:ascii="Arial" w:hAnsi="Arial" w:cs="Arial"/>
                <w:sz w:val="20"/>
                <w:szCs w:val="20"/>
              </w:rPr>
              <w:t>MMS</w:t>
            </w:r>
          </w:p>
        </w:tc>
        <w:tc>
          <w:tcPr>
            <w:tcW w:w="966" w:type="dxa"/>
            <w:tcBorders>
              <w:top w:val="single" w:sz="4" w:space="0" w:color="auto"/>
              <w:left w:val="single" w:sz="4" w:space="0" w:color="auto"/>
              <w:bottom w:val="single" w:sz="4" w:space="0" w:color="auto"/>
              <w:right w:val="single" w:sz="4" w:space="0" w:color="auto"/>
            </w:tcBorders>
          </w:tcPr>
          <w:p w14:paraId="7D4048EE" w14:textId="77777777" w:rsidR="00574F54" w:rsidRPr="00932BD0" w:rsidRDefault="00574F54" w:rsidP="00474881">
            <w:pPr>
              <w:rPr>
                <w:rFonts w:ascii="Arial" w:hAnsi="Arial"/>
                <w:sz w:val="20"/>
              </w:rPr>
            </w:pPr>
            <w:r w:rsidRPr="00932BD0">
              <w:rPr>
                <w:rFonts w:ascii="Arial" w:hAnsi="Arial"/>
                <w:sz w:val="20"/>
              </w:rPr>
              <w:t>Sys. Ops.</w:t>
            </w:r>
          </w:p>
        </w:tc>
        <w:tc>
          <w:tcPr>
            <w:tcW w:w="1350" w:type="dxa"/>
            <w:tcBorders>
              <w:top w:val="single" w:sz="4" w:space="0" w:color="auto"/>
              <w:left w:val="single" w:sz="4" w:space="0" w:color="auto"/>
              <w:bottom w:val="single" w:sz="4" w:space="0" w:color="auto"/>
              <w:right w:val="single" w:sz="4" w:space="0" w:color="auto"/>
            </w:tcBorders>
          </w:tcPr>
          <w:p w14:paraId="263ABBD0" w14:textId="77777777" w:rsidR="00574F54" w:rsidRPr="00932BD0" w:rsidRDefault="00574F54" w:rsidP="00474881">
            <w:pPr>
              <w:rPr>
                <w:rFonts w:ascii="Arial" w:hAnsi="Arial"/>
                <w:sz w:val="20"/>
              </w:rPr>
            </w:pPr>
            <w:r w:rsidRPr="00932BD0">
              <w:rPr>
                <w:rFonts w:ascii="Arial" w:hAnsi="Arial"/>
                <w:sz w:val="20"/>
              </w:rPr>
              <w:t>COP Warning</w:t>
            </w:r>
          </w:p>
        </w:tc>
        <w:tc>
          <w:tcPr>
            <w:tcW w:w="928" w:type="dxa"/>
            <w:tcBorders>
              <w:top w:val="single" w:sz="4" w:space="0" w:color="auto"/>
              <w:left w:val="single" w:sz="4" w:space="0" w:color="auto"/>
              <w:bottom w:val="single" w:sz="4" w:space="0" w:color="auto"/>
              <w:right w:val="single" w:sz="4" w:space="0" w:color="auto"/>
            </w:tcBorders>
          </w:tcPr>
          <w:p w14:paraId="3643DD06" w14:textId="77777777" w:rsidR="00574F54" w:rsidRPr="00932BD0" w:rsidRDefault="00574F54" w:rsidP="00474881">
            <w:pPr>
              <w:rPr>
                <w:rFonts w:ascii="Arial" w:hAnsi="Arial"/>
                <w:sz w:val="20"/>
              </w:rPr>
            </w:pPr>
            <w:r w:rsidRPr="00932BD0">
              <w:rPr>
                <w:rFonts w:ascii="Arial" w:hAnsi="Arial"/>
                <w:sz w:val="20"/>
              </w:rPr>
              <w:t>Med</w:t>
            </w:r>
          </w:p>
        </w:tc>
        <w:tc>
          <w:tcPr>
            <w:tcW w:w="1321" w:type="dxa"/>
            <w:tcBorders>
              <w:top w:val="single" w:sz="4" w:space="0" w:color="auto"/>
              <w:left w:val="single" w:sz="4" w:space="0" w:color="auto"/>
              <w:bottom w:val="single" w:sz="4" w:space="0" w:color="auto"/>
              <w:right w:val="single" w:sz="4" w:space="0" w:color="auto"/>
            </w:tcBorders>
          </w:tcPr>
          <w:p w14:paraId="64830D70" w14:textId="77777777" w:rsidR="00574F54" w:rsidRPr="00932BD0" w:rsidRDefault="00574F54" w:rsidP="00474881">
            <w:pPr>
              <w:rPr>
                <w:rFonts w:ascii="Arial" w:hAnsi="Arial"/>
                <w:sz w:val="20"/>
              </w:rPr>
            </w:pPr>
            <w:r w:rsidRPr="00932BD0">
              <w:rPr>
                <w:rFonts w:ascii="Arial" w:hAnsi="Arial"/>
                <w:sz w:val="20"/>
              </w:rPr>
              <w:t>A QSE</w:t>
            </w:r>
          </w:p>
        </w:tc>
        <w:tc>
          <w:tcPr>
            <w:tcW w:w="2544" w:type="dxa"/>
            <w:tcBorders>
              <w:top w:val="single" w:sz="4" w:space="0" w:color="auto"/>
              <w:left w:val="single" w:sz="4" w:space="0" w:color="auto"/>
              <w:bottom w:val="single" w:sz="4" w:space="0" w:color="auto"/>
              <w:right w:val="single" w:sz="4" w:space="0" w:color="auto"/>
            </w:tcBorders>
          </w:tcPr>
          <w:p w14:paraId="12A76EDC" w14:textId="77777777" w:rsidR="00574F54" w:rsidRPr="00574F54" w:rsidRDefault="00574F54" w:rsidP="00474881">
            <w:pPr>
              <w:rPr>
                <w:rFonts w:ascii="Arial" w:hAnsi="Arial" w:cs="Arial"/>
                <w:vanish/>
                <w:sz w:val="20"/>
                <w:szCs w:val="20"/>
              </w:rPr>
            </w:pPr>
          </w:p>
        </w:tc>
      </w:tr>
      <w:tr w:rsidR="00574F54" w:rsidRPr="00932BD0" w14:paraId="3D5CFDFF" w14:textId="77777777" w:rsidTr="005B528F">
        <w:trPr>
          <w:cantSplit/>
        </w:trPr>
        <w:tc>
          <w:tcPr>
            <w:tcW w:w="1022" w:type="dxa"/>
            <w:tcBorders>
              <w:top w:val="single" w:sz="4" w:space="0" w:color="auto"/>
              <w:left w:val="single" w:sz="4" w:space="0" w:color="auto"/>
              <w:bottom w:val="single" w:sz="4" w:space="0" w:color="auto"/>
              <w:right w:val="single" w:sz="4" w:space="0" w:color="auto"/>
            </w:tcBorders>
          </w:tcPr>
          <w:p w14:paraId="197DCCAA" w14:textId="797E9F43" w:rsidR="00574F54" w:rsidRPr="00932BD0" w:rsidRDefault="00574F54" w:rsidP="00474881">
            <w:pPr>
              <w:spacing w:after="40"/>
              <w:ind w:left="360"/>
              <w:jc w:val="right"/>
              <w:rPr>
                <w:rFonts w:ascii="Arial" w:hAnsi="Arial" w:cs="Arial"/>
                <w:sz w:val="20"/>
                <w:szCs w:val="20"/>
              </w:rPr>
            </w:pPr>
          </w:p>
        </w:tc>
        <w:tc>
          <w:tcPr>
            <w:tcW w:w="3425" w:type="dxa"/>
            <w:tcBorders>
              <w:top w:val="single" w:sz="4" w:space="0" w:color="auto"/>
              <w:left w:val="single" w:sz="4" w:space="0" w:color="auto"/>
              <w:bottom w:val="single" w:sz="4" w:space="0" w:color="auto"/>
              <w:right w:val="single" w:sz="4" w:space="0" w:color="auto"/>
            </w:tcBorders>
          </w:tcPr>
          <w:p w14:paraId="0A21518E" w14:textId="1F597997" w:rsidR="00574F54" w:rsidRPr="00932BD0" w:rsidRDefault="00574F54" w:rsidP="00574F54">
            <w:pPr>
              <w:spacing w:after="40"/>
              <w:ind w:left="72"/>
              <w:rPr>
                <w:rFonts w:ascii="Arial" w:hAnsi="Arial" w:cs="Arial"/>
                <w:sz w:val="20"/>
                <w:szCs w:val="20"/>
              </w:rPr>
            </w:pPr>
          </w:p>
        </w:tc>
        <w:tc>
          <w:tcPr>
            <w:tcW w:w="1584" w:type="dxa"/>
            <w:tcBorders>
              <w:top w:val="single" w:sz="4" w:space="0" w:color="auto"/>
              <w:left w:val="single" w:sz="4" w:space="0" w:color="auto"/>
              <w:bottom w:val="single" w:sz="4" w:space="0" w:color="auto"/>
              <w:right w:val="single" w:sz="4" w:space="0" w:color="auto"/>
            </w:tcBorders>
          </w:tcPr>
          <w:p w14:paraId="3B42661D" w14:textId="469A6667" w:rsidR="00574F54" w:rsidRPr="00574F54" w:rsidRDefault="00574F54" w:rsidP="00474881">
            <w:pPr>
              <w:rPr>
                <w:rFonts w:ascii="Arial" w:hAnsi="Arial" w:cs="Arial"/>
                <w:sz w:val="20"/>
                <w:szCs w:val="20"/>
              </w:rPr>
            </w:pPr>
          </w:p>
        </w:tc>
        <w:tc>
          <w:tcPr>
            <w:tcW w:w="966" w:type="dxa"/>
            <w:tcBorders>
              <w:top w:val="single" w:sz="4" w:space="0" w:color="auto"/>
              <w:left w:val="single" w:sz="4" w:space="0" w:color="auto"/>
              <w:bottom w:val="single" w:sz="4" w:space="0" w:color="auto"/>
              <w:right w:val="single" w:sz="4" w:space="0" w:color="auto"/>
            </w:tcBorders>
          </w:tcPr>
          <w:p w14:paraId="7D5442D8" w14:textId="2C576160" w:rsidR="00574F54" w:rsidRPr="00932BD0" w:rsidRDefault="00574F54" w:rsidP="00474881">
            <w:pPr>
              <w:rPr>
                <w:rFonts w:ascii="Arial" w:hAnsi="Arial"/>
                <w:sz w:val="20"/>
              </w:rPr>
            </w:pPr>
          </w:p>
        </w:tc>
        <w:tc>
          <w:tcPr>
            <w:tcW w:w="1350" w:type="dxa"/>
            <w:tcBorders>
              <w:top w:val="single" w:sz="4" w:space="0" w:color="auto"/>
              <w:left w:val="single" w:sz="4" w:space="0" w:color="auto"/>
              <w:bottom w:val="single" w:sz="4" w:space="0" w:color="auto"/>
              <w:right w:val="single" w:sz="4" w:space="0" w:color="auto"/>
            </w:tcBorders>
          </w:tcPr>
          <w:p w14:paraId="24955048" w14:textId="2F3F5F31" w:rsidR="00574F54" w:rsidRPr="00932BD0" w:rsidRDefault="00574F54" w:rsidP="00474881">
            <w:pPr>
              <w:rPr>
                <w:rFonts w:ascii="Arial" w:hAnsi="Arial"/>
                <w:sz w:val="20"/>
              </w:rPr>
            </w:pPr>
          </w:p>
        </w:tc>
        <w:tc>
          <w:tcPr>
            <w:tcW w:w="928" w:type="dxa"/>
            <w:tcBorders>
              <w:top w:val="single" w:sz="4" w:space="0" w:color="auto"/>
              <w:left w:val="single" w:sz="4" w:space="0" w:color="auto"/>
              <w:bottom w:val="single" w:sz="4" w:space="0" w:color="auto"/>
              <w:right w:val="single" w:sz="4" w:space="0" w:color="auto"/>
            </w:tcBorders>
          </w:tcPr>
          <w:p w14:paraId="0F359EB8" w14:textId="2D33A0EF" w:rsidR="00574F54" w:rsidRPr="00932BD0" w:rsidRDefault="00574F54" w:rsidP="00474881">
            <w:pPr>
              <w:rPr>
                <w:rFonts w:ascii="Arial" w:hAnsi="Arial"/>
                <w:sz w:val="20"/>
              </w:rPr>
            </w:pPr>
          </w:p>
        </w:tc>
        <w:tc>
          <w:tcPr>
            <w:tcW w:w="1321" w:type="dxa"/>
            <w:tcBorders>
              <w:top w:val="single" w:sz="4" w:space="0" w:color="auto"/>
              <w:left w:val="single" w:sz="4" w:space="0" w:color="auto"/>
              <w:bottom w:val="single" w:sz="4" w:space="0" w:color="auto"/>
              <w:right w:val="single" w:sz="4" w:space="0" w:color="auto"/>
            </w:tcBorders>
          </w:tcPr>
          <w:p w14:paraId="1716B40A" w14:textId="30B1CB44" w:rsidR="00574F54" w:rsidRPr="00932BD0" w:rsidRDefault="00574F54" w:rsidP="00474881">
            <w:pPr>
              <w:rPr>
                <w:rFonts w:ascii="Arial" w:hAnsi="Arial"/>
                <w:sz w:val="20"/>
              </w:rPr>
            </w:pPr>
          </w:p>
        </w:tc>
        <w:tc>
          <w:tcPr>
            <w:tcW w:w="2544" w:type="dxa"/>
            <w:tcBorders>
              <w:top w:val="single" w:sz="4" w:space="0" w:color="auto"/>
              <w:left w:val="single" w:sz="4" w:space="0" w:color="auto"/>
              <w:bottom w:val="single" w:sz="4" w:space="0" w:color="auto"/>
              <w:right w:val="single" w:sz="4" w:space="0" w:color="auto"/>
            </w:tcBorders>
          </w:tcPr>
          <w:p w14:paraId="5D05AA24" w14:textId="77777777" w:rsidR="00574F54" w:rsidRPr="00574F54" w:rsidRDefault="00574F54" w:rsidP="00474881">
            <w:pPr>
              <w:rPr>
                <w:rFonts w:ascii="Arial" w:hAnsi="Arial" w:cs="Arial"/>
                <w:vanish/>
                <w:sz w:val="20"/>
                <w:szCs w:val="20"/>
              </w:rPr>
            </w:pPr>
          </w:p>
        </w:tc>
      </w:tr>
      <w:tr w:rsidR="00574F54" w:rsidRPr="00932BD0" w14:paraId="73F028E1" w14:textId="77777777" w:rsidTr="005B528F">
        <w:trPr>
          <w:cantSplit/>
        </w:trPr>
        <w:tc>
          <w:tcPr>
            <w:tcW w:w="1022" w:type="dxa"/>
            <w:tcBorders>
              <w:top w:val="single" w:sz="4" w:space="0" w:color="auto"/>
              <w:left w:val="single" w:sz="4" w:space="0" w:color="auto"/>
              <w:bottom w:val="single" w:sz="4" w:space="0" w:color="auto"/>
              <w:right w:val="single" w:sz="4" w:space="0" w:color="auto"/>
            </w:tcBorders>
          </w:tcPr>
          <w:p w14:paraId="3388EE16" w14:textId="2FCFAC65" w:rsidR="00574F54" w:rsidRPr="00932BD0" w:rsidRDefault="00C73FA6" w:rsidP="00474881">
            <w:pPr>
              <w:spacing w:after="40"/>
              <w:ind w:left="360"/>
              <w:jc w:val="right"/>
              <w:rPr>
                <w:rFonts w:ascii="Arial" w:hAnsi="Arial" w:cs="Arial"/>
                <w:sz w:val="20"/>
                <w:szCs w:val="20"/>
              </w:rPr>
            </w:pPr>
            <w:r>
              <w:rPr>
                <w:rFonts w:ascii="Arial" w:hAnsi="Arial" w:cs="Arial"/>
                <w:sz w:val="20"/>
                <w:szCs w:val="20"/>
              </w:rPr>
              <w:t>29</w:t>
            </w:r>
          </w:p>
        </w:tc>
        <w:tc>
          <w:tcPr>
            <w:tcW w:w="3425" w:type="dxa"/>
            <w:tcBorders>
              <w:top w:val="single" w:sz="4" w:space="0" w:color="auto"/>
              <w:left w:val="single" w:sz="4" w:space="0" w:color="auto"/>
              <w:bottom w:val="single" w:sz="4" w:space="0" w:color="auto"/>
              <w:right w:val="single" w:sz="4" w:space="0" w:color="auto"/>
            </w:tcBorders>
          </w:tcPr>
          <w:p w14:paraId="2722A2A7" w14:textId="77777777" w:rsidR="00574F54" w:rsidRPr="00932BD0" w:rsidRDefault="00574F54" w:rsidP="00574F54">
            <w:pPr>
              <w:spacing w:after="40"/>
              <w:ind w:left="72"/>
              <w:rPr>
                <w:rFonts w:ascii="Arial" w:hAnsi="Arial" w:cs="Arial"/>
                <w:sz w:val="20"/>
                <w:szCs w:val="20"/>
              </w:rPr>
            </w:pPr>
            <w:r w:rsidRPr="00932BD0">
              <w:rPr>
                <w:rFonts w:ascii="Arial" w:hAnsi="Arial" w:cs="Arial"/>
                <w:sz w:val="20"/>
                <w:szCs w:val="20"/>
              </w:rPr>
              <w:t>Notify QSEs who do not have complete COPs for all hours of the current operating day and the following day</w:t>
            </w:r>
          </w:p>
        </w:tc>
        <w:tc>
          <w:tcPr>
            <w:tcW w:w="1584" w:type="dxa"/>
            <w:tcBorders>
              <w:top w:val="single" w:sz="4" w:space="0" w:color="auto"/>
              <w:left w:val="single" w:sz="4" w:space="0" w:color="auto"/>
              <w:bottom w:val="single" w:sz="4" w:space="0" w:color="auto"/>
              <w:right w:val="single" w:sz="4" w:space="0" w:color="auto"/>
            </w:tcBorders>
          </w:tcPr>
          <w:p w14:paraId="76C6A047" w14:textId="77777777" w:rsidR="00574F54" w:rsidRPr="00932BD0" w:rsidRDefault="00574F54" w:rsidP="00474881">
            <w:pPr>
              <w:rPr>
                <w:rFonts w:ascii="Arial" w:hAnsi="Arial" w:cs="Arial"/>
                <w:sz w:val="20"/>
                <w:szCs w:val="20"/>
              </w:rPr>
            </w:pPr>
            <w:r w:rsidRPr="00932BD0">
              <w:rPr>
                <w:rFonts w:ascii="Arial" w:hAnsi="Arial" w:cs="Arial"/>
                <w:sz w:val="20"/>
                <w:szCs w:val="20"/>
              </w:rPr>
              <w:t>MMS</w:t>
            </w:r>
          </w:p>
        </w:tc>
        <w:tc>
          <w:tcPr>
            <w:tcW w:w="966" w:type="dxa"/>
            <w:tcBorders>
              <w:top w:val="single" w:sz="4" w:space="0" w:color="auto"/>
              <w:left w:val="single" w:sz="4" w:space="0" w:color="auto"/>
              <w:bottom w:val="single" w:sz="4" w:space="0" w:color="auto"/>
              <w:right w:val="single" w:sz="4" w:space="0" w:color="auto"/>
            </w:tcBorders>
          </w:tcPr>
          <w:p w14:paraId="3CFFCC2A" w14:textId="77777777" w:rsidR="00574F54" w:rsidRPr="00932BD0" w:rsidRDefault="00574F54" w:rsidP="00474881">
            <w:pPr>
              <w:rPr>
                <w:rFonts w:ascii="Arial" w:hAnsi="Arial"/>
                <w:sz w:val="20"/>
              </w:rPr>
            </w:pPr>
            <w:r w:rsidRPr="00932BD0">
              <w:rPr>
                <w:rFonts w:ascii="Arial" w:hAnsi="Arial"/>
                <w:sz w:val="20"/>
              </w:rPr>
              <w:t>Sys. Ops.</w:t>
            </w:r>
          </w:p>
        </w:tc>
        <w:tc>
          <w:tcPr>
            <w:tcW w:w="1350" w:type="dxa"/>
            <w:tcBorders>
              <w:top w:val="single" w:sz="4" w:space="0" w:color="auto"/>
              <w:left w:val="single" w:sz="4" w:space="0" w:color="auto"/>
              <w:bottom w:val="single" w:sz="4" w:space="0" w:color="auto"/>
              <w:right w:val="single" w:sz="4" w:space="0" w:color="auto"/>
            </w:tcBorders>
          </w:tcPr>
          <w:p w14:paraId="3C483136" w14:textId="77777777" w:rsidR="00574F54" w:rsidRPr="00574F54" w:rsidRDefault="00574F54" w:rsidP="00474881">
            <w:pPr>
              <w:rPr>
                <w:rFonts w:ascii="Arial" w:hAnsi="Arial"/>
                <w:sz w:val="20"/>
              </w:rPr>
            </w:pPr>
            <w:r w:rsidRPr="00574F54">
              <w:rPr>
                <w:rFonts w:ascii="Arial" w:hAnsi="Arial"/>
                <w:sz w:val="20"/>
              </w:rPr>
              <w:t>COP Warning</w:t>
            </w:r>
          </w:p>
        </w:tc>
        <w:tc>
          <w:tcPr>
            <w:tcW w:w="928" w:type="dxa"/>
            <w:tcBorders>
              <w:top w:val="single" w:sz="4" w:space="0" w:color="auto"/>
              <w:left w:val="single" w:sz="4" w:space="0" w:color="auto"/>
              <w:bottom w:val="single" w:sz="4" w:space="0" w:color="auto"/>
              <w:right w:val="single" w:sz="4" w:space="0" w:color="auto"/>
            </w:tcBorders>
          </w:tcPr>
          <w:p w14:paraId="3894C92C" w14:textId="77777777" w:rsidR="00574F54" w:rsidRPr="00932BD0" w:rsidRDefault="00574F54" w:rsidP="00474881">
            <w:pPr>
              <w:rPr>
                <w:rFonts w:ascii="Arial" w:hAnsi="Arial"/>
                <w:sz w:val="20"/>
              </w:rPr>
            </w:pPr>
            <w:r w:rsidRPr="00932BD0">
              <w:rPr>
                <w:rFonts w:ascii="Arial" w:hAnsi="Arial"/>
                <w:sz w:val="20"/>
              </w:rPr>
              <w:t>Med</w:t>
            </w:r>
          </w:p>
        </w:tc>
        <w:tc>
          <w:tcPr>
            <w:tcW w:w="1321" w:type="dxa"/>
            <w:tcBorders>
              <w:top w:val="single" w:sz="4" w:space="0" w:color="auto"/>
              <w:left w:val="single" w:sz="4" w:space="0" w:color="auto"/>
              <w:bottom w:val="single" w:sz="4" w:space="0" w:color="auto"/>
              <w:right w:val="single" w:sz="4" w:space="0" w:color="auto"/>
            </w:tcBorders>
          </w:tcPr>
          <w:p w14:paraId="3EF66DAF" w14:textId="77777777" w:rsidR="00574F54" w:rsidRPr="00932BD0" w:rsidRDefault="00574F54" w:rsidP="00474881">
            <w:pPr>
              <w:rPr>
                <w:rFonts w:ascii="Arial" w:hAnsi="Arial"/>
                <w:sz w:val="20"/>
              </w:rPr>
            </w:pPr>
            <w:r w:rsidRPr="00932BD0">
              <w:rPr>
                <w:rFonts w:ascii="Arial" w:hAnsi="Arial"/>
                <w:sz w:val="20"/>
              </w:rPr>
              <w:t>A QSE</w:t>
            </w:r>
          </w:p>
        </w:tc>
        <w:tc>
          <w:tcPr>
            <w:tcW w:w="2544" w:type="dxa"/>
            <w:tcBorders>
              <w:top w:val="single" w:sz="4" w:space="0" w:color="auto"/>
              <w:left w:val="single" w:sz="4" w:space="0" w:color="auto"/>
              <w:bottom w:val="single" w:sz="4" w:space="0" w:color="auto"/>
              <w:right w:val="single" w:sz="4" w:space="0" w:color="auto"/>
            </w:tcBorders>
          </w:tcPr>
          <w:p w14:paraId="0EDA9E1B" w14:textId="77777777" w:rsidR="00574F54" w:rsidRPr="00574F54" w:rsidRDefault="00574F54" w:rsidP="00574F54">
            <w:pPr>
              <w:rPr>
                <w:rFonts w:ascii="Arial" w:hAnsi="Arial" w:cs="Arial"/>
                <w:vanish/>
                <w:sz w:val="20"/>
                <w:szCs w:val="20"/>
              </w:rPr>
            </w:pPr>
          </w:p>
        </w:tc>
      </w:tr>
      <w:tr w:rsidR="00942AAD" w:rsidRPr="00932BD0" w14:paraId="37D5FDE1" w14:textId="77777777" w:rsidTr="005B528F">
        <w:trPr>
          <w:cantSplit/>
        </w:trPr>
        <w:tc>
          <w:tcPr>
            <w:tcW w:w="1022" w:type="dxa"/>
            <w:tcBorders>
              <w:top w:val="single" w:sz="4" w:space="0" w:color="auto"/>
              <w:left w:val="single" w:sz="4" w:space="0" w:color="auto"/>
              <w:bottom w:val="single" w:sz="4" w:space="0" w:color="auto"/>
              <w:right w:val="single" w:sz="4" w:space="0" w:color="auto"/>
            </w:tcBorders>
          </w:tcPr>
          <w:p w14:paraId="3B97F883" w14:textId="77777777" w:rsidR="00942AAD" w:rsidRDefault="004B02F9" w:rsidP="00474881">
            <w:pPr>
              <w:spacing w:after="40"/>
              <w:ind w:left="360"/>
              <w:jc w:val="right"/>
              <w:rPr>
                <w:rFonts w:ascii="Arial" w:hAnsi="Arial" w:cs="Arial"/>
                <w:sz w:val="20"/>
                <w:szCs w:val="20"/>
              </w:rPr>
            </w:pPr>
            <w:r>
              <w:rPr>
                <w:rFonts w:ascii="Arial" w:hAnsi="Arial" w:cs="Arial"/>
                <w:sz w:val="20"/>
                <w:szCs w:val="20"/>
              </w:rPr>
              <w:lastRenderedPageBreak/>
              <w:t>38</w:t>
            </w:r>
          </w:p>
          <w:p w14:paraId="4C25BD8E" w14:textId="77777777" w:rsidR="004B02F9" w:rsidRDefault="004B02F9" w:rsidP="005B528F">
            <w:pPr>
              <w:spacing w:after="40"/>
              <w:ind w:left="360"/>
              <w:jc w:val="center"/>
              <w:rPr>
                <w:rFonts w:ascii="Arial" w:hAnsi="Arial" w:cs="Arial"/>
                <w:sz w:val="20"/>
                <w:szCs w:val="20"/>
              </w:rPr>
            </w:pPr>
          </w:p>
        </w:tc>
        <w:tc>
          <w:tcPr>
            <w:tcW w:w="3425" w:type="dxa"/>
            <w:tcBorders>
              <w:top w:val="single" w:sz="4" w:space="0" w:color="auto"/>
              <w:left w:val="single" w:sz="4" w:space="0" w:color="auto"/>
              <w:bottom w:val="single" w:sz="4" w:space="0" w:color="auto"/>
              <w:right w:val="single" w:sz="4" w:space="0" w:color="auto"/>
            </w:tcBorders>
          </w:tcPr>
          <w:p w14:paraId="3A1696D8" w14:textId="77777777" w:rsidR="00E56D7D" w:rsidRPr="00FA0A10" w:rsidRDefault="00E56D7D" w:rsidP="00E56D7D">
            <w:pPr>
              <w:rPr>
                <w:rFonts w:ascii="Arial" w:hAnsi="Arial" w:cs="Arial"/>
                <w:color w:val="000000"/>
                <w:sz w:val="20"/>
                <w:szCs w:val="20"/>
              </w:rPr>
            </w:pPr>
            <w:r w:rsidRPr="00FA0A10">
              <w:rPr>
                <w:rFonts w:ascii="Arial" w:hAnsi="Arial" w:cs="Arial"/>
                <w:color w:val="000000"/>
                <w:sz w:val="20"/>
                <w:szCs w:val="20"/>
              </w:rPr>
              <w:t>MMS hourly process that checks the COP for combined cycle configurations and will issue warning messages sent to the QSE if two or more configurations are marked as online in any one of the remaining hours of today and all the hours for tomorrow.</w:t>
            </w:r>
          </w:p>
          <w:p w14:paraId="5EE5BE49" w14:textId="77777777" w:rsidR="00942AAD" w:rsidRPr="00932BD0" w:rsidRDefault="00942AAD" w:rsidP="00574F54">
            <w:pPr>
              <w:spacing w:after="40"/>
              <w:ind w:left="72"/>
              <w:rPr>
                <w:rFonts w:ascii="Arial" w:hAnsi="Arial" w:cs="Arial"/>
                <w:sz w:val="20"/>
                <w:szCs w:val="20"/>
              </w:rPr>
            </w:pPr>
          </w:p>
        </w:tc>
        <w:tc>
          <w:tcPr>
            <w:tcW w:w="1584" w:type="dxa"/>
            <w:tcBorders>
              <w:top w:val="single" w:sz="4" w:space="0" w:color="auto"/>
              <w:left w:val="single" w:sz="4" w:space="0" w:color="auto"/>
              <w:bottom w:val="single" w:sz="4" w:space="0" w:color="auto"/>
              <w:right w:val="single" w:sz="4" w:space="0" w:color="auto"/>
            </w:tcBorders>
          </w:tcPr>
          <w:p w14:paraId="2EC1DE39" w14:textId="18D18990" w:rsidR="00942AAD" w:rsidRPr="00932BD0" w:rsidRDefault="00E56D7D" w:rsidP="00474881">
            <w:pPr>
              <w:rPr>
                <w:rFonts w:ascii="Arial" w:hAnsi="Arial" w:cs="Arial"/>
                <w:sz w:val="20"/>
                <w:szCs w:val="20"/>
              </w:rPr>
            </w:pPr>
            <w:r>
              <w:rPr>
                <w:rFonts w:ascii="Arial" w:hAnsi="Arial" w:cs="Arial"/>
                <w:sz w:val="20"/>
                <w:szCs w:val="20"/>
              </w:rPr>
              <w:t>MMS</w:t>
            </w:r>
          </w:p>
        </w:tc>
        <w:tc>
          <w:tcPr>
            <w:tcW w:w="966" w:type="dxa"/>
            <w:tcBorders>
              <w:top w:val="single" w:sz="4" w:space="0" w:color="auto"/>
              <w:left w:val="single" w:sz="4" w:space="0" w:color="auto"/>
              <w:bottom w:val="single" w:sz="4" w:space="0" w:color="auto"/>
              <w:right w:val="single" w:sz="4" w:space="0" w:color="auto"/>
            </w:tcBorders>
          </w:tcPr>
          <w:p w14:paraId="5E76F32B" w14:textId="5E8900AC" w:rsidR="00942AAD" w:rsidRPr="00932BD0" w:rsidRDefault="001B0A7C" w:rsidP="00474881">
            <w:pPr>
              <w:rPr>
                <w:rFonts w:ascii="Arial" w:hAnsi="Arial"/>
                <w:sz w:val="20"/>
              </w:rPr>
            </w:pPr>
            <w:r w:rsidRPr="00932BD0">
              <w:rPr>
                <w:rFonts w:ascii="Arial" w:hAnsi="Arial"/>
                <w:sz w:val="20"/>
              </w:rPr>
              <w:t>Sys. Ops</w:t>
            </w:r>
          </w:p>
        </w:tc>
        <w:tc>
          <w:tcPr>
            <w:tcW w:w="1350" w:type="dxa"/>
            <w:tcBorders>
              <w:top w:val="single" w:sz="4" w:space="0" w:color="auto"/>
              <w:left w:val="single" w:sz="4" w:space="0" w:color="auto"/>
              <w:bottom w:val="single" w:sz="4" w:space="0" w:color="auto"/>
              <w:right w:val="single" w:sz="4" w:space="0" w:color="auto"/>
            </w:tcBorders>
          </w:tcPr>
          <w:p w14:paraId="145B96E2" w14:textId="072F1A99" w:rsidR="00942AAD" w:rsidRPr="00574F54" w:rsidRDefault="00E56D7D" w:rsidP="00474881">
            <w:pPr>
              <w:rPr>
                <w:rFonts w:ascii="Arial" w:hAnsi="Arial"/>
                <w:sz w:val="20"/>
              </w:rPr>
            </w:pPr>
            <w:r>
              <w:rPr>
                <w:rFonts w:ascii="Arial" w:hAnsi="Arial"/>
                <w:sz w:val="20"/>
              </w:rPr>
              <w:t>Market Mes</w:t>
            </w:r>
            <w:r w:rsidR="001B0A7C">
              <w:rPr>
                <w:rFonts w:ascii="Arial" w:hAnsi="Arial"/>
                <w:sz w:val="20"/>
              </w:rPr>
              <w:t>sage</w:t>
            </w:r>
          </w:p>
        </w:tc>
        <w:tc>
          <w:tcPr>
            <w:tcW w:w="928" w:type="dxa"/>
            <w:tcBorders>
              <w:top w:val="single" w:sz="4" w:space="0" w:color="auto"/>
              <w:left w:val="single" w:sz="4" w:space="0" w:color="auto"/>
              <w:bottom w:val="single" w:sz="4" w:space="0" w:color="auto"/>
              <w:right w:val="single" w:sz="4" w:space="0" w:color="auto"/>
            </w:tcBorders>
          </w:tcPr>
          <w:p w14:paraId="18B822E9" w14:textId="5EF427F3" w:rsidR="00942AAD" w:rsidRPr="00932BD0" w:rsidRDefault="001B0A7C" w:rsidP="00474881">
            <w:pPr>
              <w:rPr>
                <w:rFonts w:ascii="Arial" w:hAnsi="Arial"/>
                <w:sz w:val="20"/>
              </w:rPr>
            </w:pPr>
            <w:r>
              <w:rPr>
                <w:rFonts w:ascii="Arial" w:hAnsi="Arial"/>
                <w:sz w:val="20"/>
              </w:rPr>
              <w:t>High</w:t>
            </w:r>
          </w:p>
        </w:tc>
        <w:tc>
          <w:tcPr>
            <w:tcW w:w="1321" w:type="dxa"/>
            <w:tcBorders>
              <w:top w:val="single" w:sz="4" w:space="0" w:color="auto"/>
              <w:left w:val="single" w:sz="4" w:space="0" w:color="auto"/>
              <w:bottom w:val="single" w:sz="4" w:space="0" w:color="auto"/>
              <w:right w:val="single" w:sz="4" w:space="0" w:color="auto"/>
            </w:tcBorders>
          </w:tcPr>
          <w:p w14:paraId="6B201112" w14:textId="54FDEF58" w:rsidR="00942AAD" w:rsidRPr="00932BD0" w:rsidRDefault="001B0A7C" w:rsidP="00474881">
            <w:pPr>
              <w:rPr>
                <w:rFonts w:ascii="Arial" w:hAnsi="Arial"/>
                <w:sz w:val="20"/>
              </w:rPr>
            </w:pPr>
            <w:r>
              <w:rPr>
                <w:rFonts w:ascii="Arial" w:hAnsi="Arial"/>
                <w:sz w:val="20"/>
              </w:rPr>
              <w:t>A QSE</w:t>
            </w:r>
          </w:p>
        </w:tc>
        <w:tc>
          <w:tcPr>
            <w:tcW w:w="2544" w:type="dxa"/>
            <w:tcBorders>
              <w:top w:val="single" w:sz="4" w:space="0" w:color="auto"/>
              <w:left w:val="single" w:sz="4" w:space="0" w:color="auto"/>
              <w:bottom w:val="single" w:sz="4" w:space="0" w:color="auto"/>
              <w:right w:val="single" w:sz="4" w:space="0" w:color="auto"/>
            </w:tcBorders>
          </w:tcPr>
          <w:p w14:paraId="483BC3DE" w14:textId="77777777" w:rsidR="00942AAD" w:rsidRPr="00574F54" w:rsidRDefault="00942AAD" w:rsidP="00574F54">
            <w:pPr>
              <w:rPr>
                <w:rFonts w:ascii="Arial" w:hAnsi="Arial" w:cs="Arial"/>
                <w:vanish/>
                <w:sz w:val="20"/>
                <w:szCs w:val="20"/>
              </w:rPr>
            </w:pPr>
          </w:p>
        </w:tc>
      </w:tr>
      <w:tr w:rsidR="005C2614" w:rsidRPr="00932BD0" w14:paraId="7474F350" w14:textId="77777777" w:rsidTr="00942AAD">
        <w:trPr>
          <w:cantSplit/>
        </w:trPr>
        <w:tc>
          <w:tcPr>
            <w:tcW w:w="1022" w:type="dxa"/>
            <w:tcBorders>
              <w:top w:val="single" w:sz="4" w:space="0" w:color="auto"/>
              <w:left w:val="single" w:sz="4" w:space="0" w:color="auto"/>
              <w:bottom w:val="single" w:sz="4" w:space="0" w:color="auto"/>
              <w:right w:val="single" w:sz="4" w:space="0" w:color="auto"/>
            </w:tcBorders>
          </w:tcPr>
          <w:p w14:paraId="477CEE61" w14:textId="4C213758" w:rsidR="005C2614" w:rsidRDefault="005C2614" w:rsidP="005C2614">
            <w:pPr>
              <w:spacing w:after="40"/>
              <w:ind w:left="360"/>
              <w:jc w:val="right"/>
              <w:rPr>
                <w:rFonts w:ascii="Arial" w:hAnsi="Arial" w:cs="Arial"/>
                <w:sz w:val="20"/>
                <w:szCs w:val="20"/>
              </w:rPr>
            </w:pPr>
            <w:r>
              <w:rPr>
                <w:rFonts w:ascii="Arial" w:hAnsi="Arial" w:cs="Arial"/>
                <w:sz w:val="20"/>
                <w:szCs w:val="20"/>
              </w:rPr>
              <w:t>39</w:t>
            </w:r>
          </w:p>
        </w:tc>
        <w:tc>
          <w:tcPr>
            <w:tcW w:w="3425" w:type="dxa"/>
            <w:tcBorders>
              <w:top w:val="single" w:sz="4" w:space="0" w:color="auto"/>
              <w:left w:val="single" w:sz="4" w:space="0" w:color="auto"/>
              <w:bottom w:val="single" w:sz="4" w:space="0" w:color="auto"/>
              <w:right w:val="single" w:sz="4" w:space="0" w:color="auto"/>
            </w:tcBorders>
          </w:tcPr>
          <w:p w14:paraId="1ED1E704" w14:textId="358A6833" w:rsidR="005C2614" w:rsidRPr="00FA0A10" w:rsidRDefault="005C2614" w:rsidP="005C2614">
            <w:pPr>
              <w:rPr>
                <w:rFonts w:ascii="Arial" w:hAnsi="Arial" w:cs="Arial"/>
                <w:color w:val="000000"/>
                <w:sz w:val="20"/>
                <w:szCs w:val="20"/>
              </w:rPr>
            </w:pPr>
            <w:r w:rsidRPr="00FA0A10">
              <w:rPr>
                <w:rFonts w:ascii="Arial" w:hAnsi="Arial" w:cs="Arial"/>
                <w:color w:val="000000"/>
                <w:sz w:val="20"/>
                <w:szCs w:val="20"/>
              </w:rPr>
              <w:t>MMS hourly process that issues warning messages to QSEs if two or more jointly owned units belonging to the same physical resource do not have the same Resource Status in the COP for any of the remaining hours of today and all the hours of tomorrow.</w:t>
            </w:r>
          </w:p>
        </w:tc>
        <w:tc>
          <w:tcPr>
            <w:tcW w:w="1584" w:type="dxa"/>
            <w:tcBorders>
              <w:top w:val="single" w:sz="4" w:space="0" w:color="auto"/>
              <w:left w:val="single" w:sz="4" w:space="0" w:color="auto"/>
              <w:bottom w:val="single" w:sz="4" w:space="0" w:color="auto"/>
              <w:right w:val="single" w:sz="4" w:space="0" w:color="auto"/>
            </w:tcBorders>
          </w:tcPr>
          <w:p w14:paraId="75984DE1" w14:textId="04FF7ED8" w:rsidR="005C2614" w:rsidRDefault="005C2614" w:rsidP="005C2614">
            <w:pPr>
              <w:rPr>
                <w:rFonts w:ascii="Arial" w:hAnsi="Arial" w:cs="Arial"/>
                <w:sz w:val="20"/>
                <w:szCs w:val="20"/>
              </w:rPr>
            </w:pPr>
            <w:r>
              <w:rPr>
                <w:rFonts w:ascii="Arial" w:hAnsi="Arial" w:cs="Arial"/>
                <w:sz w:val="20"/>
                <w:szCs w:val="20"/>
              </w:rPr>
              <w:t>MMS</w:t>
            </w:r>
          </w:p>
        </w:tc>
        <w:tc>
          <w:tcPr>
            <w:tcW w:w="966" w:type="dxa"/>
            <w:tcBorders>
              <w:top w:val="single" w:sz="4" w:space="0" w:color="auto"/>
              <w:left w:val="single" w:sz="4" w:space="0" w:color="auto"/>
              <w:bottom w:val="single" w:sz="4" w:space="0" w:color="auto"/>
              <w:right w:val="single" w:sz="4" w:space="0" w:color="auto"/>
            </w:tcBorders>
          </w:tcPr>
          <w:p w14:paraId="6EF0B13D" w14:textId="6D6AE5B1" w:rsidR="005C2614" w:rsidRPr="00932BD0" w:rsidRDefault="005C2614" w:rsidP="005C2614">
            <w:pPr>
              <w:rPr>
                <w:rFonts w:ascii="Arial" w:hAnsi="Arial"/>
                <w:sz w:val="20"/>
              </w:rPr>
            </w:pPr>
            <w:r w:rsidRPr="00932BD0">
              <w:rPr>
                <w:rFonts w:ascii="Arial" w:hAnsi="Arial"/>
                <w:sz w:val="20"/>
              </w:rPr>
              <w:t>Sys. Ops</w:t>
            </w:r>
          </w:p>
        </w:tc>
        <w:tc>
          <w:tcPr>
            <w:tcW w:w="1350" w:type="dxa"/>
            <w:tcBorders>
              <w:top w:val="single" w:sz="4" w:space="0" w:color="auto"/>
              <w:left w:val="single" w:sz="4" w:space="0" w:color="auto"/>
              <w:bottom w:val="single" w:sz="4" w:space="0" w:color="auto"/>
              <w:right w:val="single" w:sz="4" w:space="0" w:color="auto"/>
            </w:tcBorders>
          </w:tcPr>
          <w:p w14:paraId="22CC5EC8" w14:textId="38FAB7F4" w:rsidR="005C2614" w:rsidRDefault="005C2614" w:rsidP="005C2614">
            <w:pPr>
              <w:rPr>
                <w:rFonts w:ascii="Arial" w:hAnsi="Arial"/>
                <w:sz w:val="20"/>
              </w:rPr>
            </w:pPr>
            <w:r>
              <w:rPr>
                <w:rFonts w:ascii="Arial" w:hAnsi="Arial"/>
                <w:sz w:val="20"/>
              </w:rPr>
              <w:t>Market Message</w:t>
            </w:r>
          </w:p>
        </w:tc>
        <w:tc>
          <w:tcPr>
            <w:tcW w:w="928" w:type="dxa"/>
            <w:tcBorders>
              <w:top w:val="single" w:sz="4" w:space="0" w:color="auto"/>
              <w:left w:val="single" w:sz="4" w:space="0" w:color="auto"/>
              <w:bottom w:val="single" w:sz="4" w:space="0" w:color="auto"/>
              <w:right w:val="single" w:sz="4" w:space="0" w:color="auto"/>
            </w:tcBorders>
          </w:tcPr>
          <w:p w14:paraId="155CEE9C" w14:textId="056FE0D7" w:rsidR="005C2614" w:rsidRDefault="005C2614" w:rsidP="005C2614">
            <w:pPr>
              <w:rPr>
                <w:rFonts w:ascii="Arial" w:hAnsi="Arial"/>
                <w:sz w:val="20"/>
              </w:rPr>
            </w:pPr>
            <w:r>
              <w:rPr>
                <w:rFonts w:ascii="Arial" w:hAnsi="Arial"/>
                <w:sz w:val="20"/>
              </w:rPr>
              <w:t>High</w:t>
            </w:r>
          </w:p>
        </w:tc>
        <w:tc>
          <w:tcPr>
            <w:tcW w:w="1321" w:type="dxa"/>
            <w:tcBorders>
              <w:top w:val="single" w:sz="4" w:space="0" w:color="auto"/>
              <w:left w:val="single" w:sz="4" w:space="0" w:color="auto"/>
              <w:bottom w:val="single" w:sz="4" w:space="0" w:color="auto"/>
              <w:right w:val="single" w:sz="4" w:space="0" w:color="auto"/>
            </w:tcBorders>
          </w:tcPr>
          <w:p w14:paraId="293A82E2" w14:textId="30113960" w:rsidR="005C2614" w:rsidRDefault="005C2614" w:rsidP="005C2614">
            <w:pPr>
              <w:rPr>
                <w:rFonts w:ascii="Arial" w:hAnsi="Arial"/>
                <w:sz w:val="20"/>
              </w:rPr>
            </w:pPr>
            <w:r>
              <w:rPr>
                <w:rFonts w:ascii="Arial" w:hAnsi="Arial"/>
                <w:sz w:val="20"/>
              </w:rPr>
              <w:t>A QSE</w:t>
            </w:r>
          </w:p>
        </w:tc>
        <w:tc>
          <w:tcPr>
            <w:tcW w:w="2544" w:type="dxa"/>
            <w:tcBorders>
              <w:top w:val="single" w:sz="4" w:space="0" w:color="auto"/>
              <w:left w:val="single" w:sz="4" w:space="0" w:color="auto"/>
              <w:bottom w:val="single" w:sz="4" w:space="0" w:color="auto"/>
              <w:right w:val="single" w:sz="4" w:space="0" w:color="auto"/>
            </w:tcBorders>
          </w:tcPr>
          <w:p w14:paraId="44BBD205" w14:textId="77777777" w:rsidR="005C2614" w:rsidRPr="00574F54" w:rsidRDefault="005C2614" w:rsidP="005C2614">
            <w:pPr>
              <w:rPr>
                <w:rFonts w:ascii="Arial" w:hAnsi="Arial" w:cs="Arial"/>
                <w:vanish/>
                <w:sz w:val="20"/>
                <w:szCs w:val="20"/>
              </w:rPr>
            </w:pPr>
          </w:p>
        </w:tc>
      </w:tr>
      <w:tr w:rsidR="005C2614" w:rsidRPr="00932BD0" w14:paraId="6767AB6D" w14:textId="77777777" w:rsidTr="00942AAD">
        <w:trPr>
          <w:cantSplit/>
        </w:trPr>
        <w:tc>
          <w:tcPr>
            <w:tcW w:w="1022" w:type="dxa"/>
            <w:tcBorders>
              <w:top w:val="single" w:sz="4" w:space="0" w:color="auto"/>
              <w:left w:val="single" w:sz="4" w:space="0" w:color="auto"/>
              <w:bottom w:val="single" w:sz="4" w:space="0" w:color="auto"/>
              <w:right w:val="single" w:sz="4" w:space="0" w:color="auto"/>
            </w:tcBorders>
          </w:tcPr>
          <w:p w14:paraId="3A52E05B" w14:textId="3DA71529" w:rsidR="005C2614" w:rsidRDefault="005C2614" w:rsidP="005C2614">
            <w:pPr>
              <w:spacing w:after="40"/>
              <w:ind w:left="360"/>
              <w:jc w:val="right"/>
              <w:rPr>
                <w:rFonts w:ascii="Arial" w:hAnsi="Arial" w:cs="Arial"/>
                <w:sz w:val="20"/>
                <w:szCs w:val="20"/>
              </w:rPr>
            </w:pPr>
            <w:r>
              <w:rPr>
                <w:rFonts w:ascii="Arial" w:hAnsi="Arial" w:cs="Arial"/>
                <w:sz w:val="20"/>
                <w:szCs w:val="20"/>
              </w:rPr>
              <w:t>51</w:t>
            </w:r>
          </w:p>
        </w:tc>
        <w:tc>
          <w:tcPr>
            <w:tcW w:w="3425" w:type="dxa"/>
            <w:tcBorders>
              <w:top w:val="single" w:sz="4" w:space="0" w:color="auto"/>
              <w:left w:val="single" w:sz="4" w:space="0" w:color="auto"/>
              <w:bottom w:val="single" w:sz="4" w:space="0" w:color="auto"/>
              <w:right w:val="single" w:sz="4" w:space="0" w:color="auto"/>
            </w:tcBorders>
          </w:tcPr>
          <w:p w14:paraId="1875E119" w14:textId="58288FCE" w:rsidR="005C2614" w:rsidRPr="00FA0A10" w:rsidRDefault="005C2614" w:rsidP="005C2614">
            <w:pPr>
              <w:rPr>
                <w:rFonts w:ascii="Arial" w:hAnsi="Arial" w:cs="Arial"/>
                <w:color w:val="000000"/>
                <w:sz w:val="20"/>
                <w:szCs w:val="20"/>
              </w:rPr>
            </w:pPr>
            <w:r w:rsidRPr="00FA0A10">
              <w:rPr>
                <w:rFonts w:ascii="Arial" w:hAnsi="Arial" w:cs="Arial"/>
                <w:sz w:val="20"/>
                <w:szCs w:val="20"/>
              </w:rPr>
              <w:t>Notify QSE when a WGR’s or PVGR’s COP HSL value is updated with the forecast value.</w:t>
            </w:r>
          </w:p>
        </w:tc>
        <w:tc>
          <w:tcPr>
            <w:tcW w:w="1584" w:type="dxa"/>
            <w:tcBorders>
              <w:top w:val="single" w:sz="4" w:space="0" w:color="auto"/>
              <w:left w:val="single" w:sz="4" w:space="0" w:color="auto"/>
              <w:bottom w:val="single" w:sz="4" w:space="0" w:color="auto"/>
              <w:right w:val="single" w:sz="4" w:space="0" w:color="auto"/>
            </w:tcBorders>
          </w:tcPr>
          <w:p w14:paraId="7D492DFB" w14:textId="709E8F5C" w:rsidR="005C2614" w:rsidRDefault="005C2614" w:rsidP="005C2614">
            <w:pPr>
              <w:rPr>
                <w:rFonts w:ascii="Arial" w:hAnsi="Arial" w:cs="Arial"/>
                <w:sz w:val="20"/>
                <w:szCs w:val="20"/>
              </w:rPr>
            </w:pPr>
            <w:r>
              <w:rPr>
                <w:rFonts w:ascii="Arial" w:hAnsi="Arial" w:cs="Arial"/>
                <w:sz w:val="20"/>
                <w:szCs w:val="20"/>
              </w:rPr>
              <w:t>MMS</w:t>
            </w:r>
          </w:p>
        </w:tc>
        <w:tc>
          <w:tcPr>
            <w:tcW w:w="966" w:type="dxa"/>
            <w:tcBorders>
              <w:top w:val="single" w:sz="4" w:space="0" w:color="auto"/>
              <w:left w:val="single" w:sz="4" w:space="0" w:color="auto"/>
              <w:bottom w:val="single" w:sz="4" w:space="0" w:color="auto"/>
              <w:right w:val="single" w:sz="4" w:space="0" w:color="auto"/>
            </w:tcBorders>
          </w:tcPr>
          <w:p w14:paraId="7B75F555" w14:textId="51C1946F" w:rsidR="005C2614" w:rsidRPr="00932BD0" w:rsidRDefault="005C2614" w:rsidP="005C2614">
            <w:pPr>
              <w:rPr>
                <w:rFonts w:ascii="Arial" w:hAnsi="Arial"/>
                <w:sz w:val="20"/>
              </w:rPr>
            </w:pPr>
            <w:r w:rsidRPr="00932BD0">
              <w:rPr>
                <w:rFonts w:ascii="Arial" w:hAnsi="Arial"/>
                <w:sz w:val="20"/>
              </w:rPr>
              <w:t>Sys. Ops</w:t>
            </w:r>
          </w:p>
        </w:tc>
        <w:tc>
          <w:tcPr>
            <w:tcW w:w="1350" w:type="dxa"/>
            <w:tcBorders>
              <w:top w:val="single" w:sz="4" w:space="0" w:color="auto"/>
              <w:left w:val="single" w:sz="4" w:space="0" w:color="auto"/>
              <w:bottom w:val="single" w:sz="4" w:space="0" w:color="auto"/>
              <w:right w:val="single" w:sz="4" w:space="0" w:color="auto"/>
            </w:tcBorders>
          </w:tcPr>
          <w:p w14:paraId="7751C785" w14:textId="0A68549F" w:rsidR="005C2614" w:rsidRDefault="005C2614" w:rsidP="005C2614">
            <w:pPr>
              <w:rPr>
                <w:rFonts w:ascii="Arial" w:hAnsi="Arial"/>
                <w:sz w:val="20"/>
              </w:rPr>
            </w:pPr>
            <w:r>
              <w:rPr>
                <w:rFonts w:ascii="Arial" w:hAnsi="Arial"/>
                <w:sz w:val="20"/>
              </w:rPr>
              <w:t>Market Message</w:t>
            </w:r>
          </w:p>
        </w:tc>
        <w:tc>
          <w:tcPr>
            <w:tcW w:w="928" w:type="dxa"/>
            <w:tcBorders>
              <w:top w:val="single" w:sz="4" w:space="0" w:color="auto"/>
              <w:left w:val="single" w:sz="4" w:space="0" w:color="auto"/>
              <w:bottom w:val="single" w:sz="4" w:space="0" w:color="auto"/>
              <w:right w:val="single" w:sz="4" w:space="0" w:color="auto"/>
            </w:tcBorders>
          </w:tcPr>
          <w:p w14:paraId="17602D15" w14:textId="0A2FB1C2" w:rsidR="005C2614" w:rsidRDefault="00A85F17" w:rsidP="005C2614">
            <w:pPr>
              <w:rPr>
                <w:rFonts w:ascii="Arial" w:hAnsi="Arial"/>
                <w:sz w:val="20"/>
              </w:rPr>
            </w:pPr>
            <w:r>
              <w:rPr>
                <w:rFonts w:ascii="Arial" w:hAnsi="Arial"/>
                <w:sz w:val="20"/>
              </w:rPr>
              <w:t>Med</w:t>
            </w:r>
          </w:p>
        </w:tc>
        <w:tc>
          <w:tcPr>
            <w:tcW w:w="1321" w:type="dxa"/>
            <w:tcBorders>
              <w:top w:val="single" w:sz="4" w:space="0" w:color="auto"/>
              <w:left w:val="single" w:sz="4" w:space="0" w:color="auto"/>
              <w:bottom w:val="single" w:sz="4" w:space="0" w:color="auto"/>
              <w:right w:val="single" w:sz="4" w:space="0" w:color="auto"/>
            </w:tcBorders>
          </w:tcPr>
          <w:p w14:paraId="5FAE4A88" w14:textId="437ADC00" w:rsidR="005C2614" w:rsidRDefault="005C2614" w:rsidP="005C2614">
            <w:pPr>
              <w:rPr>
                <w:rFonts w:ascii="Arial" w:hAnsi="Arial"/>
                <w:sz w:val="20"/>
              </w:rPr>
            </w:pPr>
            <w:r>
              <w:rPr>
                <w:rFonts w:ascii="Arial" w:hAnsi="Arial"/>
                <w:sz w:val="20"/>
              </w:rPr>
              <w:t>A QSE</w:t>
            </w:r>
          </w:p>
        </w:tc>
        <w:tc>
          <w:tcPr>
            <w:tcW w:w="2544" w:type="dxa"/>
            <w:tcBorders>
              <w:top w:val="single" w:sz="4" w:space="0" w:color="auto"/>
              <w:left w:val="single" w:sz="4" w:space="0" w:color="auto"/>
              <w:bottom w:val="single" w:sz="4" w:space="0" w:color="auto"/>
              <w:right w:val="single" w:sz="4" w:space="0" w:color="auto"/>
            </w:tcBorders>
          </w:tcPr>
          <w:p w14:paraId="3C6E1D52" w14:textId="77777777" w:rsidR="005C2614" w:rsidRPr="00574F54" w:rsidRDefault="005C2614" w:rsidP="005C2614">
            <w:pPr>
              <w:rPr>
                <w:rFonts w:ascii="Arial" w:hAnsi="Arial" w:cs="Arial"/>
                <w:vanish/>
                <w:sz w:val="20"/>
                <w:szCs w:val="20"/>
              </w:rPr>
            </w:pPr>
          </w:p>
        </w:tc>
      </w:tr>
      <w:tr w:rsidR="005C2614" w:rsidRPr="00932BD0" w14:paraId="085D695C" w14:textId="77777777" w:rsidTr="005B528F">
        <w:trPr>
          <w:cantSplit/>
        </w:trPr>
        <w:tc>
          <w:tcPr>
            <w:tcW w:w="1022" w:type="dxa"/>
            <w:tcBorders>
              <w:top w:val="single" w:sz="4" w:space="0" w:color="auto"/>
              <w:left w:val="single" w:sz="4" w:space="0" w:color="auto"/>
              <w:bottom w:val="single" w:sz="4" w:space="0" w:color="auto"/>
              <w:right w:val="single" w:sz="4" w:space="0" w:color="auto"/>
            </w:tcBorders>
          </w:tcPr>
          <w:p w14:paraId="5F5D2CFB" w14:textId="77777777" w:rsidR="005C2614" w:rsidRPr="00932BD0" w:rsidRDefault="005C2614" w:rsidP="005C2614">
            <w:pPr>
              <w:spacing w:after="40"/>
              <w:ind w:left="360"/>
              <w:jc w:val="right"/>
              <w:rPr>
                <w:rFonts w:ascii="Arial" w:hAnsi="Arial" w:cs="Arial"/>
                <w:sz w:val="20"/>
                <w:szCs w:val="20"/>
              </w:rPr>
            </w:pPr>
            <w:r w:rsidRPr="00932BD0">
              <w:rPr>
                <w:rFonts w:ascii="Arial" w:hAnsi="Arial" w:cs="Arial"/>
                <w:sz w:val="20"/>
                <w:szCs w:val="20"/>
              </w:rPr>
              <w:t>4</w:t>
            </w:r>
          </w:p>
        </w:tc>
        <w:tc>
          <w:tcPr>
            <w:tcW w:w="3425" w:type="dxa"/>
            <w:tcBorders>
              <w:top w:val="single" w:sz="4" w:space="0" w:color="auto"/>
              <w:left w:val="single" w:sz="4" w:space="0" w:color="auto"/>
              <w:bottom w:val="single" w:sz="4" w:space="0" w:color="auto"/>
              <w:right w:val="single" w:sz="4" w:space="0" w:color="auto"/>
            </w:tcBorders>
          </w:tcPr>
          <w:p w14:paraId="14939318" w14:textId="2F8783A4" w:rsidR="005C2614" w:rsidRPr="00932BD0" w:rsidRDefault="005C2614" w:rsidP="005C2614">
            <w:pPr>
              <w:spacing w:after="40"/>
              <w:ind w:left="72"/>
              <w:rPr>
                <w:rFonts w:ascii="Arial" w:hAnsi="Arial" w:cs="Arial"/>
                <w:sz w:val="20"/>
                <w:szCs w:val="20"/>
              </w:rPr>
            </w:pPr>
            <w:r w:rsidRPr="00932BD0">
              <w:rPr>
                <w:rFonts w:ascii="Arial" w:hAnsi="Arial" w:cs="Arial"/>
                <w:sz w:val="20"/>
                <w:szCs w:val="20"/>
              </w:rPr>
              <w:t xml:space="preserve">ERCOT </w:t>
            </w:r>
            <w:r w:rsidR="002A3F26">
              <w:rPr>
                <w:rFonts w:ascii="Arial" w:hAnsi="Arial" w:cs="Arial"/>
                <w:sz w:val="20"/>
                <w:szCs w:val="20"/>
              </w:rPr>
              <w:t>is</w:t>
            </w:r>
            <w:r w:rsidRPr="00932BD0">
              <w:rPr>
                <w:rFonts w:ascii="Arial" w:hAnsi="Arial" w:cs="Arial"/>
                <w:sz w:val="20"/>
                <w:szCs w:val="20"/>
              </w:rPr>
              <w:t xml:space="preserve"> issu</w:t>
            </w:r>
            <w:r w:rsidR="00706FC9">
              <w:rPr>
                <w:rFonts w:ascii="Arial" w:hAnsi="Arial" w:cs="Arial"/>
                <w:sz w:val="20"/>
                <w:szCs w:val="20"/>
              </w:rPr>
              <w:t>ing</w:t>
            </w:r>
            <w:r w:rsidRPr="00932BD0">
              <w:rPr>
                <w:rFonts w:ascii="Arial" w:hAnsi="Arial" w:cs="Arial"/>
                <w:sz w:val="20"/>
                <w:szCs w:val="20"/>
              </w:rPr>
              <w:t xml:space="preserve"> an Operating Condition Notice (OCN) </w:t>
            </w:r>
            <w:r w:rsidR="000E4700" w:rsidRPr="00FA0A10">
              <w:rPr>
                <w:rFonts w:ascii="Arial" w:hAnsi="Arial" w:cs="Arial"/>
                <w:sz w:val="20"/>
                <w:szCs w:val="20"/>
              </w:rPr>
              <w:t xml:space="preserve">for </w:t>
            </w:r>
            <w:proofErr w:type="gramStart"/>
            <w:r w:rsidR="000E4700" w:rsidRPr="00FA0A10">
              <w:rPr>
                <w:rFonts w:ascii="Arial" w:hAnsi="Arial" w:cs="Arial"/>
                <w:sz w:val="20"/>
                <w:szCs w:val="20"/>
              </w:rPr>
              <w:t>a  projected</w:t>
            </w:r>
            <w:proofErr w:type="gramEnd"/>
            <w:r w:rsidR="000E4700" w:rsidRPr="00FA0A10">
              <w:rPr>
                <w:rFonts w:ascii="Arial" w:hAnsi="Arial" w:cs="Arial"/>
                <w:sz w:val="20"/>
                <w:szCs w:val="20"/>
              </w:rPr>
              <w:t xml:space="preserve"> reserve </w:t>
            </w:r>
            <w:proofErr w:type="gramStart"/>
            <w:r w:rsidR="000E4700" w:rsidRPr="00FA0A10">
              <w:rPr>
                <w:rFonts w:ascii="Arial" w:hAnsi="Arial" w:cs="Arial"/>
                <w:sz w:val="20"/>
                <w:szCs w:val="20"/>
              </w:rPr>
              <w:t>capacity  shortage</w:t>
            </w:r>
            <w:proofErr w:type="gramEnd"/>
            <w:r w:rsidR="000E4700" w:rsidRPr="00FA0A10">
              <w:rPr>
                <w:rFonts w:ascii="Arial" w:hAnsi="Arial" w:cs="Arial"/>
                <w:sz w:val="20"/>
                <w:szCs w:val="20"/>
              </w:rPr>
              <w:t xml:space="preserve"> for hours ending [hh:</w:t>
            </w:r>
            <w:proofErr w:type="gramStart"/>
            <w:r w:rsidR="000E4700" w:rsidRPr="00FA0A10">
              <w:rPr>
                <w:rFonts w:ascii="Arial" w:hAnsi="Arial" w:cs="Arial"/>
                <w:sz w:val="20"/>
                <w:szCs w:val="20"/>
              </w:rPr>
              <w:t>mm:z</w:t>
            </w:r>
            <w:proofErr w:type="gramEnd"/>
            <w:r w:rsidR="000E4700" w:rsidRPr="00FA0A10">
              <w:rPr>
                <w:rFonts w:ascii="Arial" w:hAnsi="Arial" w:cs="Arial"/>
                <w:sz w:val="20"/>
                <w:szCs w:val="20"/>
              </w:rPr>
              <w:t>]through [hh:</w:t>
            </w:r>
            <w:proofErr w:type="gramStart"/>
            <w:r w:rsidR="000E4700" w:rsidRPr="00FA0A10">
              <w:rPr>
                <w:rFonts w:ascii="Arial" w:hAnsi="Arial" w:cs="Arial"/>
                <w:sz w:val="20"/>
                <w:szCs w:val="20"/>
              </w:rPr>
              <w:t>mm:z].ERCOT</w:t>
            </w:r>
            <w:proofErr w:type="gramEnd"/>
            <w:r w:rsidR="000E4700" w:rsidRPr="00FA0A10">
              <w:rPr>
                <w:rFonts w:ascii="Arial" w:hAnsi="Arial" w:cs="Arial"/>
                <w:sz w:val="20"/>
                <w:szCs w:val="20"/>
              </w:rPr>
              <w:t xml:space="preserve"> is requesting all QSEs to update their COPs.</w:t>
            </w:r>
          </w:p>
        </w:tc>
        <w:tc>
          <w:tcPr>
            <w:tcW w:w="1584" w:type="dxa"/>
            <w:tcBorders>
              <w:top w:val="single" w:sz="4" w:space="0" w:color="auto"/>
              <w:left w:val="single" w:sz="4" w:space="0" w:color="auto"/>
              <w:bottom w:val="single" w:sz="4" w:space="0" w:color="auto"/>
              <w:right w:val="single" w:sz="4" w:space="0" w:color="auto"/>
            </w:tcBorders>
          </w:tcPr>
          <w:p w14:paraId="7C7EC77F" w14:textId="1D8DAABD" w:rsidR="005C2614" w:rsidRPr="00574F54" w:rsidRDefault="002C2CD5" w:rsidP="005C2614">
            <w:pPr>
              <w:rPr>
                <w:rFonts w:ascii="Arial" w:hAnsi="Arial" w:cs="Arial"/>
                <w:sz w:val="20"/>
                <w:szCs w:val="20"/>
              </w:rPr>
            </w:pPr>
            <w:r>
              <w:rPr>
                <w:rFonts w:ascii="Arial" w:hAnsi="Arial" w:cs="Arial"/>
                <w:sz w:val="20"/>
                <w:szCs w:val="20"/>
              </w:rPr>
              <w:t>EMS</w:t>
            </w:r>
          </w:p>
        </w:tc>
        <w:tc>
          <w:tcPr>
            <w:tcW w:w="966" w:type="dxa"/>
            <w:tcBorders>
              <w:top w:val="single" w:sz="4" w:space="0" w:color="auto"/>
              <w:left w:val="single" w:sz="4" w:space="0" w:color="auto"/>
              <w:bottom w:val="single" w:sz="4" w:space="0" w:color="auto"/>
              <w:right w:val="single" w:sz="4" w:space="0" w:color="auto"/>
            </w:tcBorders>
          </w:tcPr>
          <w:p w14:paraId="26B853CA" w14:textId="77777777" w:rsidR="005C2614" w:rsidRPr="00932BD0" w:rsidRDefault="005C2614" w:rsidP="005C2614">
            <w:pPr>
              <w:rPr>
                <w:rFonts w:ascii="Arial" w:hAnsi="Arial"/>
                <w:sz w:val="20"/>
              </w:rPr>
            </w:pPr>
            <w:r w:rsidRPr="00932BD0">
              <w:rPr>
                <w:rFonts w:ascii="Arial" w:hAnsi="Arial"/>
                <w:sz w:val="20"/>
              </w:rPr>
              <w:t>Sys. Ops.</w:t>
            </w:r>
          </w:p>
        </w:tc>
        <w:tc>
          <w:tcPr>
            <w:tcW w:w="1350" w:type="dxa"/>
            <w:tcBorders>
              <w:top w:val="single" w:sz="4" w:space="0" w:color="auto"/>
              <w:left w:val="single" w:sz="4" w:space="0" w:color="auto"/>
              <w:bottom w:val="single" w:sz="4" w:space="0" w:color="auto"/>
              <w:right w:val="single" w:sz="4" w:space="0" w:color="auto"/>
            </w:tcBorders>
          </w:tcPr>
          <w:p w14:paraId="08734194" w14:textId="77777777" w:rsidR="005C2614" w:rsidRPr="00932BD0" w:rsidRDefault="005C2614" w:rsidP="005C2614">
            <w:pPr>
              <w:rPr>
                <w:rFonts w:ascii="Arial" w:hAnsi="Arial"/>
                <w:sz w:val="20"/>
              </w:rPr>
            </w:pPr>
            <w:r w:rsidRPr="00932BD0">
              <w:rPr>
                <w:rFonts w:ascii="Arial" w:hAnsi="Arial"/>
                <w:sz w:val="20"/>
              </w:rPr>
              <w:t>OCN</w:t>
            </w:r>
          </w:p>
        </w:tc>
        <w:tc>
          <w:tcPr>
            <w:tcW w:w="928" w:type="dxa"/>
            <w:tcBorders>
              <w:top w:val="single" w:sz="4" w:space="0" w:color="auto"/>
              <w:left w:val="single" w:sz="4" w:space="0" w:color="auto"/>
              <w:bottom w:val="single" w:sz="4" w:space="0" w:color="auto"/>
              <w:right w:val="single" w:sz="4" w:space="0" w:color="auto"/>
            </w:tcBorders>
          </w:tcPr>
          <w:p w14:paraId="48A79266" w14:textId="77777777" w:rsidR="005C2614" w:rsidRPr="00932BD0" w:rsidRDefault="005C2614" w:rsidP="005C2614">
            <w:pPr>
              <w:rPr>
                <w:rFonts w:ascii="Arial" w:hAnsi="Arial"/>
                <w:sz w:val="20"/>
              </w:rPr>
            </w:pPr>
            <w:r w:rsidRPr="00932BD0">
              <w:rPr>
                <w:rFonts w:ascii="Arial" w:hAnsi="Arial"/>
                <w:sz w:val="20"/>
              </w:rPr>
              <w:t>Medium</w:t>
            </w:r>
          </w:p>
        </w:tc>
        <w:tc>
          <w:tcPr>
            <w:tcW w:w="1321" w:type="dxa"/>
            <w:tcBorders>
              <w:top w:val="single" w:sz="4" w:space="0" w:color="auto"/>
              <w:left w:val="single" w:sz="4" w:space="0" w:color="auto"/>
              <w:bottom w:val="single" w:sz="4" w:space="0" w:color="auto"/>
              <w:right w:val="single" w:sz="4" w:space="0" w:color="auto"/>
            </w:tcBorders>
          </w:tcPr>
          <w:p w14:paraId="5FA81F68" w14:textId="77777777" w:rsidR="005C2614" w:rsidRPr="00932BD0" w:rsidRDefault="005C2614" w:rsidP="005C2614">
            <w:pPr>
              <w:rPr>
                <w:rFonts w:ascii="Arial" w:hAnsi="Arial"/>
                <w:sz w:val="20"/>
              </w:rPr>
            </w:pPr>
            <w:r w:rsidRPr="00932BD0">
              <w:rPr>
                <w:rFonts w:ascii="Arial" w:hAnsi="Arial"/>
                <w:sz w:val="20"/>
              </w:rPr>
              <w:t>All QSEs</w:t>
            </w:r>
          </w:p>
        </w:tc>
        <w:tc>
          <w:tcPr>
            <w:tcW w:w="2544" w:type="dxa"/>
            <w:tcBorders>
              <w:top w:val="single" w:sz="4" w:space="0" w:color="auto"/>
              <w:left w:val="single" w:sz="4" w:space="0" w:color="auto"/>
              <w:bottom w:val="single" w:sz="4" w:space="0" w:color="auto"/>
              <w:right w:val="single" w:sz="4" w:space="0" w:color="auto"/>
            </w:tcBorders>
          </w:tcPr>
          <w:p w14:paraId="4FC9B624" w14:textId="77777777" w:rsidR="005C2614" w:rsidRPr="00574F54" w:rsidRDefault="005C2614" w:rsidP="005C2614">
            <w:pPr>
              <w:rPr>
                <w:rFonts w:ascii="Arial" w:hAnsi="Arial" w:cs="Arial"/>
                <w:vanish/>
                <w:sz w:val="20"/>
                <w:szCs w:val="20"/>
              </w:rPr>
            </w:pPr>
          </w:p>
        </w:tc>
      </w:tr>
      <w:tr w:rsidR="005C2614" w:rsidRPr="00932BD0" w14:paraId="38F7A895" w14:textId="77777777" w:rsidTr="005B528F">
        <w:trPr>
          <w:cantSplit/>
        </w:trPr>
        <w:tc>
          <w:tcPr>
            <w:tcW w:w="1022" w:type="dxa"/>
            <w:tcBorders>
              <w:top w:val="single" w:sz="4" w:space="0" w:color="auto"/>
              <w:left w:val="single" w:sz="4" w:space="0" w:color="auto"/>
              <w:bottom w:val="single" w:sz="4" w:space="0" w:color="auto"/>
              <w:right w:val="single" w:sz="4" w:space="0" w:color="auto"/>
            </w:tcBorders>
          </w:tcPr>
          <w:p w14:paraId="029F9F94" w14:textId="77777777" w:rsidR="005C2614" w:rsidRPr="00932BD0" w:rsidRDefault="005C2614" w:rsidP="005C2614">
            <w:pPr>
              <w:spacing w:after="40"/>
              <w:ind w:left="360"/>
              <w:jc w:val="right"/>
              <w:rPr>
                <w:rFonts w:ascii="Arial" w:hAnsi="Arial" w:cs="Arial"/>
                <w:sz w:val="20"/>
                <w:szCs w:val="20"/>
              </w:rPr>
            </w:pPr>
          </w:p>
        </w:tc>
        <w:tc>
          <w:tcPr>
            <w:tcW w:w="3425" w:type="dxa"/>
            <w:tcBorders>
              <w:top w:val="single" w:sz="4" w:space="0" w:color="auto"/>
              <w:left w:val="single" w:sz="4" w:space="0" w:color="auto"/>
              <w:bottom w:val="single" w:sz="4" w:space="0" w:color="auto"/>
              <w:right w:val="single" w:sz="4" w:space="0" w:color="auto"/>
            </w:tcBorders>
          </w:tcPr>
          <w:p w14:paraId="40B9AA3C" w14:textId="5EDBD7B8" w:rsidR="005C2614" w:rsidRPr="00932BD0" w:rsidRDefault="005C2614" w:rsidP="005C2614">
            <w:pPr>
              <w:spacing w:after="40"/>
              <w:ind w:left="72"/>
              <w:rPr>
                <w:rFonts w:ascii="Arial" w:hAnsi="Arial" w:cs="Arial"/>
                <w:sz w:val="20"/>
                <w:szCs w:val="20"/>
              </w:rPr>
            </w:pPr>
          </w:p>
        </w:tc>
        <w:tc>
          <w:tcPr>
            <w:tcW w:w="1584" w:type="dxa"/>
            <w:tcBorders>
              <w:top w:val="single" w:sz="4" w:space="0" w:color="auto"/>
              <w:left w:val="single" w:sz="4" w:space="0" w:color="auto"/>
              <w:bottom w:val="single" w:sz="4" w:space="0" w:color="auto"/>
              <w:right w:val="single" w:sz="4" w:space="0" w:color="auto"/>
            </w:tcBorders>
          </w:tcPr>
          <w:p w14:paraId="2DC4A5DA" w14:textId="32EF9D7D" w:rsidR="005C2614" w:rsidRPr="00574F54" w:rsidRDefault="005C2614" w:rsidP="005C2614">
            <w:pPr>
              <w:rPr>
                <w:rFonts w:ascii="Arial" w:hAnsi="Arial" w:cs="Arial"/>
                <w:sz w:val="20"/>
                <w:szCs w:val="20"/>
              </w:rPr>
            </w:pPr>
          </w:p>
        </w:tc>
        <w:tc>
          <w:tcPr>
            <w:tcW w:w="966" w:type="dxa"/>
            <w:tcBorders>
              <w:top w:val="single" w:sz="4" w:space="0" w:color="auto"/>
              <w:left w:val="single" w:sz="4" w:space="0" w:color="auto"/>
              <w:bottom w:val="single" w:sz="4" w:space="0" w:color="auto"/>
              <w:right w:val="single" w:sz="4" w:space="0" w:color="auto"/>
            </w:tcBorders>
          </w:tcPr>
          <w:p w14:paraId="6C1B75CF" w14:textId="2D79909D" w:rsidR="005C2614" w:rsidRPr="00932BD0" w:rsidRDefault="005C2614" w:rsidP="005C2614">
            <w:pPr>
              <w:rPr>
                <w:rFonts w:ascii="Arial" w:hAnsi="Arial"/>
                <w:sz w:val="20"/>
              </w:rPr>
            </w:pPr>
          </w:p>
        </w:tc>
        <w:tc>
          <w:tcPr>
            <w:tcW w:w="1350" w:type="dxa"/>
            <w:tcBorders>
              <w:top w:val="single" w:sz="4" w:space="0" w:color="auto"/>
              <w:left w:val="single" w:sz="4" w:space="0" w:color="auto"/>
              <w:bottom w:val="single" w:sz="4" w:space="0" w:color="auto"/>
              <w:right w:val="single" w:sz="4" w:space="0" w:color="auto"/>
            </w:tcBorders>
          </w:tcPr>
          <w:p w14:paraId="74836954" w14:textId="2BADA676" w:rsidR="005C2614" w:rsidRPr="00932BD0" w:rsidRDefault="005C2614" w:rsidP="005C2614">
            <w:pPr>
              <w:rPr>
                <w:rFonts w:ascii="Arial" w:hAnsi="Arial"/>
                <w:sz w:val="20"/>
              </w:rPr>
            </w:pPr>
          </w:p>
        </w:tc>
        <w:tc>
          <w:tcPr>
            <w:tcW w:w="928" w:type="dxa"/>
            <w:tcBorders>
              <w:top w:val="single" w:sz="4" w:space="0" w:color="auto"/>
              <w:left w:val="single" w:sz="4" w:space="0" w:color="auto"/>
              <w:bottom w:val="single" w:sz="4" w:space="0" w:color="auto"/>
              <w:right w:val="single" w:sz="4" w:space="0" w:color="auto"/>
            </w:tcBorders>
          </w:tcPr>
          <w:p w14:paraId="706CA157" w14:textId="3FD7C506" w:rsidR="005C2614" w:rsidRPr="00932BD0" w:rsidRDefault="005C2614" w:rsidP="005C2614">
            <w:pPr>
              <w:rPr>
                <w:rFonts w:ascii="Arial" w:hAnsi="Arial"/>
                <w:sz w:val="20"/>
              </w:rPr>
            </w:pPr>
          </w:p>
        </w:tc>
        <w:tc>
          <w:tcPr>
            <w:tcW w:w="1321" w:type="dxa"/>
            <w:tcBorders>
              <w:top w:val="single" w:sz="4" w:space="0" w:color="auto"/>
              <w:left w:val="single" w:sz="4" w:space="0" w:color="auto"/>
              <w:bottom w:val="single" w:sz="4" w:space="0" w:color="auto"/>
              <w:right w:val="single" w:sz="4" w:space="0" w:color="auto"/>
            </w:tcBorders>
          </w:tcPr>
          <w:p w14:paraId="1276811E" w14:textId="53AE4DF2" w:rsidR="005C2614" w:rsidRPr="00932BD0" w:rsidRDefault="005C2614" w:rsidP="005C2614">
            <w:pPr>
              <w:rPr>
                <w:rFonts w:ascii="Arial" w:hAnsi="Arial"/>
                <w:sz w:val="20"/>
              </w:rPr>
            </w:pPr>
          </w:p>
        </w:tc>
        <w:tc>
          <w:tcPr>
            <w:tcW w:w="2544" w:type="dxa"/>
            <w:tcBorders>
              <w:top w:val="single" w:sz="4" w:space="0" w:color="auto"/>
              <w:left w:val="single" w:sz="4" w:space="0" w:color="auto"/>
              <w:bottom w:val="single" w:sz="4" w:space="0" w:color="auto"/>
              <w:right w:val="single" w:sz="4" w:space="0" w:color="auto"/>
            </w:tcBorders>
          </w:tcPr>
          <w:p w14:paraId="67440EC6" w14:textId="60F123CA" w:rsidR="005C2614" w:rsidRPr="00574F54" w:rsidRDefault="005C2614" w:rsidP="005C2614">
            <w:pPr>
              <w:spacing w:after="40"/>
              <w:ind w:left="72"/>
              <w:rPr>
                <w:rFonts w:ascii="Arial" w:hAnsi="Arial" w:cs="Arial"/>
                <w:vanish/>
                <w:sz w:val="20"/>
                <w:szCs w:val="20"/>
              </w:rPr>
            </w:pPr>
          </w:p>
        </w:tc>
      </w:tr>
      <w:tr w:rsidR="005C2614" w:rsidRPr="00932BD0" w14:paraId="17FBED9A" w14:textId="77777777" w:rsidTr="005B528F">
        <w:trPr>
          <w:cantSplit/>
        </w:trPr>
        <w:tc>
          <w:tcPr>
            <w:tcW w:w="1022" w:type="dxa"/>
            <w:tcBorders>
              <w:top w:val="single" w:sz="4" w:space="0" w:color="auto"/>
              <w:left w:val="single" w:sz="4" w:space="0" w:color="auto"/>
              <w:bottom w:val="single" w:sz="4" w:space="0" w:color="auto"/>
              <w:right w:val="single" w:sz="4" w:space="0" w:color="auto"/>
            </w:tcBorders>
          </w:tcPr>
          <w:p w14:paraId="100B3020" w14:textId="77777777" w:rsidR="005C2614" w:rsidRDefault="005C2614" w:rsidP="005C2614">
            <w:pPr>
              <w:spacing w:after="40"/>
              <w:ind w:left="360"/>
              <w:jc w:val="right"/>
              <w:rPr>
                <w:rFonts w:ascii="Arial" w:hAnsi="Arial" w:cs="Arial"/>
                <w:sz w:val="20"/>
                <w:szCs w:val="20"/>
              </w:rPr>
            </w:pPr>
          </w:p>
        </w:tc>
        <w:tc>
          <w:tcPr>
            <w:tcW w:w="3425" w:type="dxa"/>
            <w:tcBorders>
              <w:top w:val="single" w:sz="4" w:space="0" w:color="auto"/>
              <w:left w:val="single" w:sz="4" w:space="0" w:color="auto"/>
              <w:bottom w:val="single" w:sz="4" w:space="0" w:color="auto"/>
              <w:right w:val="single" w:sz="4" w:space="0" w:color="auto"/>
            </w:tcBorders>
          </w:tcPr>
          <w:p w14:paraId="184206DB" w14:textId="1DF6E549" w:rsidR="005C2614" w:rsidRDefault="005C2614" w:rsidP="005C2614">
            <w:pPr>
              <w:spacing w:after="40"/>
              <w:ind w:left="72"/>
              <w:rPr>
                <w:rFonts w:ascii="Arial" w:hAnsi="Arial" w:cs="Arial"/>
                <w:sz w:val="20"/>
                <w:szCs w:val="20"/>
              </w:rPr>
            </w:pPr>
          </w:p>
        </w:tc>
        <w:tc>
          <w:tcPr>
            <w:tcW w:w="1584" w:type="dxa"/>
            <w:tcBorders>
              <w:top w:val="single" w:sz="4" w:space="0" w:color="auto"/>
              <w:left w:val="single" w:sz="4" w:space="0" w:color="auto"/>
              <w:bottom w:val="single" w:sz="4" w:space="0" w:color="auto"/>
              <w:right w:val="single" w:sz="4" w:space="0" w:color="auto"/>
            </w:tcBorders>
          </w:tcPr>
          <w:p w14:paraId="380DC11F" w14:textId="23C6E063" w:rsidR="005C2614" w:rsidRDefault="005C2614" w:rsidP="005C2614">
            <w:pPr>
              <w:rPr>
                <w:rFonts w:ascii="Arial" w:hAnsi="Arial" w:cs="Arial"/>
                <w:sz w:val="20"/>
                <w:szCs w:val="20"/>
              </w:rPr>
            </w:pPr>
          </w:p>
        </w:tc>
        <w:tc>
          <w:tcPr>
            <w:tcW w:w="966" w:type="dxa"/>
            <w:tcBorders>
              <w:top w:val="single" w:sz="4" w:space="0" w:color="auto"/>
              <w:left w:val="single" w:sz="4" w:space="0" w:color="auto"/>
              <w:bottom w:val="single" w:sz="4" w:space="0" w:color="auto"/>
              <w:right w:val="single" w:sz="4" w:space="0" w:color="auto"/>
            </w:tcBorders>
          </w:tcPr>
          <w:p w14:paraId="02B699A2" w14:textId="1F9AF8A7" w:rsidR="005C2614" w:rsidRPr="00932BD0" w:rsidRDefault="005C2614" w:rsidP="005C2614">
            <w:pPr>
              <w:rPr>
                <w:rFonts w:ascii="Arial" w:hAnsi="Arial"/>
                <w:sz w:val="20"/>
              </w:rPr>
            </w:pPr>
          </w:p>
        </w:tc>
        <w:tc>
          <w:tcPr>
            <w:tcW w:w="1350" w:type="dxa"/>
            <w:tcBorders>
              <w:top w:val="single" w:sz="4" w:space="0" w:color="auto"/>
              <w:left w:val="single" w:sz="4" w:space="0" w:color="auto"/>
              <w:bottom w:val="single" w:sz="4" w:space="0" w:color="auto"/>
              <w:right w:val="single" w:sz="4" w:space="0" w:color="auto"/>
            </w:tcBorders>
          </w:tcPr>
          <w:p w14:paraId="32308763" w14:textId="1741EB79" w:rsidR="005C2614" w:rsidRPr="00932BD0" w:rsidRDefault="005C2614" w:rsidP="005C2614">
            <w:pPr>
              <w:rPr>
                <w:rFonts w:ascii="Arial" w:hAnsi="Arial"/>
                <w:sz w:val="20"/>
              </w:rPr>
            </w:pPr>
          </w:p>
        </w:tc>
        <w:tc>
          <w:tcPr>
            <w:tcW w:w="928" w:type="dxa"/>
            <w:tcBorders>
              <w:top w:val="single" w:sz="4" w:space="0" w:color="auto"/>
              <w:left w:val="single" w:sz="4" w:space="0" w:color="auto"/>
              <w:bottom w:val="single" w:sz="4" w:space="0" w:color="auto"/>
              <w:right w:val="single" w:sz="4" w:space="0" w:color="auto"/>
            </w:tcBorders>
          </w:tcPr>
          <w:p w14:paraId="0AC6A8E7" w14:textId="56F33B66" w:rsidR="005C2614" w:rsidRPr="00932BD0" w:rsidRDefault="005C2614" w:rsidP="005C2614">
            <w:pPr>
              <w:rPr>
                <w:rFonts w:ascii="Arial" w:hAnsi="Arial"/>
                <w:sz w:val="20"/>
              </w:rPr>
            </w:pPr>
          </w:p>
        </w:tc>
        <w:tc>
          <w:tcPr>
            <w:tcW w:w="1321" w:type="dxa"/>
            <w:tcBorders>
              <w:top w:val="single" w:sz="4" w:space="0" w:color="auto"/>
              <w:left w:val="single" w:sz="4" w:space="0" w:color="auto"/>
              <w:bottom w:val="single" w:sz="4" w:space="0" w:color="auto"/>
              <w:right w:val="single" w:sz="4" w:space="0" w:color="auto"/>
            </w:tcBorders>
          </w:tcPr>
          <w:p w14:paraId="024A586C" w14:textId="4C3AABF8" w:rsidR="005C2614" w:rsidRPr="00932BD0" w:rsidRDefault="005C2614" w:rsidP="005C2614">
            <w:pPr>
              <w:rPr>
                <w:rFonts w:ascii="Arial" w:hAnsi="Arial"/>
                <w:sz w:val="20"/>
              </w:rPr>
            </w:pPr>
          </w:p>
        </w:tc>
        <w:tc>
          <w:tcPr>
            <w:tcW w:w="2544" w:type="dxa"/>
            <w:tcBorders>
              <w:top w:val="single" w:sz="4" w:space="0" w:color="auto"/>
              <w:left w:val="single" w:sz="4" w:space="0" w:color="auto"/>
              <w:bottom w:val="single" w:sz="4" w:space="0" w:color="auto"/>
              <w:right w:val="single" w:sz="4" w:space="0" w:color="auto"/>
            </w:tcBorders>
          </w:tcPr>
          <w:p w14:paraId="792EEB0B" w14:textId="01E422DD" w:rsidR="005C2614" w:rsidRPr="00CF7988" w:rsidRDefault="005C2614" w:rsidP="005C2614">
            <w:pPr>
              <w:spacing w:after="40"/>
              <w:ind w:left="72"/>
              <w:rPr>
                <w:rFonts w:ascii="Arial" w:hAnsi="Arial" w:cs="Arial"/>
                <w:sz w:val="20"/>
                <w:szCs w:val="20"/>
              </w:rPr>
            </w:pPr>
          </w:p>
        </w:tc>
      </w:tr>
      <w:tr w:rsidR="005C2614" w:rsidRPr="00932BD0" w14:paraId="626D136B" w14:textId="77777777" w:rsidTr="005B528F">
        <w:trPr>
          <w:cantSplit/>
        </w:trPr>
        <w:tc>
          <w:tcPr>
            <w:tcW w:w="1022" w:type="dxa"/>
            <w:tcBorders>
              <w:top w:val="single" w:sz="4" w:space="0" w:color="auto"/>
              <w:left w:val="single" w:sz="4" w:space="0" w:color="auto"/>
              <w:bottom w:val="single" w:sz="4" w:space="0" w:color="auto"/>
              <w:right w:val="single" w:sz="4" w:space="0" w:color="auto"/>
            </w:tcBorders>
          </w:tcPr>
          <w:p w14:paraId="5876AAAC" w14:textId="77777777" w:rsidR="005C2614" w:rsidRDefault="005C2614" w:rsidP="005C2614">
            <w:pPr>
              <w:spacing w:after="40"/>
              <w:ind w:left="360"/>
              <w:jc w:val="right"/>
              <w:rPr>
                <w:rFonts w:ascii="Arial" w:hAnsi="Arial" w:cs="Arial"/>
                <w:sz w:val="20"/>
                <w:szCs w:val="20"/>
              </w:rPr>
            </w:pPr>
          </w:p>
        </w:tc>
        <w:tc>
          <w:tcPr>
            <w:tcW w:w="3425" w:type="dxa"/>
            <w:tcBorders>
              <w:top w:val="single" w:sz="4" w:space="0" w:color="auto"/>
              <w:left w:val="single" w:sz="4" w:space="0" w:color="auto"/>
              <w:bottom w:val="single" w:sz="4" w:space="0" w:color="auto"/>
              <w:right w:val="single" w:sz="4" w:space="0" w:color="auto"/>
            </w:tcBorders>
          </w:tcPr>
          <w:p w14:paraId="5B7E6731" w14:textId="0AB489CC" w:rsidR="005C2614" w:rsidRDefault="005C2614" w:rsidP="005C2614">
            <w:pPr>
              <w:spacing w:after="40"/>
              <w:ind w:left="72"/>
              <w:rPr>
                <w:rFonts w:ascii="Arial" w:hAnsi="Arial" w:cs="Arial"/>
                <w:sz w:val="20"/>
                <w:szCs w:val="20"/>
              </w:rPr>
            </w:pPr>
          </w:p>
        </w:tc>
        <w:tc>
          <w:tcPr>
            <w:tcW w:w="1584" w:type="dxa"/>
            <w:tcBorders>
              <w:top w:val="single" w:sz="4" w:space="0" w:color="auto"/>
              <w:left w:val="single" w:sz="4" w:space="0" w:color="auto"/>
              <w:bottom w:val="single" w:sz="4" w:space="0" w:color="auto"/>
              <w:right w:val="single" w:sz="4" w:space="0" w:color="auto"/>
            </w:tcBorders>
          </w:tcPr>
          <w:p w14:paraId="1B49B36C" w14:textId="4B170FAE" w:rsidR="005C2614" w:rsidRDefault="005C2614" w:rsidP="005C2614">
            <w:pPr>
              <w:rPr>
                <w:rFonts w:ascii="Arial" w:hAnsi="Arial" w:cs="Arial"/>
                <w:sz w:val="20"/>
                <w:szCs w:val="20"/>
              </w:rPr>
            </w:pPr>
          </w:p>
        </w:tc>
        <w:tc>
          <w:tcPr>
            <w:tcW w:w="966" w:type="dxa"/>
            <w:tcBorders>
              <w:top w:val="single" w:sz="4" w:space="0" w:color="auto"/>
              <w:left w:val="single" w:sz="4" w:space="0" w:color="auto"/>
              <w:bottom w:val="single" w:sz="4" w:space="0" w:color="auto"/>
              <w:right w:val="single" w:sz="4" w:space="0" w:color="auto"/>
            </w:tcBorders>
          </w:tcPr>
          <w:p w14:paraId="7574E9EF" w14:textId="77777777" w:rsidR="005C2614" w:rsidRPr="00932BD0" w:rsidRDefault="005C2614" w:rsidP="005C2614">
            <w:pPr>
              <w:rPr>
                <w:rFonts w:ascii="Arial" w:hAnsi="Arial"/>
                <w:sz w:val="20"/>
              </w:rPr>
            </w:pPr>
          </w:p>
        </w:tc>
        <w:tc>
          <w:tcPr>
            <w:tcW w:w="1350" w:type="dxa"/>
            <w:tcBorders>
              <w:top w:val="single" w:sz="4" w:space="0" w:color="auto"/>
              <w:left w:val="single" w:sz="4" w:space="0" w:color="auto"/>
              <w:bottom w:val="single" w:sz="4" w:space="0" w:color="auto"/>
              <w:right w:val="single" w:sz="4" w:space="0" w:color="auto"/>
            </w:tcBorders>
          </w:tcPr>
          <w:p w14:paraId="213F5C67" w14:textId="4EC1655F" w:rsidR="005C2614" w:rsidRPr="00932BD0" w:rsidRDefault="005C2614" w:rsidP="005C2614">
            <w:pPr>
              <w:rPr>
                <w:rFonts w:ascii="Arial" w:hAnsi="Arial"/>
                <w:sz w:val="20"/>
              </w:rPr>
            </w:pPr>
          </w:p>
        </w:tc>
        <w:tc>
          <w:tcPr>
            <w:tcW w:w="928" w:type="dxa"/>
            <w:tcBorders>
              <w:top w:val="single" w:sz="4" w:space="0" w:color="auto"/>
              <w:left w:val="single" w:sz="4" w:space="0" w:color="auto"/>
              <w:bottom w:val="single" w:sz="4" w:space="0" w:color="auto"/>
              <w:right w:val="single" w:sz="4" w:space="0" w:color="auto"/>
            </w:tcBorders>
          </w:tcPr>
          <w:p w14:paraId="16C8A886" w14:textId="6C5ABB36" w:rsidR="005C2614" w:rsidRPr="00932BD0" w:rsidRDefault="005C2614" w:rsidP="005C2614">
            <w:pPr>
              <w:rPr>
                <w:rFonts w:ascii="Arial" w:hAnsi="Arial"/>
                <w:sz w:val="20"/>
              </w:rPr>
            </w:pPr>
          </w:p>
        </w:tc>
        <w:tc>
          <w:tcPr>
            <w:tcW w:w="1321" w:type="dxa"/>
            <w:tcBorders>
              <w:top w:val="single" w:sz="4" w:space="0" w:color="auto"/>
              <w:left w:val="single" w:sz="4" w:space="0" w:color="auto"/>
              <w:bottom w:val="single" w:sz="4" w:space="0" w:color="auto"/>
              <w:right w:val="single" w:sz="4" w:space="0" w:color="auto"/>
            </w:tcBorders>
          </w:tcPr>
          <w:p w14:paraId="2AF5CCA3" w14:textId="6FCCEE51" w:rsidR="005C2614" w:rsidRPr="00932BD0" w:rsidRDefault="005C2614" w:rsidP="005C2614">
            <w:pPr>
              <w:rPr>
                <w:rFonts w:ascii="Arial" w:hAnsi="Arial"/>
                <w:sz w:val="20"/>
              </w:rPr>
            </w:pPr>
          </w:p>
        </w:tc>
        <w:tc>
          <w:tcPr>
            <w:tcW w:w="2544" w:type="dxa"/>
            <w:tcBorders>
              <w:top w:val="single" w:sz="4" w:space="0" w:color="auto"/>
              <w:left w:val="single" w:sz="4" w:space="0" w:color="auto"/>
              <w:bottom w:val="single" w:sz="4" w:space="0" w:color="auto"/>
              <w:right w:val="single" w:sz="4" w:space="0" w:color="auto"/>
            </w:tcBorders>
          </w:tcPr>
          <w:p w14:paraId="32B84648" w14:textId="7320DB44" w:rsidR="005C2614" w:rsidRPr="00461ED6" w:rsidRDefault="005C2614" w:rsidP="005C2614">
            <w:pPr>
              <w:spacing w:after="40"/>
              <w:ind w:left="72"/>
              <w:rPr>
                <w:rFonts w:ascii="Arial" w:hAnsi="Arial" w:cs="Arial"/>
                <w:sz w:val="20"/>
                <w:szCs w:val="20"/>
              </w:rPr>
            </w:pPr>
          </w:p>
        </w:tc>
      </w:tr>
    </w:tbl>
    <w:p w14:paraId="36D6E704" w14:textId="77777777" w:rsidR="00574F54" w:rsidRDefault="00574F54" w:rsidP="00533F60"/>
    <w:sectPr w:rsidR="00574F54" w:rsidSect="00AF11EA">
      <w:headerReference w:type="default" r:id="rId20"/>
      <w:pgSz w:w="15840" w:h="12240" w:orient="landscape"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4B5A" w14:textId="77777777" w:rsidR="00085299" w:rsidRDefault="00085299">
      <w:r>
        <w:separator/>
      </w:r>
    </w:p>
  </w:endnote>
  <w:endnote w:type="continuationSeparator" w:id="0">
    <w:p w14:paraId="3B7213CA" w14:textId="77777777" w:rsidR="00085299" w:rsidRDefault="0008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19C1" w14:textId="77777777" w:rsidR="00B04D93" w:rsidRPr="00400806" w:rsidRDefault="00B04D93" w:rsidP="00302001">
    <w:pPr>
      <w:pStyle w:val="table"/>
      <w:tabs>
        <w:tab w:val="right" w:pos="8460"/>
      </w:tabs>
      <w:rPr>
        <w:sz w:val="16"/>
        <w:szCs w:val="16"/>
      </w:rPr>
    </w:pPr>
    <w:r w:rsidRPr="00400806">
      <w:rPr>
        <w:rStyle w:val="PageNumber"/>
        <w:sz w:val="16"/>
        <w:szCs w:val="16"/>
      </w:rPr>
      <w:t>© 2006 Electric Reliability Council of Texas,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5E59" w14:textId="77777777" w:rsidR="00B04D93" w:rsidRPr="00CF405F" w:rsidRDefault="00B04D93" w:rsidP="005E34E3">
    <w:pPr>
      <w:pStyle w:val="Footer"/>
      <w:tabs>
        <w:tab w:val="clear" w:pos="8640"/>
        <w:tab w:val="right" w:pos="9360"/>
      </w:tabs>
      <w:rPr>
        <w:rFonts w:ascii="Arial" w:hAnsi="Arial" w:cs="Arial"/>
        <w:sz w:val="16"/>
        <w:szCs w:val="16"/>
      </w:rPr>
    </w:pPr>
    <w:r w:rsidRPr="00CF405F">
      <w:rPr>
        <w:rFonts w:ascii="Arial" w:hAnsi="Arial" w:cs="Arial"/>
        <w:sz w:val="16"/>
        <w:szCs w:val="16"/>
      </w:rPr>
      <w:t>© 20</w:t>
    </w:r>
    <w:r w:rsidR="00A46EFD">
      <w:rPr>
        <w:rFonts w:ascii="Arial" w:hAnsi="Arial" w:cs="Arial"/>
        <w:sz w:val="16"/>
        <w:szCs w:val="16"/>
      </w:rPr>
      <w:t>17</w:t>
    </w:r>
    <w:r w:rsidRPr="00CF405F">
      <w:rPr>
        <w:rFonts w:ascii="Arial" w:hAnsi="Arial" w:cs="Arial"/>
        <w:sz w:val="16"/>
        <w:szCs w:val="16"/>
      </w:rPr>
      <w:t xml:space="preserve"> Electric Reliability Council of Texas, Inc. All rights reserved.</w:t>
    </w:r>
    <w:r>
      <w:rPr>
        <w:rFonts w:ascii="Arial" w:hAnsi="Arial" w:cs="Arial"/>
        <w:sz w:val="16"/>
        <w:szCs w:val="16"/>
      </w:rPr>
      <w:tab/>
    </w:r>
  </w:p>
  <w:p w14:paraId="289F54D4" w14:textId="77777777" w:rsidR="00B04D93" w:rsidRDefault="00B04D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B7B0" w14:textId="77777777" w:rsidR="00B04D93" w:rsidRDefault="00B04D93">
    <w:pPr>
      <w:pStyle w:val="Footer"/>
      <w:jc w:val="right"/>
    </w:pPr>
    <w:r>
      <w:fldChar w:fldCharType="begin"/>
    </w:r>
    <w:r>
      <w:instrText xml:space="preserve"> PAGE   \* MERGEFORMAT </w:instrText>
    </w:r>
    <w:r>
      <w:fldChar w:fldCharType="separate"/>
    </w:r>
    <w:r w:rsidR="00203B82">
      <w:rPr>
        <w:noProof/>
      </w:rPr>
      <w:t>v</w:t>
    </w:r>
    <w:r>
      <w:fldChar w:fldCharType="end"/>
    </w:r>
  </w:p>
  <w:p w14:paraId="35F3A33F" w14:textId="77777777" w:rsidR="00B04D93" w:rsidRPr="00904AC3" w:rsidRDefault="00B04D93" w:rsidP="00904AC3">
    <w:pPr>
      <w:pStyle w:val="Footer"/>
      <w:rPr>
        <w:sz w:val="18"/>
        <w:szCs w:val="18"/>
      </w:rPr>
    </w:pPr>
    <w:r w:rsidRPr="00904AC3">
      <w:rPr>
        <w:sz w:val="18"/>
        <w:szCs w:val="18"/>
      </w:rPr>
      <w:t>© 20</w:t>
    </w:r>
    <w:r w:rsidR="00A46EFD">
      <w:rPr>
        <w:sz w:val="18"/>
        <w:szCs w:val="18"/>
      </w:rPr>
      <w:t>17</w:t>
    </w:r>
    <w:r w:rsidRPr="00904AC3">
      <w:rPr>
        <w:sz w:val="18"/>
        <w:szCs w:val="18"/>
      </w:rPr>
      <w:t xml:space="preserve"> Electric Reliability Council of Texas, Inc.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9DB5" w14:textId="77777777" w:rsidR="00B04D93" w:rsidRDefault="00B04D93">
    <w:pPr>
      <w:pStyle w:val="Footer"/>
      <w:jc w:val="right"/>
    </w:pPr>
    <w:r>
      <w:fldChar w:fldCharType="begin"/>
    </w:r>
    <w:r>
      <w:instrText xml:space="preserve"> PAGE   \* MERGEFORMAT </w:instrText>
    </w:r>
    <w:r>
      <w:fldChar w:fldCharType="separate"/>
    </w:r>
    <w:r w:rsidR="00203B82">
      <w:rPr>
        <w:noProof/>
      </w:rPr>
      <w:t>43</w:t>
    </w:r>
    <w:r>
      <w:fldChar w:fldCharType="end"/>
    </w:r>
  </w:p>
  <w:p w14:paraId="196EEC0B" w14:textId="77777777" w:rsidR="00B04D93" w:rsidRPr="00904AC3" w:rsidRDefault="00B04D93" w:rsidP="00904AC3">
    <w:pPr>
      <w:pStyle w:val="Footer"/>
      <w:rPr>
        <w:sz w:val="18"/>
        <w:szCs w:val="18"/>
      </w:rPr>
    </w:pPr>
    <w:r w:rsidRPr="00904AC3">
      <w:rPr>
        <w:sz w:val="18"/>
        <w:szCs w:val="18"/>
      </w:rPr>
      <w:t>© 20</w:t>
    </w:r>
    <w:r w:rsidR="00A46EFD">
      <w:rPr>
        <w:sz w:val="18"/>
        <w:szCs w:val="18"/>
      </w:rPr>
      <w:t>17</w:t>
    </w:r>
    <w:r w:rsidRPr="00904AC3">
      <w:rPr>
        <w:sz w:val="18"/>
        <w:szCs w:val="18"/>
      </w:rPr>
      <w:t xml:space="preserve"> Electric Reliability Council of Texas,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827B" w14:textId="77777777" w:rsidR="00085299" w:rsidRDefault="00085299">
      <w:r>
        <w:separator/>
      </w:r>
    </w:p>
  </w:footnote>
  <w:footnote w:type="continuationSeparator" w:id="0">
    <w:p w14:paraId="0D75BCCF" w14:textId="77777777" w:rsidR="00085299" w:rsidRDefault="00085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A18A" w14:textId="7094BA57" w:rsidR="00B04D93" w:rsidRPr="00904AC3" w:rsidRDefault="00B04D93" w:rsidP="0038593C">
    <w:pPr>
      <w:pStyle w:val="Header"/>
      <w:tabs>
        <w:tab w:val="clear" w:pos="8640"/>
        <w:tab w:val="right" w:pos="9270"/>
        <w:tab w:val="right" w:pos="12960"/>
      </w:tabs>
    </w:pPr>
    <w:r w:rsidRPr="00904AC3">
      <w:rPr>
        <w:smallCaps/>
        <w:sz w:val="18"/>
      </w:rPr>
      <w:t xml:space="preserve">CURRENT OPERATING PLAN </w:t>
    </w:r>
    <w:r w:rsidR="00EB65BD" w:rsidRPr="00904AC3">
      <w:rPr>
        <w:smallCaps/>
        <w:sz w:val="18"/>
      </w:rPr>
      <w:t>PRACTICES BY</w:t>
    </w:r>
    <w:r w:rsidRPr="00904AC3">
      <w:rPr>
        <w:smallCaps/>
        <w:sz w:val="18"/>
      </w:rPr>
      <w:t xml:space="preserve"> QUALIFIED SCHEDULING ENTITIES</w:t>
    </w:r>
    <w:r>
      <w:rPr>
        <w:sz w:val="18"/>
      </w:rPr>
      <w:tab/>
      <w:t>ERCOT Public</w:t>
    </w:r>
  </w:p>
  <w:p w14:paraId="1A93EAAD" w14:textId="77777777" w:rsidR="00B04D93" w:rsidRDefault="00B04D93" w:rsidP="00904AC3">
    <w:pPr>
      <w:pStyle w:val="Header"/>
      <w:tabs>
        <w:tab w:val="clear" w:pos="8640"/>
        <w:tab w:val="right" w:pos="93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4277" w14:textId="7AA116DD" w:rsidR="00B04D93" w:rsidRDefault="00B04D93" w:rsidP="00A45ECE">
    <w:pPr>
      <w:pStyle w:val="Header"/>
      <w:tabs>
        <w:tab w:val="clear" w:pos="4320"/>
        <w:tab w:val="clear" w:pos="8640"/>
        <w:tab w:val="right" w:pos="9360"/>
      </w:tabs>
    </w:pPr>
    <w:r>
      <w:tab/>
      <w:t>ERCOT 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4D22" w14:textId="05C44B23" w:rsidR="00B04D93" w:rsidRPr="00904AC3" w:rsidRDefault="00B04D93" w:rsidP="00A96430">
    <w:pPr>
      <w:pStyle w:val="Header"/>
      <w:tabs>
        <w:tab w:val="clear" w:pos="8640"/>
        <w:tab w:val="right" w:pos="12960"/>
      </w:tabs>
    </w:pPr>
    <w:r w:rsidRPr="00904AC3">
      <w:rPr>
        <w:smallCaps/>
        <w:sz w:val="18"/>
      </w:rPr>
      <w:t>CURRENT OPERATING PLAN PRACTICES BY QUALIFIED SCHEDULING ENTITIES</w:t>
    </w:r>
    <w:r>
      <w:rPr>
        <w:sz w:val="18"/>
      </w:rPr>
      <w:tab/>
      <w:t>ERCOT 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C31"/>
    <w:multiLevelType w:val="hybridMultilevel"/>
    <w:tmpl w:val="8738049A"/>
    <w:lvl w:ilvl="0" w:tplc="04090019">
      <w:start w:val="1"/>
      <w:numFmt w:val="lowerLetter"/>
      <w:lvlText w:val="%1."/>
      <w:lvlJc w:val="left"/>
      <w:pPr>
        <w:tabs>
          <w:tab w:val="num" w:pos="-864"/>
        </w:tabs>
        <w:ind w:left="-864" w:hanging="360"/>
      </w:p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1188"/>
        </w:tabs>
        <w:ind w:left="1188" w:hanging="180"/>
      </w:pPr>
    </w:lvl>
    <w:lvl w:ilvl="3" w:tplc="0409000F" w:tentative="1">
      <w:start w:val="1"/>
      <w:numFmt w:val="decimal"/>
      <w:lvlText w:val="%4."/>
      <w:lvlJc w:val="left"/>
      <w:pPr>
        <w:tabs>
          <w:tab w:val="num" w:pos="1908"/>
        </w:tabs>
        <w:ind w:left="1908" w:hanging="360"/>
      </w:pPr>
    </w:lvl>
    <w:lvl w:ilvl="4" w:tplc="04090019" w:tentative="1">
      <w:start w:val="1"/>
      <w:numFmt w:val="lowerLetter"/>
      <w:lvlText w:val="%5."/>
      <w:lvlJc w:val="left"/>
      <w:pPr>
        <w:tabs>
          <w:tab w:val="num" w:pos="2628"/>
        </w:tabs>
        <w:ind w:left="2628" w:hanging="360"/>
      </w:pPr>
    </w:lvl>
    <w:lvl w:ilvl="5" w:tplc="0409001B" w:tentative="1">
      <w:start w:val="1"/>
      <w:numFmt w:val="lowerRoman"/>
      <w:lvlText w:val="%6."/>
      <w:lvlJc w:val="right"/>
      <w:pPr>
        <w:tabs>
          <w:tab w:val="num" w:pos="3348"/>
        </w:tabs>
        <w:ind w:left="3348" w:hanging="180"/>
      </w:pPr>
    </w:lvl>
    <w:lvl w:ilvl="6" w:tplc="0409000F" w:tentative="1">
      <w:start w:val="1"/>
      <w:numFmt w:val="decimal"/>
      <w:lvlText w:val="%7."/>
      <w:lvlJc w:val="left"/>
      <w:pPr>
        <w:tabs>
          <w:tab w:val="num" w:pos="4068"/>
        </w:tabs>
        <w:ind w:left="4068" w:hanging="360"/>
      </w:pPr>
    </w:lvl>
    <w:lvl w:ilvl="7" w:tplc="04090019" w:tentative="1">
      <w:start w:val="1"/>
      <w:numFmt w:val="lowerLetter"/>
      <w:lvlText w:val="%8."/>
      <w:lvlJc w:val="left"/>
      <w:pPr>
        <w:tabs>
          <w:tab w:val="num" w:pos="4788"/>
        </w:tabs>
        <w:ind w:left="4788" w:hanging="360"/>
      </w:pPr>
    </w:lvl>
    <w:lvl w:ilvl="8" w:tplc="0409001B" w:tentative="1">
      <w:start w:val="1"/>
      <w:numFmt w:val="lowerRoman"/>
      <w:lvlText w:val="%9."/>
      <w:lvlJc w:val="right"/>
      <w:pPr>
        <w:tabs>
          <w:tab w:val="num" w:pos="5508"/>
        </w:tabs>
        <w:ind w:left="5508" w:hanging="180"/>
      </w:pPr>
    </w:lvl>
  </w:abstractNum>
  <w:abstractNum w:abstractNumId="1" w15:restartNumberingAfterBreak="0">
    <w:nsid w:val="082B0997"/>
    <w:multiLevelType w:val="hybridMultilevel"/>
    <w:tmpl w:val="174C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54A9F"/>
    <w:multiLevelType w:val="hybridMultilevel"/>
    <w:tmpl w:val="BF6062EC"/>
    <w:lvl w:ilvl="0" w:tplc="F00E0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431CF"/>
    <w:multiLevelType w:val="hybridMultilevel"/>
    <w:tmpl w:val="4FEA5708"/>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152D09A1"/>
    <w:multiLevelType w:val="hybridMultilevel"/>
    <w:tmpl w:val="3878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10BBA"/>
    <w:multiLevelType w:val="hybridMultilevel"/>
    <w:tmpl w:val="3FBE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91FD2"/>
    <w:multiLevelType w:val="multilevel"/>
    <w:tmpl w:val="00449690"/>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7" w15:restartNumberingAfterBreak="0">
    <w:nsid w:val="1B0C4F06"/>
    <w:multiLevelType w:val="hybridMultilevel"/>
    <w:tmpl w:val="DCA415C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1B886890"/>
    <w:multiLevelType w:val="hybridMultilevel"/>
    <w:tmpl w:val="ED30DC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A9478E"/>
    <w:multiLevelType w:val="hybridMultilevel"/>
    <w:tmpl w:val="A1468D18"/>
    <w:lvl w:ilvl="0" w:tplc="122ED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1" w15:restartNumberingAfterBreak="0">
    <w:nsid w:val="20022634"/>
    <w:multiLevelType w:val="hybridMultilevel"/>
    <w:tmpl w:val="8D14A7CA"/>
    <w:lvl w:ilvl="0" w:tplc="04090001">
      <w:start w:val="1"/>
      <w:numFmt w:val="bullet"/>
      <w:lvlText w:val=""/>
      <w:lvlJc w:val="left"/>
      <w:pPr>
        <w:ind w:left="1143" w:hanging="360"/>
      </w:pPr>
      <w:rPr>
        <w:rFonts w:ascii="Symbol" w:hAnsi="Symbol" w:hint="default"/>
      </w:rPr>
    </w:lvl>
    <w:lvl w:ilvl="1" w:tplc="04090003">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2" w15:restartNumberingAfterBreak="0">
    <w:nsid w:val="23580F75"/>
    <w:multiLevelType w:val="hybridMultilevel"/>
    <w:tmpl w:val="7BF018F2"/>
    <w:lvl w:ilvl="0" w:tplc="04090003">
      <w:start w:val="1"/>
      <w:numFmt w:val="bullet"/>
      <w:lvlText w:val="o"/>
      <w:lvlJc w:val="left"/>
      <w:pPr>
        <w:ind w:left="1143" w:hanging="360"/>
      </w:pPr>
      <w:rPr>
        <w:rFonts w:ascii="Courier New" w:hAnsi="Courier New" w:cs="Courier New" w:hint="default"/>
      </w:rPr>
    </w:lvl>
    <w:lvl w:ilvl="1" w:tplc="04090003">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3" w15:restartNumberingAfterBreak="0">
    <w:nsid w:val="24F61AD1"/>
    <w:multiLevelType w:val="hybridMultilevel"/>
    <w:tmpl w:val="0FD25B1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4" w15:restartNumberingAfterBreak="0">
    <w:nsid w:val="2E937ADF"/>
    <w:multiLevelType w:val="hybridMultilevel"/>
    <w:tmpl w:val="2E4ED83E"/>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5" w15:restartNumberingAfterBreak="0">
    <w:nsid w:val="30172D01"/>
    <w:multiLevelType w:val="hybridMultilevel"/>
    <w:tmpl w:val="8248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F3ADE"/>
    <w:multiLevelType w:val="hybridMultilevel"/>
    <w:tmpl w:val="808A9D02"/>
    <w:lvl w:ilvl="0" w:tplc="476A3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B2F7B"/>
    <w:multiLevelType w:val="hybridMultilevel"/>
    <w:tmpl w:val="EF82FBA2"/>
    <w:lvl w:ilvl="0" w:tplc="0409000F">
      <w:start w:val="1"/>
      <w:numFmt w:val="decimal"/>
      <w:lvlText w:val="%1."/>
      <w:lvlJc w:val="left"/>
      <w:pPr>
        <w:ind w:left="720" w:hanging="360"/>
      </w:pPr>
    </w:lvl>
    <w:lvl w:ilvl="1" w:tplc="0222386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22B44"/>
    <w:multiLevelType w:val="hybridMultilevel"/>
    <w:tmpl w:val="2068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253113D"/>
    <w:multiLevelType w:val="hybridMultilevel"/>
    <w:tmpl w:val="04CA2C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4947632"/>
    <w:multiLevelType w:val="hybridMultilevel"/>
    <w:tmpl w:val="42EA5D68"/>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3" w15:restartNumberingAfterBreak="0">
    <w:nsid w:val="5F9B7F86"/>
    <w:multiLevelType w:val="hybridMultilevel"/>
    <w:tmpl w:val="2318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261D3"/>
    <w:multiLevelType w:val="hybridMultilevel"/>
    <w:tmpl w:val="73E823D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5" w15:restartNumberingAfterBreak="0">
    <w:nsid w:val="68985D0F"/>
    <w:multiLevelType w:val="hybridMultilevel"/>
    <w:tmpl w:val="B0229CF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6A4B102D"/>
    <w:multiLevelType w:val="hybridMultilevel"/>
    <w:tmpl w:val="63C4F226"/>
    <w:lvl w:ilvl="0" w:tplc="8E3631A8">
      <w:start w:val="1"/>
      <w:numFmt w:val="decimal"/>
      <w:lvlText w:val="%1."/>
      <w:lvlJc w:val="center"/>
      <w:pPr>
        <w:ind w:left="762"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num w:numId="1" w16cid:durableId="1172183552">
    <w:abstractNumId w:val="10"/>
  </w:num>
  <w:num w:numId="2" w16cid:durableId="858859473">
    <w:abstractNumId w:val="20"/>
  </w:num>
  <w:num w:numId="3" w16cid:durableId="918094653">
    <w:abstractNumId w:val="6"/>
  </w:num>
  <w:num w:numId="4" w16cid:durableId="1552379709">
    <w:abstractNumId w:val="19"/>
  </w:num>
  <w:num w:numId="5" w16cid:durableId="963389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8460102">
    <w:abstractNumId w:val="5"/>
  </w:num>
  <w:num w:numId="7" w16cid:durableId="1482697108">
    <w:abstractNumId w:val="17"/>
  </w:num>
  <w:num w:numId="8" w16cid:durableId="1459228702">
    <w:abstractNumId w:val="9"/>
  </w:num>
  <w:num w:numId="9" w16cid:durableId="1960718549">
    <w:abstractNumId w:val="21"/>
  </w:num>
  <w:num w:numId="10" w16cid:durableId="193619319">
    <w:abstractNumId w:val="4"/>
  </w:num>
  <w:num w:numId="11" w16cid:durableId="1695300119">
    <w:abstractNumId w:val="18"/>
  </w:num>
  <w:num w:numId="12" w16cid:durableId="1190223194">
    <w:abstractNumId w:val="23"/>
  </w:num>
  <w:num w:numId="13" w16cid:durableId="505873991">
    <w:abstractNumId w:val="15"/>
  </w:num>
  <w:num w:numId="14" w16cid:durableId="283074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8441">
    <w:abstractNumId w:val="14"/>
  </w:num>
  <w:num w:numId="16" w16cid:durableId="135613381">
    <w:abstractNumId w:val="16"/>
  </w:num>
  <w:num w:numId="17" w16cid:durableId="2070303057">
    <w:abstractNumId w:val="2"/>
  </w:num>
  <w:num w:numId="18" w16cid:durableId="1717315508">
    <w:abstractNumId w:val="0"/>
  </w:num>
  <w:num w:numId="19" w16cid:durableId="1749384634">
    <w:abstractNumId w:val="3"/>
  </w:num>
  <w:num w:numId="20" w16cid:durableId="629439031">
    <w:abstractNumId w:val="25"/>
  </w:num>
  <w:num w:numId="21" w16cid:durableId="1416248724">
    <w:abstractNumId w:val="13"/>
  </w:num>
  <w:num w:numId="22" w16cid:durableId="305009387">
    <w:abstractNumId w:val="8"/>
  </w:num>
  <w:num w:numId="23" w16cid:durableId="17440093">
    <w:abstractNumId w:val="7"/>
  </w:num>
  <w:num w:numId="24" w16cid:durableId="855654194">
    <w:abstractNumId w:val="26"/>
  </w:num>
  <w:num w:numId="25" w16cid:durableId="889461417">
    <w:abstractNumId w:val="24"/>
  </w:num>
  <w:num w:numId="26" w16cid:durableId="230384854">
    <w:abstractNumId w:val="22"/>
  </w:num>
  <w:num w:numId="27" w16cid:durableId="760373531">
    <w:abstractNumId w:val="11"/>
  </w:num>
  <w:num w:numId="28" w16cid:durableId="593317649">
    <w:abstractNumId w:val="6"/>
  </w:num>
  <w:num w:numId="29" w16cid:durableId="339087581">
    <w:abstractNumId w:val="12"/>
  </w:num>
  <w:num w:numId="30" w16cid:durableId="24519423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13"/>
    <w:rsid w:val="00000424"/>
    <w:rsid w:val="00001C78"/>
    <w:rsid w:val="00001CB3"/>
    <w:rsid w:val="0000200C"/>
    <w:rsid w:val="000020BF"/>
    <w:rsid w:val="00002163"/>
    <w:rsid w:val="00002986"/>
    <w:rsid w:val="00002ABE"/>
    <w:rsid w:val="00002E92"/>
    <w:rsid w:val="0000390D"/>
    <w:rsid w:val="00003986"/>
    <w:rsid w:val="00003D8C"/>
    <w:rsid w:val="00005047"/>
    <w:rsid w:val="000054C7"/>
    <w:rsid w:val="00005FE3"/>
    <w:rsid w:val="00007ED2"/>
    <w:rsid w:val="00011B2A"/>
    <w:rsid w:val="00012B37"/>
    <w:rsid w:val="00016333"/>
    <w:rsid w:val="00017954"/>
    <w:rsid w:val="00021320"/>
    <w:rsid w:val="00021C9A"/>
    <w:rsid w:val="00022CBB"/>
    <w:rsid w:val="00023217"/>
    <w:rsid w:val="00023BF3"/>
    <w:rsid w:val="000259AF"/>
    <w:rsid w:val="00026313"/>
    <w:rsid w:val="00026479"/>
    <w:rsid w:val="00030877"/>
    <w:rsid w:val="00031636"/>
    <w:rsid w:val="000322B3"/>
    <w:rsid w:val="000336D6"/>
    <w:rsid w:val="00033AB3"/>
    <w:rsid w:val="00033AC8"/>
    <w:rsid w:val="00033AD0"/>
    <w:rsid w:val="00033E63"/>
    <w:rsid w:val="000346A3"/>
    <w:rsid w:val="00034C40"/>
    <w:rsid w:val="00034C82"/>
    <w:rsid w:val="000354CE"/>
    <w:rsid w:val="0003616A"/>
    <w:rsid w:val="00036F6E"/>
    <w:rsid w:val="00037C30"/>
    <w:rsid w:val="000403D2"/>
    <w:rsid w:val="0004057A"/>
    <w:rsid w:val="0004070D"/>
    <w:rsid w:val="0004113A"/>
    <w:rsid w:val="0004214C"/>
    <w:rsid w:val="000439D9"/>
    <w:rsid w:val="00043C6C"/>
    <w:rsid w:val="00044DF5"/>
    <w:rsid w:val="0004665D"/>
    <w:rsid w:val="00046794"/>
    <w:rsid w:val="00047154"/>
    <w:rsid w:val="00047739"/>
    <w:rsid w:val="00047A66"/>
    <w:rsid w:val="00050021"/>
    <w:rsid w:val="0005181B"/>
    <w:rsid w:val="00051980"/>
    <w:rsid w:val="00051C80"/>
    <w:rsid w:val="00052E83"/>
    <w:rsid w:val="000532C9"/>
    <w:rsid w:val="00053A8F"/>
    <w:rsid w:val="00053C19"/>
    <w:rsid w:val="00057E9C"/>
    <w:rsid w:val="00060FAE"/>
    <w:rsid w:val="00061DAF"/>
    <w:rsid w:val="00062311"/>
    <w:rsid w:val="00062681"/>
    <w:rsid w:val="0006289F"/>
    <w:rsid w:val="00062A6B"/>
    <w:rsid w:val="00062BEC"/>
    <w:rsid w:val="0006354A"/>
    <w:rsid w:val="00063F24"/>
    <w:rsid w:val="00064526"/>
    <w:rsid w:val="000660FD"/>
    <w:rsid w:val="00066F89"/>
    <w:rsid w:val="00067DD7"/>
    <w:rsid w:val="0007013F"/>
    <w:rsid w:val="0007030C"/>
    <w:rsid w:val="000714BF"/>
    <w:rsid w:val="0007384F"/>
    <w:rsid w:val="00073EC0"/>
    <w:rsid w:val="0007454E"/>
    <w:rsid w:val="00074B27"/>
    <w:rsid w:val="00074EC8"/>
    <w:rsid w:val="00075AB7"/>
    <w:rsid w:val="00076F9F"/>
    <w:rsid w:val="00081B67"/>
    <w:rsid w:val="00081E71"/>
    <w:rsid w:val="00082816"/>
    <w:rsid w:val="000831C1"/>
    <w:rsid w:val="00083CA3"/>
    <w:rsid w:val="00085299"/>
    <w:rsid w:val="0008593E"/>
    <w:rsid w:val="00086155"/>
    <w:rsid w:val="00086FAF"/>
    <w:rsid w:val="00091CB2"/>
    <w:rsid w:val="000921B1"/>
    <w:rsid w:val="00093D98"/>
    <w:rsid w:val="00094D6E"/>
    <w:rsid w:val="00096862"/>
    <w:rsid w:val="00096D50"/>
    <w:rsid w:val="000971C8"/>
    <w:rsid w:val="00097309"/>
    <w:rsid w:val="00097715"/>
    <w:rsid w:val="00097ACC"/>
    <w:rsid w:val="000A1B55"/>
    <w:rsid w:val="000A1D4A"/>
    <w:rsid w:val="000A27EA"/>
    <w:rsid w:val="000A28EB"/>
    <w:rsid w:val="000A28FC"/>
    <w:rsid w:val="000A29B9"/>
    <w:rsid w:val="000A35AA"/>
    <w:rsid w:val="000A724A"/>
    <w:rsid w:val="000B0A53"/>
    <w:rsid w:val="000B147F"/>
    <w:rsid w:val="000B15BD"/>
    <w:rsid w:val="000B2896"/>
    <w:rsid w:val="000B2D97"/>
    <w:rsid w:val="000B345A"/>
    <w:rsid w:val="000B3B0E"/>
    <w:rsid w:val="000B6169"/>
    <w:rsid w:val="000B6404"/>
    <w:rsid w:val="000B7C0B"/>
    <w:rsid w:val="000C006F"/>
    <w:rsid w:val="000C0410"/>
    <w:rsid w:val="000C1902"/>
    <w:rsid w:val="000C1A27"/>
    <w:rsid w:val="000C1C2E"/>
    <w:rsid w:val="000C1E2B"/>
    <w:rsid w:val="000C214A"/>
    <w:rsid w:val="000C39FF"/>
    <w:rsid w:val="000C682E"/>
    <w:rsid w:val="000C6FDE"/>
    <w:rsid w:val="000C6FF3"/>
    <w:rsid w:val="000D16B3"/>
    <w:rsid w:val="000D3794"/>
    <w:rsid w:val="000D3850"/>
    <w:rsid w:val="000D4506"/>
    <w:rsid w:val="000D549A"/>
    <w:rsid w:val="000D58DB"/>
    <w:rsid w:val="000D5FC0"/>
    <w:rsid w:val="000D63C1"/>
    <w:rsid w:val="000D73B4"/>
    <w:rsid w:val="000D7806"/>
    <w:rsid w:val="000E1882"/>
    <w:rsid w:val="000E3A97"/>
    <w:rsid w:val="000E3E8A"/>
    <w:rsid w:val="000E4700"/>
    <w:rsid w:val="000E5349"/>
    <w:rsid w:val="000E7B35"/>
    <w:rsid w:val="000F0357"/>
    <w:rsid w:val="000F0CEE"/>
    <w:rsid w:val="000F3569"/>
    <w:rsid w:val="000F3618"/>
    <w:rsid w:val="000F5056"/>
    <w:rsid w:val="000F5FB3"/>
    <w:rsid w:val="000F7238"/>
    <w:rsid w:val="000F73DD"/>
    <w:rsid w:val="000F7950"/>
    <w:rsid w:val="0010029D"/>
    <w:rsid w:val="001004EA"/>
    <w:rsid w:val="001004F7"/>
    <w:rsid w:val="00100600"/>
    <w:rsid w:val="00100C1A"/>
    <w:rsid w:val="0010123C"/>
    <w:rsid w:val="001022AF"/>
    <w:rsid w:val="001022DB"/>
    <w:rsid w:val="0010427C"/>
    <w:rsid w:val="001049DE"/>
    <w:rsid w:val="00104B3F"/>
    <w:rsid w:val="00104C67"/>
    <w:rsid w:val="0010586A"/>
    <w:rsid w:val="00105C48"/>
    <w:rsid w:val="0011023C"/>
    <w:rsid w:val="00110DC5"/>
    <w:rsid w:val="001115E2"/>
    <w:rsid w:val="00111C58"/>
    <w:rsid w:val="0011390D"/>
    <w:rsid w:val="00113DDA"/>
    <w:rsid w:val="00114A14"/>
    <w:rsid w:val="001154E3"/>
    <w:rsid w:val="00116251"/>
    <w:rsid w:val="001172B2"/>
    <w:rsid w:val="0011740E"/>
    <w:rsid w:val="00120016"/>
    <w:rsid w:val="001203A8"/>
    <w:rsid w:val="001211C3"/>
    <w:rsid w:val="001218A2"/>
    <w:rsid w:val="00121CD5"/>
    <w:rsid w:val="00122AA1"/>
    <w:rsid w:val="00122C3B"/>
    <w:rsid w:val="00122DDF"/>
    <w:rsid w:val="00123037"/>
    <w:rsid w:val="001231C9"/>
    <w:rsid w:val="00123A43"/>
    <w:rsid w:val="001244B1"/>
    <w:rsid w:val="00124650"/>
    <w:rsid w:val="0012699D"/>
    <w:rsid w:val="001309EE"/>
    <w:rsid w:val="00130A15"/>
    <w:rsid w:val="00132AC2"/>
    <w:rsid w:val="00134633"/>
    <w:rsid w:val="001349CB"/>
    <w:rsid w:val="0013523E"/>
    <w:rsid w:val="00136EB5"/>
    <w:rsid w:val="001403A7"/>
    <w:rsid w:val="00140646"/>
    <w:rsid w:val="00141157"/>
    <w:rsid w:val="0014139C"/>
    <w:rsid w:val="00141455"/>
    <w:rsid w:val="001420B4"/>
    <w:rsid w:val="00142398"/>
    <w:rsid w:val="00144561"/>
    <w:rsid w:val="00144B77"/>
    <w:rsid w:val="00144F76"/>
    <w:rsid w:val="00145827"/>
    <w:rsid w:val="00147368"/>
    <w:rsid w:val="0015049D"/>
    <w:rsid w:val="00150940"/>
    <w:rsid w:val="0015127D"/>
    <w:rsid w:val="00151527"/>
    <w:rsid w:val="00151B27"/>
    <w:rsid w:val="001547F4"/>
    <w:rsid w:val="00154C9A"/>
    <w:rsid w:val="0015587F"/>
    <w:rsid w:val="00155E89"/>
    <w:rsid w:val="00160CA5"/>
    <w:rsid w:val="00161342"/>
    <w:rsid w:val="001625AA"/>
    <w:rsid w:val="00162CE1"/>
    <w:rsid w:val="0016332B"/>
    <w:rsid w:val="00163F45"/>
    <w:rsid w:val="00164AAB"/>
    <w:rsid w:val="00165001"/>
    <w:rsid w:val="001660BF"/>
    <w:rsid w:val="0016687B"/>
    <w:rsid w:val="00166D91"/>
    <w:rsid w:val="00167ECA"/>
    <w:rsid w:val="0017100B"/>
    <w:rsid w:val="00171EB3"/>
    <w:rsid w:val="00172D20"/>
    <w:rsid w:val="001751A5"/>
    <w:rsid w:val="0017692A"/>
    <w:rsid w:val="00177778"/>
    <w:rsid w:val="001827F2"/>
    <w:rsid w:val="00182C9E"/>
    <w:rsid w:val="00183540"/>
    <w:rsid w:val="00183D28"/>
    <w:rsid w:val="00185C59"/>
    <w:rsid w:val="00186411"/>
    <w:rsid w:val="0018707B"/>
    <w:rsid w:val="00187CAB"/>
    <w:rsid w:val="00191A0B"/>
    <w:rsid w:val="00191E4A"/>
    <w:rsid w:val="0019210A"/>
    <w:rsid w:val="00194A72"/>
    <w:rsid w:val="00194DEE"/>
    <w:rsid w:val="00197017"/>
    <w:rsid w:val="001A047F"/>
    <w:rsid w:val="001A131B"/>
    <w:rsid w:val="001A1B56"/>
    <w:rsid w:val="001A3AC3"/>
    <w:rsid w:val="001A49F4"/>
    <w:rsid w:val="001A4FFD"/>
    <w:rsid w:val="001A53E9"/>
    <w:rsid w:val="001A6E49"/>
    <w:rsid w:val="001B0A7C"/>
    <w:rsid w:val="001B11A5"/>
    <w:rsid w:val="001B1635"/>
    <w:rsid w:val="001B169F"/>
    <w:rsid w:val="001B3654"/>
    <w:rsid w:val="001B5451"/>
    <w:rsid w:val="001B5549"/>
    <w:rsid w:val="001B6121"/>
    <w:rsid w:val="001C1B66"/>
    <w:rsid w:val="001C25FF"/>
    <w:rsid w:val="001C29A0"/>
    <w:rsid w:val="001C2A93"/>
    <w:rsid w:val="001C4AA8"/>
    <w:rsid w:val="001C4B4A"/>
    <w:rsid w:val="001C53C6"/>
    <w:rsid w:val="001C6100"/>
    <w:rsid w:val="001C6428"/>
    <w:rsid w:val="001C6B96"/>
    <w:rsid w:val="001C74DF"/>
    <w:rsid w:val="001C7EAC"/>
    <w:rsid w:val="001D18E4"/>
    <w:rsid w:val="001D2015"/>
    <w:rsid w:val="001D3CD4"/>
    <w:rsid w:val="001D47F5"/>
    <w:rsid w:val="001D485E"/>
    <w:rsid w:val="001D4A2D"/>
    <w:rsid w:val="001D5C8F"/>
    <w:rsid w:val="001D6AFE"/>
    <w:rsid w:val="001E1055"/>
    <w:rsid w:val="001E376F"/>
    <w:rsid w:val="001E6A70"/>
    <w:rsid w:val="001E6AAF"/>
    <w:rsid w:val="001E6C6D"/>
    <w:rsid w:val="001E75E6"/>
    <w:rsid w:val="001E7CC1"/>
    <w:rsid w:val="001F02CD"/>
    <w:rsid w:val="001F1640"/>
    <w:rsid w:val="001F2782"/>
    <w:rsid w:val="001F362E"/>
    <w:rsid w:val="001F36CA"/>
    <w:rsid w:val="001F3F1B"/>
    <w:rsid w:val="001F3F85"/>
    <w:rsid w:val="001F5864"/>
    <w:rsid w:val="001F5D0E"/>
    <w:rsid w:val="001F6110"/>
    <w:rsid w:val="001F7C8D"/>
    <w:rsid w:val="00200290"/>
    <w:rsid w:val="00200E48"/>
    <w:rsid w:val="0020292A"/>
    <w:rsid w:val="00202D4D"/>
    <w:rsid w:val="00203190"/>
    <w:rsid w:val="002035E5"/>
    <w:rsid w:val="00203B82"/>
    <w:rsid w:val="00204369"/>
    <w:rsid w:val="00204542"/>
    <w:rsid w:val="00205898"/>
    <w:rsid w:val="002060D7"/>
    <w:rsid w:val="002069E4"/>
    <w:rsid w:val="00210DE2"/>
    <w:rsid w:val="002118C9"/>
    <w:rsid w:val="002129A3"/>
    <w:rsid w:val="0021708C"/>
    <w:rsid w:val="00220B2E"/>
    <w:rsid w:val="00221E5C"/>
    <w:rsid w:val="002224D8"/>
    <w:rsid w:val="002225DF"/>
    <w:rsid w:val="002227A5"/>
    <w:rsid w:val="00222908"/>
    <w:rsid w:val="00223F83"/>
    <w:rsid w:val="00224547"/>
    <w:rsid w:val="00224872"/>
    <w:rsid w:val="002249DD"/>
    <w:rsid w:val="002308E2"/>
    <w:rsid w:val="00230AD9"/>
    <w:rsid w:val="00230C1B"/>
    <w:rsid w:val="00231BC6"/>
    <w:rsid w:val="002325D8"/>
    <w:rsid w:val="002326F0"/>
    <w:rsid w:val="00233260"/>
    <w:rsid w:val="00233D30"/>
    <w:rsid w:val="00233F04"/>
    <w:rsid w:val="0023418E"/>
    <w:rsid w:val="00234B7B"/>
    <w:rsid w:val="00234FC6"/>
    <w:rsid w:val="002372DC"/>
    <w:rsid w:val="00237F84"/>
    <w:rsid w:val="0024094C"/>
    <w:rsid w:val="002428EC"/>
    <w:rsid w:val="00243795"/>
    <w:rsid w:val="00245722"/>
    <w:rsid w:val="0024674F"/>
    <w:rsid w:val="002473C0"/>
    <w:rsid w:val="002502C4"/>
    <w:rsid w:val="00250979"/>
    <w:rsid w:val="00251069"/>
    <w:rsid w:val="002530C7"/>
    <w:rsid w:val="0025322A"/>
    <w:rsid w:val="002533FF"/>
    <w:rsid w:val="002535DA"/>
    <w:rsid w:val="00254584"/>
    <w:rsid w:val="002546DF"/>
    <w:rsid w:val="002564D3"/>
    <w:rsid w:val="0025762A"/>
    <w:rsid w:val="00260755"/>
    <w:rsid w:val="00260B7D"/>
    <w:rsid w:val="002622DC"/>
    <w:rsid w:val="00262E0C"/>
    <w:rsid w:val="00263E95"/>
    <w:rsid w:val="00267822"/>
    <w:rsid w:val="00270D25"/>
    <w:rsid w:val="002711BF"/>
    <w:rsid w:val="002718B8"/>
    <w:rsid w:val="002723F3"/>
    <w:rsid w:val="00272F5D"/>
    <w:rsid w:val="002740EA"/>
    <w:rsid w:val="002766EC"/>
    <w:rsid w:val="0027674B"/>
    <w:rsid w:val="00276D89"/>
    <w:rsid w:val="00276F60"/>
    <w:rsid w:val="002801D8"/>
    <w:rsid w:val="00281B16"/>
    <w:rsid w:val="00281D97"/>
    <w:rsid w:val="0028233A"/>
    <w:rsid w:val="002825A6"/>
    <w:rsid w:val="002826B1"/>
    <w:rsid w:val="00283576"/>
    <w:rsid w:val="002838F6"/>
    <w:rsid w:val="0028462B"/>
    <w:rsid w:val="00284ED9"/>
    <w:rsid w:val="0028765F"/>
    <w:rsid w:val="00287E1F"/>
    <w:rsid w:val="00291916"/>
    <w:rsid w:val="00292693"/>
    <w:rsid w:val="002928E2"/>
    <w:rsid w:val="002929E6"/>
    <w:rsid w:val="002931CE"/>
    <w:rsid w:val="00294115"/>
    <w:rsid w:val="00296116"/>
    <w:rsid w:val="00296B37"/>
    <w:rsid w:val="002972D1"/>
    <w:rsid w:val="00297A5E"/>
    <w:rsid w:val="00297D8C"/>
    <w:rsid w:val="002A1200"/>
    <w:rsid w:val="002A2B82"/>
    <w:rsid w:val="002A3F26"/>
    <w:rsid w:val="002A40BD"/>
    <w:rsid w:val="002A5013"/>
    <w:rsid w:val="002A6AEC"/>
    <w:rsid w:val="002A6AFA"/>
    <w:rsid w:val="002A6F63"/>
    <w:rsid w:val="002A7518"/>
    <w:rsid w:val="002A758D"/>
    <w:rsid w:val="002B16A3"/>
    <w:rsid w:val="002B2E41"/>
    <w:rsid w:val="002B2FE4"/>
    <w:rsid w:val="002B5182"/>
    <w:rsid w:val="002B51BB"/>
    <w:rsid w:val="002B5342"/>
    <w:rsid w:val="002B58A6"/>
    <w:rsid w:val="002C08AD"/>
    <w:rsid w:val="002C156B"/>
    <w:rsid w:val="002C1CC3"/>
    <w:rsid w:val="002C2CD5"/>
    <w:rsid w:val="002C5793"/>
    <w:rsid w:val="002C6205"/>
    <w:rsid w:val="002C6F21"/>
    <w:rsid w:val="002C71CA"/>
    <w:rsid w:val="002D0026"/>
    <w:rsid w:val="002D10AF"/>
    <w:rsid w:val="002D1120"/>
    <w:rsid w:val="002D357D"/>
    <w:rsid w:val="002D3C77"/>
    <w:rsid w:val="002D498C"/>
    <w:rsid w:val="002D4D91"/>
    <w:rsid w:val="002D683E"/>
    <w:rsid w:val="002E05FA"/>
    <w:rsid w:val="002E16B4"/>
    <w:rsid w:val="002E21FD"/>
    <w:rsid w:val="002E25AF"/>
    <w:rsid w:val="002E2982"/>
    <w:rsid w:val="002E2AA1"/>
    <w:rsid w:val="002E43C0"/>
    <w:rsid w:val="002E55A1"/>
    <w:rsid w:val="002E5A46"/>
    <w:rsid w:val="002E605E"/>
    <w:rsid w:val="002E6337"/>
    <w:rsid w:val="002F0E0F"/>
    <w:rsid w:val="002F1CCD"/>
    <w:rsid w:val="002F268D"/>
    <w:rsid w:val="002F3EBE"/>
    <w:rsid w:val="002F3EC7"/>
    <w:rsid w:val="002F4F0D"/>
    <w:rsid w:val="002F5037"/>
    <w:rsid w:val="002F5558"/>
    <w:rsid w:val="002F56C2"/>
    <w:rsid w:val="002F58B7"/>
    <w:rsid w:val="002F68F1"/>
    <w:rsid w:val="002F6EC2"/>
    <w:rsid w:val="002F7C8B"/>
    <w:rsid w:val="0030042B"/>
    <w:rsid w:val="00300E27"/>
    <w:rsid w:val="00301B7E"/>
    <w:rsid w:val="00302001"/>
    <w:rsid w:val="0030207C"/>
    <w:rsid w:val="003025C1"/>
    <w:rsid w:val="00302FD1"/>
    <w:rsid w:val="00304AF4"/>
    <w:rsid w:val="003053DB"/>
    <w:rsid w:val="00305AC8"/>
    <w:rsid w:val="0031059D"/>
    <w:rsid w:val="003108E0"/>
    <w:rsid w:val="003113E4"/>
    <w:rsid w:val="00311893"/>
    <w:rsid w:val="003119F7"/>
    <w:rsid w:val="003120CD"/>
    <w:rsid w:val="0031213C"/>
    <w:rsid w:val="00312DAE"/>
    <w:rsid w:val="00313F96"/>
    <w:rsid w:val="003140A4"/>
    <w:rsid w:val="003142E1"/>
    <w:rsid w:val="003143FB"/>
    <w:rsid w:val="003145E5"/>
    <w:rsid w:val="0031508D"/>
    <w:rsid w:val="0031582F"/>
    <w:rsid w:val="00316161"/>
    <w:rsid w:val="00320FCE"/>
    <w:rsid w:val="00322717"/>
    <w:rsid w:val="0032342A"/>
    <w:rsid w:val="00323F72"/>
    <w:rsid w:val="00324B55"/>
    <w:rsid w:val="00325321"/>
    <w:rsid w:val="00325901"/>
    <w:rsid w:val="003259BE"/>
    <w:rsid w:val="00327ABA"/>
    <w:rsid w:val="00331912"/>
    <w:rsid w:val="00332C24"/>
    <w:rsid w:val="00334865"/>
    <w:rsid w:val="003348A5"/>
    <w:rsid w:val="00335F35"/>
    <w:rsid w:val="003360A2"/>
    <w:rsid w:val="00337FF7"/>
    <w:rsid w:val="0034285E"/>
    <w:rsid w:val="00342FF3"/>
    <w:rsid w:val="003434F9"/>
    <w:rsid w:val="00346742"/>
    <w:rsid w:val="003504E8"/>
    <w:rsid w:val="00354B74"/>
    <w:rsid w:val="00355C0B"/>
    <w:rsid w:val="0035763A"/>
    <w:rsid w:val="00357BD3"/>
    <w:rsid w:val="00360624"/>
    <w:rsid w:val="00360B3A"/>
    <w:rsid w:val="003627AB"/>
    <w:rsid w:val="00362FC8"/>
    <w:rsid w:val="0036371D"/>
    <w:rsid w:val="00363D03"/>
    <w:rsid w:val="00364865"/>
    <w:rsid w:val="00364CEE"/>
    <w:rsid w:val="00366EE2"/>
    <w:rsid w:val="00366EE5"/>
    <w:rsid w:val="00366F69"/>
    <w:rsid w:val="00367519"/>
    <w:rsid w:val="003679A9"/>
    <w:rsid w:val="00367F33"/>
    <w:rsid w:val="00370649"/>
    <w:rsid w:val="00370B05"/>
    <w:rsid w:val="00371AA5"/>
    <w:rsid w:val="00372A69"/>
    <w:rsid w:val="00372F2A"/>
    <w:rsid w:val="00373A4B"/>
    <w:rsid w:val="00375CCE"/>
    <w:rsid w:val="00375F83"/>
    <w:rsid w:val="00375F89"/>
    <w:rsid w:val="0037733A"/>
    <w:rsid w:val="00377FAB"/>
    <w:rsid w:val="00381B4D"/>
    <w:rsid w:val="00382913"/>
    <w:rsid w:val="00382AF4"/>
    <w:rsid w:val="0038357C"/>
    <w:rsid w:val="00383EEE"/>
    <w:rsid w:val="00385204"/>
    <w:rsid w:val="003854F1"/>
    <w:rsid w:val="0038593C"/>
    <w:rsid w:val="00385E5C"/>
    <w:rsid w:val="00386149"/>
    <w:rsid w:val="0038636F"/>
    <w:rsid w:val="003872EA"/>
    <w:rsid w:val="00387528"/>
    <w:rsid w:val="00387971"/>
    <w:rsid w:val="00390091"/>
    <w:rsid w:val="00390A89"/>
    <w:rsid w:val="00391F60"/>
    <w:rsid w:val="00393FE0"/>
    <w:rsid w:val="003978B8"/>
    <w:rsid w:val="00397FD4"/>
    <w:rsid w:val="003A01A1"/>
    <w:rsid w:val="003A02A1"/>
    <w:rsid w:val="003A13BB"/>
    <w:rsid w:val="003A42E5"/>
    <w:rsid w:val="003A5AFA"/>
    <w:rsid w:val="003B213E"/>
    <w:rsid w:val="003B23AC"/>
    <w:rsid w:val="003B2E24"/>
    <w:rsid w:val="003B3438"/>
    <w:rsid w:val="003B3CD5"/>
    <w:rsid w:val="003B4577"/>
    <w:rsid w:val="003B4AF8"/>
    <w:rsid w:val="003B4C8B"/>
    <w:rsid w:val="003B511F"/>
    <w:rsid w:val="003B59E6"/>
    <w:rsid w:val="003B61B9"/>
    <w:rsid w:val="003B6417"/>
    <w:rsid w:val="003C0537"/>
    <w:rsid w:val="003C0B0E"/>
    <w:rsid w:val="003C221E"/>
    <w:rsid w:val="003C3A09"/>
    <w:rsid w:val="003C4379"/>
    <w:rsid w:val="003C48F9"/>
    <w:rsid w:val="003C4E29"/>
    <w:rsid w:val="003C517E"/>
    <w:rsid w:val="003C5767"/>
    <w:rsid w:val="003C64B5"/>
    <w:rsid w:val="003C73E8"/>
    <w:rsid w:val="003D091D"/>
    <w:rsid w:val="003D128E"/>
    <w:rsid w:val="003D4462"/>
    <w:rsid w:val="003D6A9C"/>
    <w:rsid w:val="003E40BA"/>
    <w:rsid w:val="003E4D66"/>
    <w:rsid w:val="003E52B8"/>
    <w:rsid w:val="003E67BA"/>
    <w:rsid w:val="003E7063"/>
    <w:rsid w:val="003E70C8"/>
    <w:rsid w:val="003F066A"/>
    <w:rsid w:val="003F110E"/>
    <w:rsid w:val="003F195B"/>
    <w:rsid w:val="003F19F4"/>
    <w:rsid w:val="003F2DCE"/>
    <w:rsid w:val="003F2E87"/>
    <w:rsid w:val="003F2FE1"/>
    <w:rsid w:val="003F3941"/>
    <w:rsid w:val="003F3D05"/>
    <w:rsid w:val="003F5103"/>
    <w:rsid w:val="003F6439"/>
    <w:rsid w:val="003F6BE0"/>
    <w:rsid w:val="003F7609"/>
    <w:rsid w:val="003F7B1C"/>
    <w:rsid w:val="004004F1"/>
    <w:rsid w:val="00400806"/>
    <w:rsid w:val="004021F0"/>
    <w:rsid w:val="0040247D"/>
    <w:rsid w:val="0040249F"/>
    <w:rsid w:val="004027BB"/>
    <w:rsid w:val="00402E6B"/>
    <w:rsid w:val="00402F70"/>
    <w:rsid w:val="00403D5D"/>
    <w:rsid w:val="0040428A"/>
    <w:rsid w:val="004051B9"/>
    <w:rsid w:val="00405A7B"/>
    <w:rsid w:val="00406288"/>
    <w:rsid w:val="004073DE"/>
    <w:rsid w:val="00411B1B"/>
    <w:rsid w:val="00411B9B"/>
    <w:rsid w:val="00412CFB"/>
    <w:rsid w:val="0041518E"/>
    <w:rsid w:val="00416599"/>
    <w:rsid w:val="004170E9"/>
    <w:rsid w:val="0041711F"/>
    <w:rsid w:val="00417973"/>
    <w:rsid w:val="00417B82"/>
    <w:rsid w:val="0042112D"/>
    <w:rsid w:val="00422042"/>
    <w:rsid w:val="0042378B"/>
    <w:rsid w:val="00423F59"/>
    <w:rsid w:val="0042473F"/>
    <w:rsid w:val="004247A7"/>
    <w:rsid w:val="00424DA1"/>
    <w:rsid w:val="00425407"/>
    <w:rsid w:val="00425B36"/>
    <w:rsid w:val="00426156"/>
    <w:rsid w:val="00426CE8"/>
    <w:rsid w:val="004271EB"/>
    <w:rsid w:val="004278F1"/>
    <w:rsid w:val="00427B6A"/>
    <w:rsid w:val="00427C5F"/>
    <w:rsid w:val="0043025C"/>
    <w:rsid w:val="00431327"/>
    <w:rsid w:val="00431329"/>
    <w:rsid w:val="00431912"/>
    <w:rsid w:val="00432FE8"/>
    <w:rsid w:val="004330A5"/>
    <w:rsid w:val="004335F9"/>
    <w:rsid w:val="00434E97"/>
    <w:rsid w:val="0044031F"/>
    <w:rsid w:val="004406A8"/>
    <w:rsid w:val="00440DB5"/>
    <w:rsid w:val="00441AFB"/>
    <w:rsid w:val="00441D3A"/>
    <w:rsid w:val="00441D7A"/>
    <w:rsid w:val="00442651"/>
    <w:rsid w:val="00442CB2"/>
    <w:rsid w:val="004456CC"/>
    <w:rsid w:val="0044584E"/>
    <w:rsid w:val="0044594C"/>
    <w:rsid w:val="004472D5"/>
    <w:rsid w:val="00450C27"/>
    <w:rsid w:val="00450D0E"/>
    <w:rsid w:val="004510CB"/>
    <w:rsid w:val="00452CE5"/>
    <w:rsid w:val="00452E15"/>
    <w:rsid w:val="00454C63"/>
    <w:rsid w:val="00455A55"/>
    <w:rsid w:val="00455F26"/>
    <w:rsid w:val="00456895"/>
    <w:rsid w:val="00457157"/>
    <w:rsid w:val="004573DE"/>
    <w:rsid w:val="00457BDE"/>
    <w:rsid w:val="00457E70"/>
    <w:rsid w:val="004602F7"/>
    <w:rsid w:val="00460E80"/>
    <w:rsid w:val="00460F6D"/>
    <w:rsid w:val="00461674"/>
    <w:rsid w:val="00461ED6"/>
    <w:rsid w:val="00462073"/>
    <w:rsid w:val="004621BB"/>
    <w:rsid w:val="00462513"/>
    <w:rsid w:val="00462B08"/>
    <w:rsid w:val="00462B49"/>
    <w:rsid w:val="00462CAA"/>
    <w:rsid w:val="00462F8D"/>
    <w:rsid w:val="004630C0"/>
    <w:rsid w:val="004638B1"/>
    <w:rsid w:val="00464D7A"/>
    <w:rsid w:val="00464E50"/>
    <w:rsid w:val="004669E6"/>
    <w:rsid w:val="004674FF"/>
    <w:rsid w:val="004676AC"/>
    <w:rsid w:val="00467AD6"/>
    <w:rsid w:val="00471667"/>
    <w:rsid w:val="00471CD3"/>
    <w:rsid w:val="00473436"/>
    <w:rsid w:val="004734CD"/>
    <w:rsid w:val="00474881"/>
    <w:rsid w:val="004751C3"/>
    <w:rsid w:val="0047715F"/>
    <w:rsid w:val="00481830"/>
    <w:rsid w:val="00481992"/>
    <w:rsid w:val="004822CF"/>
    <w:rsid w:val="004829E0"/>
    <w:rsid w:val="00483D3B"/>
    <w:rsid w:val="004850B4"/>
    <w:rsid w:val="00485485"/>
    <w:rsid w:val="00485812"/>
    <w:rsid w:val="004860E1"/>
    <w:rsid w:val="004902CB"/>
    <w:rsid w:val="00491A65"/>
    <w:rsid w:val="00493EB8"/>
    <w:rsid w:val="00493F86"/>
    <w:rsid w:val="004944C9"/>
    <w:rsid w:val="0049468C"/>
    <w:rsid w:val="004947AC"/>
    <w:rsid w:val="0049493F"/>
    <w:rsid w:val="0049510B"/>
    <w:rsid w:val="0049554E"/>
    <w:rsid w:val="00496D90"/>
    <w:rsid w:val="00496F7B"/>
    <w:rsid w:val="00496FF6"/>
    <w:rsid w:val="0049788E"/>
    <w:rsid w:val="00497932"/>
    <w:rsid w:val="00497D58"/>
    <w:rsid w:val="004A161D"/>
    <w:rsid w:val="004A16BF"/>
    <w:rsid w:val="004A2903"/>
    <w:rsid w:val="004A2A60"/>
    <w:rsid w:val="004A2E83"/>
    <w:rsid w:val="004A2F24"/>
    <w:rsid w:val="004A3138"/>
    <w:rsid w:val="004A4EE8"/>
    <w:rsid w:val="004A5365"/>
    <w:rsid w:val="004A65AF"/>
    <w:rsid w:val="004A72A8"/>
    <w:rsid w:val="004B000F"/>
    <w:rsid w:val="004B02F9"/>
    <w:rsid w:val="004B0F46"/>
    <w:rsid w:val="004B114F"/>
    <w:rsid w:val="004B13FB"/>
    <w:rsid w:val="004B2A45"/>
    <w:rsid w:val="004B39AC"/>
    <w:rsid w:val="004B3B62"/>
    <w:rsid w:val="004B3F56"/>
    <w:rsid w:val="004B5B63"/>
    <w:rsid w:val="004B5C9A"/>
    <w:rsid w:val="004B7256"/>
    <w:rsid w:val="004B7B20"/>
    <w:rsid w:val="004C0615"/>
    <w:rsid w:val="004C0A80"/>
    <w:rsid w:val="004C1587"/>
    <w:rsid w:val="004C1D98"/>
    <w:rsid w:val="004C2FC3"/>
    <w:rsid w:val="004C31F6"/>
    <w:rsid w:val="004C3A40"/>
    <w:rsid w:val="004C3EA9"/>
    <w:rsid w:val="004C4249"/>
    <w:rsid w:val="004C474C"/>
    <w:rsid w:val="004C5681"/>
    <w:rsid w:val="004C6EDF"/>
    <w:rsid w:val="004C77D1"/>
    <w:rsid w:val="004D0E47"/>
    <w:rsid w:val="004D26C8"/>
    <w:rsid w:val="004D2813"/>
    <w:rsid w:val="004D32FD"/>
    <w:rsid w:val="004D3A1A"/>
    <w:rsid w:val="004D4A70"/>
    <w:rsid w:val="004D4AD8"/>
    <w:rsid w:val="004D570D"/>
    <w:rsid w:val="004D5B22"/>
    <w:rsid w:val="004D68B9"/>
    <w:rsid w:val="004E3BD3"/>
    <w:rsid w:val="004E3C47"/>
    <w:rsid w:val="004E4F82"/>
    <w:rsid w:val="004E5013"/>
    <w:rsid w:val="004E5B88"/>
    <w:rsid w:val="004E5C91"/>
    <w:rsid w:val="004E64CA"/>
    <w:rsid w:val="004E6B70"/>
    <w:rsid w:val="004E6C56"/>
    <w:rsid w:val="004E6DF5"/>
    <w:rsid w:val="004E7B83"/>
    <w:rsid w:val="004F0C09"/>
    <w:rsid w:val="004F5C23"/>
    <w:rsid w:val="004F607E"/>
    <w:rsid w:val="004F666A"/>
    <w:rsid w:val="004F6F3C"/>
    <w:rsid w:val="004F72F5"/>
    <w:rsid w:val="00500820"/>
    <w:rsid w:val="00500B23"/>
    <w:rsid w:val="00500B39"/>
    <w:rsid w:val="005025AB"/>
    <w:rsid w:val="00502A7D"/>
    <w:rsid w:val="00503161"/>
    <w:rsid w:val="005036D5"/>
    <w:rsid w:val="00505374"/>
    <w:rsid w:val="005066AE"/>
    <w:rsid w:val="00506E2E"/>
    <w:rsid w:val="005073B3"/>
    <w:rsid w:val="00510A7E"/>
    <w:rsid w:val="00511419"/>
    <w:rsid w:val="0051159A"/>
    <w:rsid w:val="00511F30"/>
    <w:rsid w:val="00512AAB"/>
    <w:rsid w:val="00512D31"/>
    <w:rsid w:val="00512E55"/>
    <w:rsid w:val="005138A8"/>
    <w:rsid w:val="00514686"/>
    <w:rsid w:val="00517A0D"/>
    <w:rsid w:val="0052118D"/>
    <w:rsid w:val="0052177F"/>
    <w:rsid w:val="00521A5A"/>
    <w:rsid w:val="00522097"/>
    <w:rsid w:val="0052225C"/>
    <w:rsid w:val="00522381"/>
    <w:rsid w:val="00525CF3"/>
    <w:rsid w:val="00527443"/>
    <w:rsid w:val="00532263"/>
    <w:rsid w:val="00533425"/>
    <w:rsid w:val="00533F60"/>
    <w:rsid w:val="00534899"/>
    <w:rsid w:val="005377AF"/>
    <w:rsid w:val="00537984"/>
    <w:rsid w:val="005418C2"/>
    <w:rsid w:val="005419B0"/>
    <w:rsid w:val="00542C38"/>
    <w:rsid w:val="00543B6C"/>
    <w:rsid w:val="005453D8"/>
    <w:rsid w:val="00545702"/>
    <w:rsid w:val="005476D3"/>
    <w:rsid w:val="005502A4"/>
    <w:rsid w:val="00551688"/>
    <w:rsid w:val="00551AAD"/>
    <w:rsid w:val="00554CCD"/>
    <w:rsid w:val="00554F1B"/>
    <w:rsid w:val="00556C4F"/>
    <w:rsid w:val="00557EF9"/>
    <w:rsid w:val="005601D0"/>
    <w:rsid w:val="00560448"/>
    <w:rsid w:val="005613BA"/>
    <w:rsid w:val="005616A1"/>
    <w:rsid w:val="00561FC1"/>
    <w:rsid w:val="005623D1"/>
    <w:rsid w:val="0056294A"/>
    <w:rsid w:val="00563175"/>
    <w:rsid w:val="00563B8E"/>
    <w:rsid w:val="005640DC"/>
    <w:rsid w:val="005649AD"/>
    <w:rsid w:val="0056504D"/>
    <w:rsid w:val="00565217"/>
    <w:rsid w:val="00565282"/>
    <w:rsid w:val="005658C2"/>
    <w:rsid w:val="00565E96"/>
    <w:rsid w:val="00566A4D"/>
    <w:rsid w:val="005672D0"/>
    <w:rsid w:val="00567480"/>
    <w:rsid w:val="00567E33"/>
    <w:rsid w:val="00571BD1"/>
    <w:rsid w:val="00572E93"/>
    <w:rsid w:val="00574F54"/>
    <w:rsid w:val="00575B31"/>
    <w:rsid w:val="00575D08"/>
    <w:rsid w:val="0058078D"/>
    <w:rsid w:val="005807D6"/>
    <w:rsid w:val="00580F44"/>
    <w:rsid w:val="0058171C"/>
    <w:rsid w:val="00582334"/>
    <w:rsid w:val="0058234F"/>
    <w:rsid w:val="0058275C"/>
    <w:rsid w:val="00582767"/>
    <w:rsid w:val="005832F0"/>
    <w:rsid w:val="005839FE"/>
    <w:rsid w:val="0058411B"/>
    <w:rsid w:val="00584180"/>
    <w:rsid w:val="005850FF"/>
    <w:rsid w:val="00585692"/>
    <w:rsid w:val="005859CE"/>
    <w:rsid w:val="00591119"/>
    <w:rsid w:val="005930EC"/>
    <w:rsid w:val="00594D46"/>
    <w:rsid w:val="00596590"/>
    <w:rsid w:val="00596720"/>
    <w:rsid w:val="005973B4"/>
    <w:rsid w:val="005A0CC6"/>
    <w:rsid w:val="005A0DC3"/>
    <w:rsid w:val="005A1C84"/>
    <w:rsid w:val="005A1CCC"/>
    <w:rsid w:val="005A2A6D"/>
    <w:rsid w:val="005A2FA9"/>
    <w:rsid w:val="005A3995"/>
    <w:rsid w:val="005A3D11"/>
    <w:rsid w:val="005A432A"/>
    <w:rsid w:val="005A49BC"/>
    <w:rsid w:val="005A5940"/>
    <w:rsid w:val="005A5EE8"/>
    <w:rsid w:val="005A67C6"/>
    <w:rsid w:val="005B1727"/>
    <w:rsid w:val="005B1C66"/>
    <w:rsid w:val="005B23C7"/>
    <w:rsid w:val="005B2D9C"/>
    <w:rsid w:val="005B3B39"/>
    <w:rsid w:val="005B3FA5"/>
    <w:rsid w:val="005B528F"/>
    <w:rsid w:val="005B5831"/>
    <w:rsid w:val="005B7CB2"/>
    <w:rsid w:val="005C0571"/>
    <w:rsid w:val="005C0BD0"/>
    <w:rsid w:val="005C1839"/>
    <w:rsid w:val="005C2614"/>
    <w:rsid w:val="005C36AD"/>
    <w:rsid w:val="005C3843"/>
    <w:rsid w:val="005C414E"/>
    <w:rsid w:val="005C5A05"/>
    <w:rsid w:val="005C6480"/>
    <w:rsid w:val="005D0510"/>
    <w:rsid w:val="005D1222"/>
    <w:rsid w:val="005D1800"/>
    <w:rsid w:val="005D27E5"/>
    <w:rsid w:val="005D2BFB"/>
    <w:rsid w:val="005D3CB2"/>
    <w:rsid w:val="005D3DAE"/>
    <w:rsid w:val="005D7265"/>
    <w:rsid w:val="005D76E3"/>
    <w:rsid w:val="005D7B84"/>
    <w:rsid w:val="005E01FA"/>
    <w:rsid w:val="005E0913"/>
    <w:rsid w:val="005E0CB0"/>
    <w:rsid w:val="005E14F7"/>
    <w:rsid w:val="005E1919"/>
    <w:rsid w:val="005E24E8"/>
    <w:rsid w:val="005E27BE"/>
    <w:rsid w:val="005E28E2"/>
    <w:rsid w:val="005E34E3"/>
    <w:rsid w:val="005E3513"/>
    <w:rsid w:val="005E3848"/>
    <w:rsid w:val="005E444F"/>
    <w:rsid w:val="005E585D"/>
    <w:rsid w:val="005E64A3"/>
    <w:rsid w:val="005F08A4"/>
    <w:rsid w:val="005F1F38"/>
    <w:rsid w:val="005F337B"/>
    <w:rsid w:val="005F33EB"/>
    <w:rsid w:val="005F35F0"/>
    <w:rsid w:val="005F3BD3"/>
    <w:rsid w:val="005F574D"/>
    <w:rsid w:val="005F65F3"/>
    <w:rsid w:val="005F7A0B"/>
    <w:rsid w:val="00601503"/>
    <w:rsid w:val="00601CBB"/>
    <w:rsid w:val="00604CB9"/>
    <w:rsid w:val="00604D00"/>
    <w:rsid w:val="00605222"/>
    <w:rsid w:val="00605D4E"/>
    <w:rsid w:val="00605DF8"/>
    <w:rsid w:val="00606DC8"/>
    <w:rsid w:val="006072F3"/>
    <w:rsid w:val="00607543"/>
    <w:rsid w:val="00610954"/>
    <w:rsid w:val="00611C32"/>
    <w:rsid w:val="00612D8C"/>
    <w:rsid w:val="00612DC1"/>
    <w:rsid w:val="006141BC"/>
    <w:rsid w:val="00614670"/>
    <w:rsid w:val="00614765"/>
    <w:rsid w:val="0061505B"/>
    <w:rsid w:val="0061526B"/>
    <w:rsid w:val="006158FA"/>
    <w:rsid w:val="00615983"/>
    <w:rsid w:val="00616E68"/>
    <w:rsid w:val="006202D6"/>
    <w:rsid w:val="0062243B"/>
    <w:rsid w:val="00623846"/>
    <w:rsid w:val="0062587D"/>
    <w:rsid w:val="00626830"/>
    <w:rsid w:val="00632108"/>
    <w:rsid w:val="006324C1"/>
    <w:rsid w:val="00632C6D"/>
    <w:rsid w:val="0063346C"/>
    <w:rsid w:val="00633A9B"/>
    <w:rsid w:val="006341F7"/>
    <w:rsid w:val="00634590"/>
    <w:rsid w:val="0063524F"/>
    <w:rsid w:val="00635823"/>
    <w:rsid w:val="00636763"/>
    <w:rsid w:val="00636B30"/>
    <w:rsid w:val="00636FB5"/>
    <w:rsid w:val="00637512"/>
    <w:rsid w:val="00637E27"/>
    <w:rsid w:val="00641110"/>
    <w:rsid w:val="00641139"/>
    <w:rsid w:val="0064123D"/>
    <w:rsid w:val="0064230B"/>
    <w:rsid w:val="00642B6E"/>
    <w:rsid w:val="00643DA0"/>
    <w:rsid w:val="0064506E"/>
    <w:rsid w:val="00645D58"/>
    <w:rsid w:val="006472E5"/>
    <w:rsid w:val="00647346"/>
    <w:rsid w:val="00647707"/>
    <w:rsid w:val="0064774B"/>
    <w:rsid w:val="00647896"/>
    <w:rsid w:val="006479C4"/>
    <w:rsid w:val="00647B48"/>
    <w:rsid w:val="00651A14"/>
    <w:rsid w:val="00654D5F"/>
    <w:rsid w:val="0065647F"/>
    <w:rsid w:val="006571ED"/>
    <w:rsid w:val="00660E1B"/>
    <w:rsid w:val="0066193C"/>
    <w:rsid w:val="00661AB1"/>
    <w:rsid w:val="0066232F"/>
    <w:rsid w:val="00662ABA"/>
    <w:rsid w:val="00663B3C"/>
    <w:rsid w:val="006668D3"/>
    <w:rsid w:val="00666BE1"/>
    <w:rsid w:val="0066730A"/>
    <w:rsid w:val="006678C7"/>
    <w:rsid w:val="006700C7"/>
    <w:rsid w:val="006712B6"/>
    <w:rsid w:val="00673509"/>
    <w:rsid w:val="00673D3E"/>
    <w:rsid w:val="0067545B"/>
    <w:rsid w:val="0067568B"/>
    <w:rsid w:val="00675F88"/>
    <w:rsid w:val="00675FD0"/>
    <w:rsid w:val="00676982"/>
    <w:rsid w:val="006772D5"/>
    <w:rsid w:val="00680CA3"/>
    <w:rsid w:val="00680E29"/>
    <w:rsid w:val="00681C97"/>
    <w:rsid w:val="00682108"/>
    <w:rsid w:val="00682533"/>
    <w:rsid w:val="006828CB"/>
    <w:rsid w:val="00683E0B"/>
    <w:rsid w:val="00684848"/>
    <w:rsid w:val="00685E4A"/>
    <w:rsid w:val="00690FA5"/>
    <w:rsid w:val="00691302"/>
    <w:rsid w:val="00691D78"/>
    <w:rsid w:val="00693C3F"/>
    <w:rsid w:val="00694A52"/>
    <w:rsid w:val="00695628"/>
    <w:rsid w:val="00695A5C"/>
    <w:rsid w:val="00695D24"/>
    <w:rsid w:val="00696491"/>
    <w:rsid w:val="0069665E"/>
    <w:rsid w:val="006968BF"/>
    <w:rsid w:val="006972F6"/>
    <w:rsid w:val="006973FF"/>
    <w:rsid w:val="00697879"/>
    <w:rsid w:val="00697BD4"/>
    <w:rsid w:val="00697F24"/>
    <w:rsid w:val="006A04F1"/>
    <w:rsid w:val="006A0759"/>
    <w:rsid w:val="006A11E0"/>
    <w:rsid w:val="006A57A3"/>
    <w:rsid w:val="006A6C5A"/>
    <w:rsid w:val="006A7BF6"/>
    <w:rsid w:val="006A7C36"/>
    <w:rsid w:val="006A7E07"/>
    <w:rsid w:val="006B0D8E"/>
    <w:rsid w:val="006B1060"/>
    <w:rsid w:val="006B1C4D"/>
    <w:rsid w:val="006B2B2C"/>
    <w:rsid w:val="006B5B71"/>
    <w:rsid w:val="006B70E6"/>
    <w:rsid w:val="006C3CF5"/>
    <w:rsid w:val="006C45D2"/>
    <w:rsid w:val="006C48F4"/>
    <w:rsid w:val="006C4D7A"/>
    <w:rsid w:val="006C5C40"/>
    <w:rsid w:val="006C5D3C"/>
    <w:rsid w:val="006C629C"/>
    <w:rsid w:val="006C66D6"/>
    <w:rsid w:val="006C742D"/>
    <w:rsid w:val="006D0DCF"/>
    <w:rsid w:val="006D1D1D"/>
    <w:rsid w:val="006D20B5"/>
    <w:rsid w:val="006D2CC0"/>
    <w:rsid w:val="006D30CC"/>
    <w:rsid w:val="006D3761"/>
    <w:rsid w:val="006D4B8F"/>
    <w:rsid w:val="006D55B6"/>
    <w:rsid w:val="006D6E54"/>
    <w:rsid w:val="006E00D7"/>
    <w:rsid w:val="006E108D"/>
    <w:rsid w:val="006E2212"/>
    <w:rsid w:val="006E2C75"/>
    <w:rsid w:val="006E35D0"/>
    <w:rsid w:val="006E489C"/>
    <w:rsid w:val="006E4CFF"/>
    <w:rsid w:val="006E4F75"/>
    <w:rsid w:val="006E5D6B"/>
    <w:rsid w:val="006E67BB"/>
    <w:rsid w:val="006E7031"/>
    <w:rsid w:val="006E7949"/>
    <w:rsid w:val="006E79F6"/>
    <w:rsid w:val="006F0A00"/>
    <w:rsid w:val="006F260D"/>
    <w:rsid w:val="006F2D25"/>
    <w:rsid w:val="006F35FA"/>
    <w:rsid w:val="006F3C7F"/>
    <w:rsid w:val="006F4526"/>
    <w:rsid w:val="006F53BD"/>
    <w:rsid w:val="006F56AC"/>
    <w:rsid w:val="006F5955"/>
    <w:rsid w:val="006F5966"/>
    <w:rsid w:val="006F62E7"/>
    <w:rsid w:val="006F71B8"/>
    <w:rsid w:val="006F7594"/>
    <w:rsid w:val="007006D4"/>
    <w:rsid w:val="0070321D"/>
    <w:rsid w:val="00703D91"/>
    <w:rsid w:val="00704625"/>
    <w:rsid w:val="00706836"/>
    <w:rsid w:val="0070684F"/>
    <w:rsid w:val="00706FC9"/>
    <w:rsid w:val="007071CC"/>
    <w:rsid w:val="007071F4"/>
    <w:rsid w:val="007075BD"/>
    <w:rsid w:val="007108B0"/>
    <w:rsid w:val="00713408"/>
    <w:rsid w:val="0071411B"/>
    <w:rsid w:val="007157C9"/>
    <w:rsid w:val="00715D83"/>
    <w:rsid w:val="00717235"/>
    <w:rsid w:val="007174BC"/>
    <w:rsid w:val="007215AF"/>
    <w:rsid w:val="00721F4E"/>
    <w:rsid w:val="00722090"/>
    <w:rsid w:val="00722130"/>
    <w:rsid w:val="00722D76"/>
    <w:rsid w:val="00723AE4"/>
    <w:rsid w:val="00724107"/>
    <w:rsid w:val="007243DE"/>
    <w:rsid w:val="0072587A"/>
    <w:rsid w:val="00725F8E"/>
    <w:rsid w:val="007262C3"/>
    <w:rsid w:val="0072632B"/>
    <w:rsid w:val="00727D39"/>
    <w:rsid w:val="00727E26"/>
    <w:rsid w:val="0073049C"/>
    <w:rsid w:val="00731B19"/>
    <w:rsid w:val="00732B7B"/>
    <w:rsid w:val="00733149"/>
    <w:rsid w:val="00734A0C"/>
    <w:rsid w:val="00734B4B"/>
    <w:rsid w:val="00734C33"/>
    <w:rsid w:val="00735F97"/>
    <w:rsid w:val="007364B6"/>
    <w:rsid w:val="00736B55"/>
    <w:rsid w:val="00737D7B"/>
    <w:rsid w:val="00737EB3"/>
    <w:rsid w:val="007405D9"/>
    <w:rsid w:val="00742D58"/>
    <w:rsid w:val="00742F01"/>
    <w:rsid w:val="00743DAA"/>
    <w:rsid w:val="00744AA2"/>
    <w:rsid w:val="00744DF8"/>
    <w:rsid w:val="00745A58"/>
    <w:rsid w:val="00746068"/>
    <w:rsid w:val="00747C5D"/>
    <w:rsid w:val="007504CB"/>
    <w:rsid w:val="00750529"/>
    <w:rsid w:val="00751040"/>
    <w:rsid w:val="00751A9F"/>
    <w:rsid w:val="00752138"/>
    <w:rsid w:val="00753771"/>
    <w:rsid w:val="0075464E"/>
    <w:rsid w:val="00754912"/>
    <w:rsid w:val="00755B1F"/>
    <w:rsid w:val="00755C31"/>
    <w:rsid w:val="00756DB9"/>
    <w:rsid w:val="00761BEE"/>
    <w:rsid w:val="00761E21"/>
    <w:rsid w:val="00762334"/>
    <w:rsid w:val="007651F3"/>
    <w:rsid w:val="00766869"/>
    <w:rsid w:val="00766D2F"/>
    <w:rsid w:val="007675C5"/>
    <w:rsid w:val="007701EB"/>
    <w:rsid w:val="007705B7"/>
    <w:rsid w:val="007712F6"/>
    <w:rsid w:val="00771564"/>
    <w:rsid w:val="007718FD"/>
    <w:rsid w:val="00772119"/>
    <w:rsid w:val="007731ED"/>
    <w:rsid w:val="00774CD0"/>
    <w:rsid w:val="00775E85"/>
    <w:rsid w:val="007773D1"/>
    <w:rsid w:val="007806A2"/>
    <w:rsid w:val="00780742"/>
    <w:rsid w:val="00780BFB"/>
    <w:rsid w:val="007810FD"/>
    <w:rsid w:val="007829CC"/>
    <w:rsid w:val="007829F5"/>
    <w:rsid w:val="00782C78"/>
    <w:rsid w:val="0078329E"/>
    <w:rsid w:val="007854A0"/>
    <w:rsid w:val="0078592D"/>
    <w:rsid w:val="00785AC7"/>
    <w:rsid w:val="00785AF4"/>
    <w:rsid w:val="0078632D"/>
    <w:rsid w:val="00786931"/>
    <w:rsid w:val="007869C8"/>
    <w:rsid w:val="00787156"/>
    <w:rsid w:val="00787B2D"/>
    <w:rsid w:val="007909BF"/>
    <w:rsid w:val="00793432"/>
    <w:rsid w:val="00793D81"/>
    <w:rsid w:val="007964F0"/>
    <w:rsid w:val="007967FF"/>
    <w:rsid w:val="00797708"/>
    <w:rsid w:val="007978F6"/>
    <w:rsid w:val="007A05D3"/>
    <w:rsid w:val="007A2E95"/>
    <w:rsid w:val="007A340D"/>
    <w:rsid w:val="007A3AB3"/>
    <w:rsid w:val="007A443A"/>
    <w:rsid w:val="007A4E36"/>
    <w:rsid w:val="007A544C"/>
    <w:rsid w:val="007A572B"/>
    <w:rsid w:val="007A5D61"/>
    <w:rsid w:val="007A6186"/>
    <w:rsid w:val="007A653F"/>
    <w:rsid w:val="007A6EDB"/>
    <w:rsid w:val="007A70EA"/>
    <w:rsid w:val="007B0650"/>
    <w:rsid w:val="007B1C2A"/>
    <w:rsid w:val="007B27E4"/>
    <w:rsid w:val="007B3974"/>
    <w:rsid w:val="007B48E8"/>
    <w:rsid w:val="007B63DE"/>
    <w:rsid w:val="007B65CE"/>
    <w:rsid w:val="007B6F3A"/>
    <w:rsid w:val="007C1281"/>
    <w:rsid w:val="007C14A1"/>
    <w:rsid w:val="007C15B3"/>
    <w:rsid w:val="007C221F"/>
    <w:rsid w:val="007C34D0"/>
    <w:rsid w:val="007C42E3"/>
    <w:rsid w:val="007C47AB"/>
    <w:rsid w:val="007C5E77"/>
    <w:rsid w:val="007C6CBB"/>
    <w:rsid w:val="007D0F45"/>
    <w:rsid w:val="007D31EE"/>
    <w:rsid w:val="007D3981"/>
    <w:rsid w:val="007D3AA3"/>
    <w:rsid w:val="007D583F"/>
    <w:rsid w:val="007D6979"/>
    <w:rsid w:val="007D6CFC"/>
    <w:rsid w:val="007D6D64"/>
    <w:rsid w:val="007D73A1"/>
    <w:rsid w:val="007D7825"/>
    <w:rsid w:val="007D7C50"/>
    <w:rsid w:val="007D7CBD"/>
    <w:rsid w:val="007E26B4"/>
    <w:rsid w:val="007E334A"/>
    <w:rsid w:val="007E423F"/>
    <w:rsid w:val="007E4595"/>
    <w:rsid w:val="007E4EFE"/>
    <w:rsid w:val="007E5490"/>
    <w:rsid w:val="007E604B"/>
    <w:rsid w:val="007E72A0"/>
    <w:rsid w:val="007E7367"/>
    <w:rsid w:val="007F0156"/>
    <w:rsid w:val="007F0FA1"/>
    <w:rsid w:val="007F1767"/>
    <w:rsid w:val="007F3B62"/>
    <w:rsid w:val="007F445C"/>
    <w:rsid w:val="007F4B10"/>
    <w:rsid w:val="007F4D4A"/>
    <w:rsid w:val="007F65C0"/>
    <w:rsid w:val="007F6AD1"/>
    <w:rsid w:val="0080273A"/>
    <w:rsid w:val="00802847"/>
    <w:rsid w:val="00802D39"/>
    <w:rsid w:val="00802D95"/>
    <w:rsid w:val="00804F0C"/>
    <w:rsid w:val="0080573E"/>
    <w:rsid w:val="00805C63"/>
    <w:rsid w:val="00807AE8"/>
    <w:rsid w:val="00807B9E"/>
    <w:rsid w:val="00811243"/>
    <w:rsid w:val="008112D5"/>
    <w:rsid w:val="00811871"/>
    <w:rsid w:val="008120E3"/>
    <w:rsid w:val="008123FD"/>
    <w:rsid w:val="0081301C"/>
    <w:rsid w:val="00813D11"/>
    <w:rsid w:val="00813F1D"/>
    <w:rsid w:val="00814389"/>
    <w:rsid w:val="00814A03"/>
    <w:rsid w:val="00814CC2"/>
    <w:rsid w:val="00817171"/>
    <w:rsid w:val="008202BD"/>
    <w:rsid w:val="008205DF"/>
    <w:rsid w:val="0082062E"/>
    <w:rsid w:val="0082226B"/>
    <w:rsid w:val="00822895"/>
    <w:rsid w:val="0082366B"/>
    <w:rsid w:val="00823868"/>
    <w:rsid w:val="00823DA8"/>
    <w:rsid w:val="00824939"/>
    <w:rsid w:val="008260A5"/>
    <w:rsid w:val="008273F5"/>
    <w:rsid w:val="0083105F"/>
    <w:rsid w:val="00831C82"/>
    <w:rsid w:val="008329F4"/>
    <w:rsid w:val="00832A0B"/>
    <w:rsid w:val="00833511"/>
    <w:rsid w:val="00834C0F"/>
    <w:rsid w:val="00835A28"/>
    <w:rsid w:val="008361D3"/>
    <w:rsid w:val="0083643C"/>
    <w:rsid w:val="008400B5"/>
    <w:rsid w:val="00840411"/>
    <w:rsid w:val="0084089A"/>
    <w:rsid w:val="008425E3"/>
    <w:rsid w:val="00843087"/>
    <w:rsid w:val="00843F56"/>
    <w:rsid w:val="00844BA1"/>
    <w:rsid w:val="008456D9"/>
    <w:rsid w:val="008456F7"/>
    <w:rsid w:val="0084619D"/>
    <w:rsid w:val="0084645F"/>
    <w:rsid w:val="008471E6"/>
    <w:rsid w:val="0084767F"/>
    <w:rsid w:val="0084785A"/>
    <w:rsid w:val="0084794D"/>
    <w:rsid w:val="00847C44"/>
    <w:rsid w:val="00847EAF"/>
    <w:rsid w:val="0085000E"/>
    <w:rsid w:val="008503EE"/>
    <w:rsid w:val="00851EA9"/>
    <w:rsid w:val="00851F5D"/>
    <w:rsid w:val="00852ED8"/>
    <w:rsid w:val="008539F0"/>
    <w:rsid w:val="00854001"/>
    <w:rsid w:val="00854DB5"/>
    <w:rsid w:val="008567F5"/>
    <w:rsid w:val="00856AF6"/>
    <w:rsid w:val="00857967"/>
    <w:rsid w:val="008579E2"/>
    <w:rsid w:val="00857DA7"/>
    <w:rsid w:val="00857F0A"/>
    <w:rsid w:val="00863763"/>
    <w:rsid w:val="00863841"/>
    <w:rsid w:val="00863FB0"/>
    <w:rsid w:val="00864129"/>
    <w:rsid w:val="0086438D"/>
    <w:rsid w:val="0086483D"/>
    <w:rsid w:val="0086679D"/>
    <w:rsid w:val="00870546"/>
    <w:rsid w:val="0087058D"/>
    <w:rsid w:val="00870661"/>
    <w:rsid w:val="0087082F"/>
    <w:rsid w:val="00872123"/>
    <w:rsid w:val="00872405"/>
    <w:rsid w:val="0087379E"/>
    <w:rsid w:val="008739E7"/>
    <w:rsid w:val="00874219"/>
    <w:rsid w:val="00874CE8"/>
    <w:rsid w:val="008758B4"/>
    <w:rsid w:val="0087675E"/>
    <w:rsid w:val="00876B0C"/>
    <w:rsid w:val="00876EF2"/>
    <w:rsid w:val="00880CF6"/>
    <w:rsid w:val="008827EE"/>
    <w:rsid w:val="00882E3B"/>
    <w:rsid w:val="00882E64"/>
    <w:rsid w:val="00883108"/>
    <w:rsid w:val="0088350C"/>
    <w:rsid w:val="00883790"/>
    <w:rsid w:val="008840EE"/>
    <w:rsid w:val="008849D6"/>
    <w:rsid w:val="008850D4"/>
    <w:rsid w:val="0088624A"/>
    <w:rsid w:val="00887576"/>
    <w:rsid w:val="00890580"/>
    <w:rsid w:val="00890F13"/>
    <w:rsid w:val="00891640"/>
    <w:rsid w:val="0089256B"/>
    <w:rsid w:val="00892FAD"/>
    <w:rsid w:val="00894517"/>
    <w:rsid w:val="00894B51"/>
    <w:rsid w:val="00895B93"/>
    <w:rsid w:val="008964AE"/>
    <w:rsid w:val="00896F5E"/>
    <w:rsid w:val="008970B7"/>
    <w:rsid w:val="0089770C"/>
    <w:rsid w:val="008977DF"/>
    <w:rsid w:val="008A020C"/>
    <w:rsid w:val="008A0DC1"/>
    <w:rsid w:val="008A110F"/>
    <w:rsid w:val="008A115B"/>
    <w:rsid w:val="008A14BA"/>
    <w:rsid w:val="008A186B"/>
    <w:rsid w:val="008A20C2"/>
    <w:rsid w:val="008A2EC3"/>
    <w:rsid w:val="008A354A"/>
    <w:rsid w:val="008A3F9C"/>
    <w:rsid w:val="008A4CAB"/>
    <w:rsid w:val="008A4CBA"/>
    <w:rsid w:val="008A53FF"/>
    <w:rsid w:val="008A7DBB"/>
    <w:rsid w:val="008B106F"/>
    <w:rsid w:val="008B144D"/>
    <w:rsid w:val="008B1C72"/>
    <w:rsid w:val="008B217E"/>
    <w:rsid w:val="008B285E"/>
    <w:rsid w:val="008B35A3"/>
    <w:rsid w:val="008B3C0C"/>
    <w:rsid w:val="008B3CFC"/>
    <w:rsid w:val="008B52B5"/>
    <w:rsid w:val="008B5B0F"/>
    <w:rsid w:val="008B5B7D"/>
    <w:rsid w:val="008B5E8C"/>
    <w:rsid w:val="008B6E50"/>
    <w:rsid w:val="008B74B0"/>
    <w:rsid w:val="008C17B5"/>
    <w:rsid w:val="008C193D"/>
    <w:rsid w:val="008C199D"/>
    <w:rsid w:val="008C34F1"/>
    <w:rsid w:val="008C36BB"/>
    <w:rsid w:val="008C4E40"/>
    <w:rsid w:val="008C6198"/>
    <w:rsid w:val="008D0F6A"/>
    <w:rsid w:val="008D3283"/>
    <w:rsid w:val="008D34F7"/>
    <w:rsid w:val="008D3A6B"/>
    <w:rsid w:val="008D7CEF"/>
    <w:rsid w:val="008E0A06"/>
    <w:rsid w:val="008E0A4D"/>
    <w:rsid w:val="008E0DF2"/>
    <w:rsid w:val="008E14EC"/>
    <w:rsid w:val="008E2002"/>
    <w:rsid w:val="008E23C6"/>
    <w:rsid w:val="008E2D20"/>
    <w:rsid w:val="008E3AF2"/>
    <w:rsid w:val="008E5A8B"/>
    <w:rsid w:val="008E645D"/>
    <w:rsid w:val="008E6B74"/>
    <w:rsid w:val="008E6F53"/>
    <w:rsid w:val="008F05DE"/>
    <w:rsid w:val="008F0E61"/>
    <w:rsid w:val="008F0FDA"/>
    <w:rsid w:val="008F4041"/>
    <w:rsid w:val="008F4585"/>
    <w:rsid w:val="008F4E63"/>
    <w:rsid w:val="008F50BB"/>
    <w:rsid w:val="008F5C09"/>
    <w:rsid w:val="008F5E9F"/>
    <w:rsid w:val="008F633E"/>
    <w:rsid w:val="008F6FF2"/>
    <w:rsid w:val="008F7BE3"/>
    <w:rsid w:val="00900513"/>
    <w:rsid w:val="009006ED"/>
    <w:rsid w:val="00900950"/>
    <w:rsid w:val="00901A03"/>
    <w:rsid w:val="00902AA4"/>
    <w:rsid w:val="009035B6"/>
    <w:rsid w:val="00903808"/>
    <w:rsid w:val="00903D3A"/>
    <w:rsid w:val="009042B1"/>
    <w:rsid w:val="00904560"/>
    <w:rsid w:val="00904AC3"/>
    <w:rsid w:val="00905143"/>
    <w:rsid w:val="00907F95"/>
    <w:rsid w:val="009104EA"/>
    <w:rsid w:val="00910A95"/>
    <w:rsid w:val="00911A3C"/>
    <w:rsid w:val="009136F3"/>
    <w:rsid w:val="009151DA"/>
    <w:rsid w:val="009153BD"/>
    <w:rsid w:val="00917683"/>
    <w:rsid w:val="00917787"/>
    <w:rsid w:val="00917ED4"/>
    <w:rsid w:val="00920733"/>
    <w:rsid w:val="0092137C"/>
    <w:rsid w:val="009231B6"/>
    <w:rsid w:val="009249C6"/>
    <w:rsid w:val="00930855"/>
    <w:rsid w:val="00933BDD"/>
    <w:rsid w:val="009348FB"/>
    <w:rsid w:val="0093674F"/>
    <w:rsid w:val="009400F5"/>
    <w:rsid w:val="00941910"/>
    <w:rsid w:val="00942962"/>
    <w:rsid w:val="00942AAD"/>
    <w:rsid w:val="00943004"/>
    <w:rsid w:val="00944A93"/>
    <w:rsid w:val="00945F3D"/>
    <w:rsid w:val="00945F70"/>
    <w:rsid w:val="00947493"/>
    <w:rsid w:val="009477A7"/>
    <w:rsid w:val="009504D1"/>
    <w:rsid w:val="009520EA"/>
    <w:rsid w:val="009531AA"/>
    <w:rsid w:val="009532F9"/>
    <w:rsid w:val="00955EF9"/>
    <w:rsid w:val="009561F6"/>
    <w:rsid w:val="009563BC"/>
    <w:rsid w:val="009617E7"/>
    <w:rsid w:val="00961DBA"/>
    <w:rsid w:val="00961FA7"/>
    <w:rsid w:val="00962FFC"/>
    <w:rsid w:val="009653CB"/>
    <w:rsid w:val="009656AD"/>
    <w:rsid w:val="009658D8"/>
    <w:rsid w:val="0096595F"/>
    <w:rsid w:val="009668C0"/>
    <w:rsid w:val="00971058"/>
    <w:rsid w:val="0097113C"/>
    <w:rsid w:val="00971171"/>
    <w:rsid w:val="0097338E"/>
    <w:rsid w:val="00973857"/>
    <w:rsid w:val="0097499C"/>
    <w:rsid w:val="0097549F"/>
    <w:rsid w:val="00975707"/>
    <w:rsid w:val="00977590"/>
    <w:rsid w:val="00980F59"/>
    <w:rsid w:val="009816DE"/>
    <w:rsid w:val="009823CA"/>
    <w:rsid w:val="009829FE"/>
    <w:rsid w:val="00983180"/>
    <w:rsid w:val="0098552A"/>
    <w:rsid w:val="00985A68"/>
    <w:rsid w:val="009866C1"/>
    <w:rsid w:val="00986E1A"/>
    <w:rsid w:val="00987AEA"/>
    <w:rsid w:val="00992261"/>
    <w:rsid w:val="0099334B"/>
    <w:rsid w:val="009933E0"/>
    <w:rsid w:val="00993C37"/>
    <w:rsid w:val="009955E2"/>
    <w:rsid w:val="00995D1D"/>
    <w:rsid w:val="00996272"/>
    <w:rsid w:val="00997126"/>
    <w:rsid w:val="00997179"/>
    <w:rsid w:val="009A0B73"/>
    <w:rsid w:val="009A0FDC"/>
    <w:rsid w:val="009A107D"/>
    <w:rsid w:val="009A2E9D"/>
    <w:rsid w:val="009A403C"/>
    <w:rsid w:val="009A4C07"/>
    <w:rsid w:val="009A5434"/>
    <w:rsid w:val="009A72B1"/>
    <w:rsid w:val="009B2D6E"/>
    <w:rsid w:val="009B30F9"/>
    <w:rsid w:val="009B455C"/>
    <w:rsid w:val="009B63B9"/>
    <w:rsid w:val="009B682F"/>
    <w:rsid w:val="009B7013"/>
    <w:rsid w:val="009B77D5"/>
    <w:rsid w:val="009B7D9E"/>
    <w:rsid w:val="009C1C29"/>
    <w:rsid w:val="009C4745"/>
    <w:rsid w:val="009C497F"/>
    <w:rsid w:val="009C4A64"/>
    <w:rsid w:val="009C526F"/>
    <w:rsid w:val="009C53A5"/>
    <w:rsid w:val="009C5E83"/>
    <w:rsid w:val="009C6C2A"/>
    <w:rsid w:val="009C7175"/>
    <w:rsid w:val="009C79EA"/>
    <w:rsid w:val="009C7CC0"/>
    <w:rsid w:val="009D0A09"/>
    <w:rsid w:val="009D103F"/>
    <w:rsid w:val="009D1C9D"/>
    <w:rsid w:val="009D2CFE"/>
    <w:rsid w:val="009D4372"/>
    <w:rsid w:val="009D4F76"/>
    <w:rsid w:val="009D6568"/>
    <w:rsid w:val="009D6A58"/>
    <w:rsid w:val="009D6BF0"/>
    <w:rsid w:val="009D7A83"/>
    <w:rsid w:val="009E0D98"/>
    <w:rsid w:val="009E196C"/>
    <w:rsid w:val="009E33B7"/>
    <w:rsid w:val="009E496E"/>
    <w:rsid w:val="009E4E0A"/>
    <w:rsid w:val="009E5DB7"/>
    <w:rsid w:val="009F0179"/>
    <w:rsid w:val="009F059B"/>
    <w:rsid w:val="009F07F6"/>
    <w:rsid w:val="009F0B22"/>
    <w:rsid w:val="009F0BF8"/>
    <w:rsid w:val="009F0FDC"/>
    <w:rsid w:val="009F114A"/>
    <w:rsid w:val="009F2167"/>
    <w:rsid w:val="009F2B5B"/>
    <w:rsid w:val="009F30AA"/>
    <w:rsid w:val="009F4259"/>
    <w:rsid w:val="009F479F"/>
    <w:rsid w:val="009F54AD"/>
    <w:rsid w:val="009F5A45"/>
    <w:rsid w:val="009F7610"/>
    <w:rsid w:val="00A00166"/>
    <w:rsid w:val="00A01124"/>
    <w:rsid w:val="00A013C4"/>
    <w:rsid w:val="00A015CF"/>
    <w:rsid w:val="00A016CA"/>
    <w:rsid w:val="00A02018"/>
    <w:rsid w:val="00A02636"/>
    <w:rsid w:val="00A02DD3"/>
    <w:rsid w:val="00A036A4"/>
    <w:rsid w:val="00A03A33"/>
    <w:rsid w:val="00A04071"/>
    <w:rsid w:val="00A049D0"/>
    <w:rsid w:val="00A05474"/>
    <w:rsid w:val="00A0635A"/>
    <w:rsid w:val="00A07A1E"/>
    <w:rsid w:val="00A07E57"/>
    <w:rsid w:val="00A113BD"/>
    <w:rsid w:val="00A11BA2"/>
    <w:rsid w:val="00A11BC2"/>
    <w:rsid w:val="00A128BE"/>
    <w:rsid w:val="00A155CB"/>
    <w:rsid w:val="00A169E6"/>
    <w:rsid w:val="00A178A5"/>
    <w:rsid w:val="00A210F1"/>
    <w:rsid w:val="00A21C46"/>
    <w:rsid w:val="00A23CDF"/>
    <w:rsid w:val="00A23F7F"/>
    <w:rsid w:val="00A25BE9"/>
    <w:rsid w:val="00A30187"/>
    <w:rsid w:val="00A3021F"/>
    <w:rsid w:val="00A30CB5"/>
    <w:rsid w:val="00A3244E"/>
    <w:rsid w:val="00A336FC"/>
    <w:rsid w:val="00A3688C"/>
    <w:rsid w:val="00A3714E"/>
    <w:rsid w:val="00A37A36"/>
    <w:rsid w:val="00A41613"/>
    <w:rsid w:val="00A41794"/>
    <w:rsid w:val="00A4222F"/>
    <w:rsid w:val="00A424C1"/>
    <w:rsid w:val="00A43B47"/>
    <w:rsid w:val="00A44FED"/>
    <w:rsid w:val="00A45C9F"/>
    <w:rsid w:val="00A45ECE"/>
    <w:rsid w:val="00A46EFD"/>
    <w:rsid w:val="00A47C58"/>
    <w:rsid w:val="00A5012E"/>
    <w:rsid w:val="00A50172"/>
    <w:rsid w:val="00A5098E"/>
    <w:rsid w:val="00A512B9"/>
    <w:rsid w:val="00A51B17"/>
    <w:rsid w:val="00A53056"/>
    <w:rsid w:val="00A5447A"/>
    <w:rsid w:val="00A54C3F"/>
    <w:rsid w:val="00A5686C"/>
    <w:rsid w:val="00A61334"/>
    <w:rsid w:val="00A6401B"/>
    <w:rsid w:val="00A66986"/>
    <w:rsid w:val="00A66E71"/>
    <w:rsid w:val="00A66F1C"/>
    <w:rsid w:val="00A741CE"/>
    <w:rsid w:val="00A74652"/>
    <w:rsid w:val="00A74924"/>
    <w:rsid w:val="00A7530C"/>
    <w:rsid w:val="00A755A4"/>
    <w:rsid w:val="00A75B96"/>
    <w:rsid w:val="00A76B5E"/>
    <w:rsid w:val="00A774C2"/>
    <w:rsid w:val="00A8060B"/>
    <w:rsid w:val="00A81003"/>
    <w:rsid w:val="00A810AE"/>
    <w:rsid w:val="00A84ADF"/>
    <w:rsid w:val="00A85F17"/>
    <w:rsid w:val="00A860C9"/>
    <w:rsid w:val="00A867E2"/>
    <w:rsid w:val="00A9054F"/>
    <w:rsid w:val="00A91402"/>
    <w:rsid w:val="00A9154B"/>
    <w:rsid w:val="00A92484"/>
    <w:rsid w:val="00A936EB"/>
    <w:rsid w:val="00A95264"/>
    <w:rsid w:val="00A9531A"/>
    <w:rsid w:val="00A95C70"/>
    <w:rsid w:val="00A96430"/>
    <w:rsid w:val="00A9778B"/>
    <w:rsid w:val="00A97972"/>
    <w:rsid w:val="00A97F97"/>
    <w:rsid w:val="00AA0133"/>
    <w:rsid w:val="00AA0636"/>
    <w:rsid w:val="00AA1789"/>
    <w:rsid w:val="00AA315A"/>
    <w:rsid w:val="00AA33FA"/>
    <w:rsid w:val="00AA34DB"/>
    <w:rsid w:val="00AA39C2"/>
    <w:rsid w:val="00AA3A9C"/>
    <w:rsid w:val="00AA4806"/>
    <w:rsid w:val="00AA4969"/>
    <w:rsid w:val="00AA75EA"/>
    <w:rsid w:val="00AB1082"/>
    <w:rsid w:val="00AB20C2"/>
    <w:rsid w:val="00AB3175"/>
    <w:rsid w:val="00AB36AA"/>
    <w:rsid w:val="00AB4483"/>
    <w:rsid w:val="00AB4582"/>
    <w:rsid w:val="00AB489B"/>
    <w:rsid w:val="00AB512A"/>
    <w:rsid w:val="00AB5469"/>
    <w:rsid w:val="00AB5622"/>
    <w:rsid w:val="00AB6AC3"/>
    <w:rsid w:val="00AC0A0F"/>
    <w:rsid w:val="00AC2C75"/>
    <w:rsid w:val="00AC336C"/>
    <w:rsid w:val="00AC4F79"/>
    <w:rsid w:val="00AC544F"/>
    <w:rsid w:val="00AC58BD"/>
    <w:rsid w:val="00AC59B3"/>
    <w:rsid w:val="00AC5EBD"/>
    <w:rsid w:val="00AC60DB"/>
    <w:rsid w:val="00AC6591"/>
    <w:rsid w:val="00AC6AC1"/>
    <w:rsid w:val="00AC6E8B"/>
    <w:rsid w:val="00AD05BE"/>
    <w:rsid w:val="00AD14FA"/>
    <w:rsid w:val="00AD152D"/>
    <w:rsid w:val="00AD257E"/>
    <w:rsid w:val="00AD3B70"/>
    <w:rsid w:val="00AD4498"/>
    <w:rsid w:val="00AD47EA"/>
    <w:rsid w:val="00AD52AA"/>
    <w:rsid w:val="00AD5FDE"/>
    <w:rsid w:val="00AD613C"/>
    <w:rsid w:val="00AD78F2"/>
    <w:rsid w:val="00AD7AF0"/>
    <w:rsid w:val="00AE178E"/>
    <w:rsid w:val="00AE5059"/>
    <w:rsid w:val="00AE5E78"/>
    <w:rsid w:val="00AE616C"/>
    <w:rsid w:val="00AE64ED"/>
    <w:rsid w:val="00AE6BBD"/>
    <w:rsid w:val="00AE70F7"/>
    <w:rsid w:val="00AE74A3"/>
    <w:rsid w:val="00AF11EA"/>
    <w:rsid w:val="00AF1505"/>
    <w:rsid w:val="00AF1AE9"/>
    <w:rsid w:val="00AF26B5"/>
    <w:rsid w:val="00AF2A72"/>
    <w:rsid w:val="00AF392D"/>
    <w:rsid w:val="00AF3EDA"/>
    <w:rsid w:val="00AF4CEA"/>
    <w:rsid w:val="00AF4D79"/>
    <w:rsid w:val="00AF54E3"/>
    <w:rsid w:val="00AF6804"/>
    <w:rsid w:val="00B01F0F"/>
    <w:rsid w:val="00B029B8"/>
    <w:rsid w:val="00B03BD4"/>
    <w:rsid w:val="00B03C6C"/>
    <w:rsid w:val="00B04989"/>
    <w:rsid w:val="00B04D93"/>
    <w:rsid w:val="00B05AE2"/>
    <w:rsid w:val="00B05DAD"/>
    <w:rsid w:val="00B05ED8"/>
    <w:rsid w:val="00B0784A"/>
    <w:rsid w:val="00B07B8B"/>
    <w:rsid w:val="00B11635"/>
    <w:rsid w:val="00B12C09"/>
    <w:rsid w:val="00B133D4"/>
    <w:rsid w:val="00B13A99"/>
    <w:rsid w:val="00B14A4A"/>
    <w:rsid w:val="00B15A9A"/>
    <w:rsid w:val="00B16564"/>
    <w:rsid w:val="00B17337"/>
    <w:rsid w:val="00B173A5"/>
    <w:rsid w:val="00B17EDC"/>
    <w:rsid w:val="00B207F2"/>
    <w:rsid w:val="00B20F6B"/>
    <w:rsid w:val="00B21749"/>
    <w:rsid w:val="00B21D3B"/>
    <w:rsid w:val="00B226DB"/>
    <w:rsid w:val="00B22A30"/>
    <w:rsid w:val="00B22D28"/>
    <w:rsid w:val="00B237D5"/>
    <w:rsid w:val="00B2418B"/>
    <w:rsid w:val="00B24D8A"/>
    <w:rsid w:val="00B25DC1"/>
    <w:rsid w:val="00B25E87"/>
    <w:rsid w:val="00B26147"/>
    <w:rsid w:val="00B27679"/>
    <w:rsid w:val="00B309D0"/>
    <w:rsid w:val="00B30ADD"/>
    <w:rsid w:val="00B31F18"/>
    <w:rsid w:val="00B32025"/>
    <w:rsid w:val="00B33B13"/>
    <w:rsid w:val="00B34413"/>
    <w:rsid w:val="00B35D58"/>
    <w:rsid w:val="00B3669E"/>
    <w:rsid w:val="00B406C2"/>
    <w:rsid w:val="00B40BD4"/>
    <w:rsid w:val="00B40DEC"/>
    <w:rsid w:val="00B419DF"/>
    <w:rsid w:val="00B423D5"/>
    <w:rsid w:val="00B42C55"/>
    <w:rsid w:val="00B42F09"/>
    <w:rsid w:val="00B43C18"/>
    <w:rsid w:val="00B44532"/>
    <w:rsid w:val="00B44E57"/>
    <w:rsid w:val="00B4595F"/>
    <w:rsid w:val="00B468B2"/>
    <w:rsid w:val="00B47021"/>
    <w:rsid w:val="00B50BD6"/>
    <w:rsid w:val="00B5136D"/>
    <w:rsid w:val="00B53CDE"/>
    <w:rsid w:val="00B54489"/>
    <w:rsid w:val="00B5468A"/>
    <w:rsid w:val="00B54C8C"/>
    <w:rsid w:val="00B56617"/>
    <w:rsid w:val="00B5693A"/>
    <w:rsid w:val="00B5730A"/>
    <w:rsid w:val="00B57B63"/>
    <w:rsid w:val="00B57EC3"/>
    <w:rsid w:val="00B60651"/>
    <w:rsid w:val="00B60911"/>
    <w:rsid w:val="00B6133D"/>
    <w:rsid w:val="00B63144"/>
    <w:rsid w:val="00B6412E"/>
    <w:rsid w:val="00B6413B"/>
    <w:rsid w:val="00B652ED"/>
    <w:rsid w:val="00B65D02"/>
    <w:rsid w:val="00B66523"/>
    <w:rsid w:val="00B67A4A"/>
    <w:rsid w:val="00B7195A"/>
    <w:rsid w:val="00B73C81"/>
    <w:rsid w:val="00B75C8F"/>
    <w:rsid w:val="00B7718B"/>
    <w:rsid w:val="00B773C6"/>
    <w:rsid w:val="00B775DA"/>
    <w:rsid w:val="00B817A0"/>
    <w:rsid w:val="00B819F9"/>
    <w:rsid w:val="00B828E1"/>
    <w:rsid w:val="00B8464B"/>
    <w:rsid w:val="00B84FEB"/>
    <w:rsid w:val="00B85B9D"/>
    <w:rsid w:val="00B86072"/>
    <w:rsid w:val="00B86445"/>
    <w:rsid w:val="00B873EE"/>
    <w:rsid w:val="00B8748E"/>
    <w:rsid w:val="00B876AF"/>
    <w:rsid w:val="00B87C43"/>
    <w:rsid w:val="00B900BB"/>
    <w:rsid w:val="00B90201"/>
    <w:rsid w:val="00B90976"/>
    <w:rsid w:val="00B90DC0"/>
    <w:rsid w:val="00B90E7D"/>
    <w:rsid w:val="00B91C72"/>
    <w:rsid w:val="00B934B2"/>
    <w:rsid w:val="00B93A99"/>
    <w:rsid w:val="00B94E30"/>
    <w:rsid w:val="00B95668"/>
    <w:rsid w:val="00B96050"/>
    <w:rsid w:val="00B96A84"/>
    <w:rsid w:val="00B97DAF"/>
    <w:rsid w:val="00B97E8C"/>
    <w:rsid w:val="00B97F28"/>
    <w:rsid w:val="00BA0938"/>
    <w:rsid w:val="00BA09FC"/>
    <w:rsid w:val="00BA0EF3"/>
    <w:rsid w:val="00BA226D"/>
    <w:rsid w:val="00BA2F8C"/>
    <w:rsid w:val="00BA3A26"/>
    <w:rsid w:val="00BA3E54"/>
    <w:rsid w:val="00BA4368"/>
    <w:rsid w:val="00BA5D95"/>
    <w:rsid w:val="00BA7ED8"/>
    <w:rsid w:val="00BB222A"/>
    <w:rsid w:val="00BB2CB2"/>
    <w:rsid w:val="00BB3F50"/>
    <w:rsid w:val="00BB43B5"/>
    <w:rsid w:val="00BB442A"/>
    <w:rsid w:val="00BB4743"/>
    <w:rsid w:val="00BB555A"/>
    <w:rsid w:val="00BB622D"/>
    <w:rsid w:val="00BB6C57"/>
    <w:rsid w:val="00BB7F28"/>
    <w:rsid w:val="00BC09BE"/>
    <w:rsid w:val="00BC388D"/>
    <w:rsid w:val="00BC3DD6"/>
    <w:rsid w:val="00BC4FB2"/>
    <w:rsid w:val="00BC7698"/>
    <w:rsid w:val="00BC7C18"/>
    <w:rsid w:val="00BD10DA"/>
    <w:rsid w:val="00BD11C5"/>
    <w:rsid w:val="00BD121D"/>
    <w:rsid w:val="00BD2232"/>
    <w:rsid w:val="00BD3486"/>
    <w:rsid w:val="00BD3672"/>
    <w:rsid w:val="00BD5032"/>
    <w:rsid w:val="00BE0073"/>
    <w:rsid w:val="00BE4AC3"/>
    <w:rsid w:val="00BE506A"/>
    <w:rsid w:val="00BE53BC"/>
    <w:rsid w:val="00BE547E"/>
    <w:rsid w:val="00BE6A48"/>
    <w:rsid w:val="00BE79E5"/>
    <w:rsid w:val="00BE7C7B"/>
    <w:rsid w:val="00BE7FCC"/>
    <w:rsid w:val="00BF0595"/>
    <w:rsid w:val="00BF1266"/>
    <w:rsid w:val="00BF3340"/>
    <w:rsid w:val="00BF3708"/>
    <w:rsid w:val="00BF4973"/>
    <w:rsid w:val="00BF4F1C"/>
    <w:rsid w:val="00BF5D8C"/>
    <w:rsid w:val="00BF6CA4"/>
    <w:rsid w:val="00C00E60"/>
    <w:rsid w:val="00C015A3"/>
    <w:rsid w:val="00C03D02"/>
    <w:rsid w:val="00C03D30"/>
    <w:rsid w:val="00C0497D"/>
    <w:rsid w:val="00C06B90"/>
    <w:rsid w:val="00C07769"/>
    <w:rsid w:val="00C10665"/>
    <w:rsid w:val="00C1260C"/>
    <w:rsid w:val="00C127C1"/>
    <w:rsid w:val="00C12B72"/>
    <w:rsid w:val="00C12F9F"/>
    <w:rsid w:val="00C14165"/>
    <w:rsid w:val="00C145BB"/>
    <w:rsid w:val="00C14EB0"/>
    <w:rsid w:val="00C14F45"/>
    <w:rsid w:val="00C15027"/>
    <w:rsid w:val="00C1581D"/>
    <w:rsid w:val="00C17CBF"/>
    <w:rsid w:val="00C204CE"/>
    <w:rsid w:val="00C237BF"/>
    <w:rsid w:val="00C25396"/>
    <w:rsid w:val="00C26201"/>
    <w:rsid w:val="00C2650A"/>
    <w:rsid w:val="00C32256"/>
    <w:rsid w:val="00C325B9"/>
    <w:rsid w:val="00C34425"/>
    <w:rsid w:val="00C347F9"/>
    <w:rsid w:val="00C36F23"/>
    <w:rsid w:val="00C37768"/>
    <w:rsid w:val="00C37828"/>
    <w:rsid w:val="00C40A0E"/>
    <w:rsid w:val="00C40AB4"/>
    <w:rsid w:val="00C40CC0"/>
    <w:rsid w:val="00C4143D"/>
    <w:rsid w:val="00C418D7"/>
    <w:rsid w:val="00C42433"/>
    <w:rsid w:val="00C426A4"/>
    <w:rsid w:val="00C43B90"/>
    <w:rsid w:val="00C43E3A"/>
    <w:rsid w:val="00C442F5"/>
    <w:rsid w:val="00C4494D"/>
    <w:rsid w:val="00C456A9"/>
    <w:rsid w:val="00C469BB"/>
    <w:rsid w:val="00C46FB2"/>
    <w:rsid w:val="00C47594"/>
    <w:rsid w:val="00C506AD"/>
    <w:rsid w:val="00C5096B"/>
    <w:rsid w:val="00C50DC0"/>
    <w:rsid w:val="00C519B1"/>
    <w:rsid w:val="00C52051"/>
    <w:rsid w:val="00C55A5B"/>
    <w:rsid w:val="00C57481"/>
    <w:rsid w:val="00C57B56"/>
    <w:rsid w:val="00C62728"/>
    <w:rsid w:val="00C631BD"/>
    <w:rsid w:val="00C641EA"/>
    <w:rsid w:val="00C64B3B"/>
    <w:rsid w:val="00C6572F"/>
    <w:rsid w:val="00C67E57"/>
    <w:rsid w:val="00C67F49"/>
    <w:rsid w:val="00C71A66"/>
    <w:rsid w:val="00C71CC7"/>
    <w:rsid w:val="00C72841"/>
    <w:rsid w:val="00C73FA6"/>
    <w:rsid w:val="00C74002"/>
    <w:rsid w:val="00C7428C"/>
    <w:rsid w:val="00C7592F"/>
    <w:rsid w:val="00C77865"/>
    <w:rsid w:val="00C77DB6"/>
    <w:rsid w:val="00C80F64"/>
    <w:rsid w:val="00C81B13"/>
    <w:rsid w:val="00C8203A"/>
    <w:rsid w:val="00C8306F"/>
    <w:rsid w:val="00C8521E"/>
    <w:rsid w:val="00C85FA3"/>
    <w:rsid w:val="00C866F6"/>
    <w:rsid w:val="00C86D74"/>
    <w:rsid w:val="00C86F46"/>
    <w:rsid w:val="00C90B31"/>
    <w:rsid w:val="00C91097"/>
    <w:rsid w:val="00C91279"/>
    <w:rsid w:val="00C91A6E"/>
    <w:rsid w:val="00C92D4B"/>
    <w:rsid w:val="00C958C5"/>
    <w:rsid w:val="00C9681A"/>
    <w:rsid w:val="00C9705E"/>
    <w:rsid w:val="00CA00ED"/>
    <w:rsid w:val="00CA1276"/>
    <w:rsid w:val="00CA16D8"/>
    <w:rsid w:val="00CA23D5"/>
    <w:rsid w:val="00CA27D3"/>
    <w:rsid w:val="00CA366D"/>
    <w:rsid w:val="00CA50FC"/>
    <w:rsid w:val="00CA62B0"/>
    <w:rsid w:val="00CB025D"/>
    <w:rsid w:val="00CB060F"/>
    <w:rsid w:val="00CB11F6"/>
    <w:rsid w:val="00CB1730"/>
    <w:rsid w:val="00CB18AF"/>
    <w:rsid w:val="00CB1B04"/>
    <w:rsid w:val="00CB1B91"/>
    <w:rsid w:val="00CB311D"/>
    <w:rsid w:val="00CB3FCE"/>
    <w:rsid w:val="00CB5266"/>
    <w:rsid w:val="00CB65FF"/>
    <w:rsid w:val="00CB7143"/>
    <w:rsid w:val="00CB78B3"/>
    <w:rsid w:val="00CC0B67"/>
    <w:rsid w:val="00CC0D26"/>
    <w:rsid w:val="00CC31B7"/>
    <w:rsid w:val="00CC4869"/>
    <w:rsid w:val="00CC51B4"/>
    <w:rsid w:val="00CC55A2"/>
    <w:rsid w:val="00CC65C2"/>
    <w:rsid w:val="00CC66B6"/>
    <w:rsid w:val="00CC7EF6"/>
    <w:rsid w:val="00CC7F18"/>
    <w:rsid w:val="00CD16CD"/>
    <w:rsid w:val="00CD334E"/>
    <w:rsid w:val="00CD3BA5"/>
    <w:rsid w:val="00CD437F"/>
    <w:rsid w:val="00CD7B82"/>
    <w:rsid w:val="00CD7E4F"/>
    <w:rsid w:val="00CE007F"/>
    <w:rsid w:val="00CE00BD"/>
    <w:rsid w:val="00CE042C"/>
    <w:rsid w:val="00CE0814"/>
    <w:rsid w:val="00CE1844"/>
    <w:rsid w:val="00CE2F73"/>
    <w:rsid w:val="00CE461B"/>
    <w:rsid w:val="00CE515E"/>
    <w:rsid w:val="00CE5547"/>
    <w:rsid w:val="00CE76C8"/>
    <w:rsid w:val="00CF0517"/>
    <w:rsid w:val="00CF116E"/>
    <w:rsid w:val="00CF2014"/>
    <w:rsid w:val="00CF2DC4"/>
    <w:rsid w:val="00CF380E"/>
    <w:rsid w:val="00CF405F"/>
    <w:rsid w:val="00CF4799"/>
    <w:rsid w:val="00CF4F7A"/>
    <w:rsid w:val="00CF5051"/>
    <w:rsid w:val="00CF5078"/>
    <w:rsid w:val="00CF526A"/>
    <w:rsid w:val="00CF61C7"/>
    <w:rsid w:val="00CF775A"/>
    <w:rsid w:val="00CF7988"/>
    <w:rsid w:val="00CF7BD6"/>
    <w:rsid w:val="00D02024"/>
    <w:rsid w:val="00D022CB"/>
    <w:rsid w:val="00D02C21"/>
    <w:rsid w:val="00D03184"/>
    <w:rsid w:val="00D03DA4"/>
    <w:rsid w:val="00D04E56"/>
    <w:rsid w:val="00D055CC"/>
    <w:rsid w:val="00D07E1B"/>
    <w:rsid w:val="00D100B4"/>
    <w:rsid w:val="00D1077B"/>
    <w:rsid w:val="00D10A40"/>
    <w:rsid w:val="00D11CC9"/>
    <w:rsid w:val="00D122EC"/>
    <w:rsid w:val="00D13AFA"/>
    <w:rsid w:val="00D147CF"/>
    <w:rsid w:val="00D1603E"/>
    <w:rsid w:val="00D16165"/>
    <w:rsid w:val="00D16D95"/>
    <w:rsid w:val="00D17711"/>
    <w:rsid w:val="00D17ADA"/>
    <w:rsid w:val="00D20FE8"/>
    <w:rsid w:val="00D24951"/>
    <w:rsid w:val="00D264B6"/>
    <w:rsid w:val="00D2773A"/>
    <w:rsid w:val="00D30474"/>
    <w:rsid w:val="00D308D5"/>
    <w:rsid w:val="00D31C0A"/>
    <w:rsid w:val="00D3212A"/>
    <w:rsid w:val="00D33718"/>
    <w:rsid w:val="00D34799"/>
    <w:rsid w:val="00D35065"/>
    <w:rsid w:val="00D35134"/>
    <w:rsid w:val="00D35B45"/>
    <w:rsid w:val="00D35EA5"/>
    <w:rsid w:val="00D3741E"/>
    <w:rsid w:val="00D40315"/>
    <w:rsid w:val="00D40722"/>
    <w:rsid w:val="00D41C63"/>
    <w:rsid w:val="00D42159"/>
    <w:rsid w:val="00D42FCF"/>
    <w:rsid w:val="00D4400C"/>
    <w:rsid w:val="00D459EA"/>
    <w:rsid w:val="00D46EAE"/>
    <w:rsid w:val="00D474CD"/>
    <w:rsid w:val="00D4784D"/>
    <w:rsid w:val="00D509C2"/>
    <w:rsid w:val="00D50B28"/>
    <w:rsid w:val="00D50B74"/>
    <w:rsid w:val="00D52EDB"/>
    <w:rsid w:val="00D54115"/>
    <w:rsid w:val="00D5412D"/>
    <w:rsid w:val="00D5426C"/>
    <w:rsid w:val="00D55950"/>
    <w:rsid w:val="00D60F17"/>
    <w:rsid w:val="00D61C54"/>
    <w:rsid w:val="00D64094"/>
    <w:rsid w:val="00D64F0F"/>
    <w:rsid w:val="00D6610B"/>
    <w:rsid w:val="00D665B4"/>
    <w:rsid w:val="00D671D1"/>
    <w:rsid w:val="00D700FA"/>
    <w:rsid w:val="00D70498"/>
    <w:rsid w:val="00D71A23"/>
    <w:rsid w:val="00D71D88"/>
    <w:rsid w:val="00D730FE"/>
    <w:rsid w:val="00D732B2"/>
    <w:rsid w:val="00D738F8"/>
    <w:rsid w:val="00D73CA3"/>
    <w:rsid w:val="00D73D3C"/>
    <w:rsid w:val="00D74274"/>
    <w:rsid w:val="00D75D9C"/>
    <w:rsid w:val="00D768E5"/>
    <w:rsid w:val="00D76CB5"/>
    <w:rsid w:val="00D774F1"/>
    <w:rsid w:val="00D776AF"/>
    <w:rsid w:val="00D8165A"/>
    <w:rsid w:val="00D824EA"/>
    <w:rsid w:val="00D82A8E"/>
    <w:rsid w:val="00D82F85"/>
    <w:rsid w:val="00D835C1"/>
    <w:rsid w:val="00D8503C"/>
    <w:rsid w:val="00D8523C"/>
    <w:rsid w:val="00D85242"/>
    <w:rsid w:val="00D85443"/>
    <w:rsid w:val="00D8605B"/>
    <w:rsid w:val="00D9017E"/>
    <w:rsid w:val="00D91ADC"/>
    <w:rsid w:val="00D936B0"/>
    <w:rsid w:val="00D9404B"/>
    <w:rsid w:val="00D94A36"/>
    <w:rsid w:val="00D952F6"/>
    <w:rsid w:val="00D95592"/>
    <w:rsid w:val="00D95CEE"/>
    <w:rsid w:val="00D971B7"/>
    <w:rsid w:val="00D97244"/>
    <w:rsid w:val="00D97B39"/>
    <w:rsid w:val="00DA0633"/>
    <w:rsid w:val="00DA3798"/>
    <w:rsid w:val="00DA445F"/>
    <w:rsid w:val="00DA4BE7"/>
    <w:rsid w:val="00DA4DF0"/>
    <w:rsid w:val="00DA55EA"/>
    <w:rsid w:val="00DA6B17"/>
    <w:rsid w:val="00DA6D2C"/>
    <w:rsid w:val="00DA6EE0"/>
    <w:rsid w:val="00DB12FA"/>
    <w:rsid w:val="00DB1631"/>
    <w:rsid w:val="00DB4A2A"/>
    <w:rsid w:val="00DB538E"/>
    <w:rsid w:val="00DB5D00"/>
    <w:rsid w:val="00DB5D7A"/>
    <w:rsid w:val="00DB7639"/>
    <w:rsid w:val="00DB7FFD"/>
    <w:rsid w:val="00DC04DC"/>
    <w:rsid w:val="00DC0E6B"/>
    <w:rsid w:val="00DC20D9"/>
    <w:rsid w:val="00DC25C5"/>
    <w:rsid w:val="00DC3E2B"/>
    <w:rsid w:val="00DC3E52"/>
    <w:rsid w:val="00DC4FF1"/>
    <w:rsid w:val="00DC5CC7"/>
    <w:rsid w:val="00DC5D62"/>
    <w:rsid w:val="00DC736C"/>
    <w:rsid w:val="00DC7830"/>
    <w:rsid w:val="00DD0558"/>
    <w:rsid w:val="00DD0BD4"/>
    <w:rsid w:val="00DD18C5"/>
    <w:rsid w:val="00DD1B42"/>
    <w:rsid w:val="00DD1C65"/>
    <w:rsid w:val="00DD231A"/>
    <w:rsid w:val="00DD3EFB"/>
    <w:rsid w:val="00DD4D80"/>
    <w:rsid w:val="00DD58A5"/>
    <w:rsid w:val="00DD5B0E"/>
    <w:rsid w:val="00DD68C9"/>
    <w:rsid w:val="00DD6ED3"/>
    <w:rsid w:val="00DD7911"/>
    <w:rsid w:val="00DD796B"/>
    <w:rsid w:val="00DE042A"/>
    <w:rsid w:val="00DE0B16"/>
    <w:rsid w:val="00DE1AAD"/>
    <w:rsid w:val="00DE2878"/>
    <w:rsid w:val="00DE3654"/>
    <w:rsid w:val="00DE5EE2"/>
    <w:rsid w:val="00DE7BAC"/>
    <w:rsid w:val="00DF0FA9"/>
    <w:rsid w:val="00DF2433"/>
    <w:rsid w:val="00DF3055"/>
    <w:rsid w:val="00DF3423"/>
    <w:rsid w:val="00DF500E"/>
    <w:rsid w:val="00DF5BF1"/>
    <w:rsid w:val="00DF5F64"/>
    <w:rsid w:val="00DF7137"/>
    <w:rsid w:val="00DF71A5"/>
    <w:rsid w:val="00E0047A"/>
    <w:rsid w:val="00E00A21"/>
    <w:rsid w:val="00E0114D"/>
    <w:rsid w:val="00E02344"/>
    <w:rsid w:val="00E03BED"/>
    <w:rsid w:val="00E04D5B"/>
    <w:rsid w:val="00E04F25"/>
    <w:rsid w:val="00E056C8"/>
    <w:rsid w:val="00E05A22"/>
    <w:rsid w:val="00E066BE"/>
    <w:rsid w:val="00E07041"/>
    <w:rsid w:val="00E07F5F"/>
    <w:rsid w:val="00E1022D"/>
    <w:rsid w:val="00E10F05"/>
    <w:rsid w:val="00E12A7C"/>
    <w:rsid w:val="00E13231"/>
    <w:rsid w:val="00E14121"/>
    <w:rsid w:val="00E14C73"/>
    <w:rsid w:val="00E1501F"/>
    <w:rsid w:val="00E15869"/>
    <w:rsid w:val="00E160E7"/>
    <w:rsid w:val="00E1735B"/>
    <w:rsid w:val="00E17DCB"/>
    <w:rsid w:val="00E2165C"/>
    <w:rsid w:val="00E24401"/>
    <w:rsid w:val="00E24988"/>
    <w:rsid w:val="00E249AD"/>
    <w:rsid w:val="00E25490"/>
    <w:rsid w:val="00E26901"/>
    <w:rsid w:val="00E2767D"/>
    <w:rsid w:val="00E27ACC"/>
    <w:rsid w:val="00E30CA3"/>
    <w:rsid w:val="00E30E79"/>
    <w:rsid w:val="00E3102E"/>
    <w:rsid w:val="00E3112C"/>
    <w:rsid w:val="00E32FEA"/>
    <w:rsid w:val="00E33B32"/>
    <w:rsid w:val="00E34C72"/>
    <w:rsid w:val="00E35C06"/>
    <w:rsid w:val="00E36F5F"/>
    <w:rsid w:val="00E37219"/>
    <w:rsid w:val="00E37F02"/>
    <w:rsid w:val="00E40842"/>
    <w:rsid w:val="00E418C0"/>
    <w:rsid w:val="00E41B17"/>
    <w:rsid w:val="00E423CA"/>
    <w:rsid w:val="00E42C58"/>
    <w:rsid w:val="00E43255"/>
    <w:rsid w:val="00E44849"/>
    <w:rsid w:val="00E45070"/>
    <w:rsid w:val="00E45412"/>
    <w:rsid w:val="00E454A0"/>
    <w:rsid w:val="00E470B0"/>
    <w:rsid w:val="00E47722"/>
    <w:rsid w:val="00E47D07"/>
    <w:rsid w:val="00E50040"/>
    <w:rsid w:val="00E50BFE"/>
    <w:rsid w:val="00E5253A"/>
    <w:rsid w:val="00E529AD"/>
    <w:rsid w:val="00E52BA3"/>
    <w:rsid w:val="00E53B8E"/>
    <w:rsid w:val="00E5409C"/>
    <w:rsid w:val="00E545F2"/>
    <w:rsid w:val="00E55F3D"/>
    <w:rsid w:val="00E56D7D"/>
    <w:rsid w:val="00E608CD"/>
    <w:rsid w:val="00E6153D"/>
    <w:rsid w:val="00E61C78"/>
    <w:rsid w:val="00E62604"/>
    <w:rsid w:val="00E63C43"/>
    <w:rsid w:val="00E66195"/>
    <w:rsid w:val="00E66B98"/>
    <w:rsid w:val="00E6715B"/>
    <w:rsid w:val="00E673BD"/>
    <w:rsid w:val="00E70520"/>
    <w:rsid w:val="00E70674"/>
    <w:rsid w:val="00E71F7E"/>
    <w:rsid w:val="00E723B5"/>
    <w:rsid w:val="00E72628"/>
    <w:rsid w:val="00E72BBD"/>
    <w:rsid w:val="00E72C2D"/>
    <w:rsid w:val="00E733FF"/>
    <w:rsid w:val="00E7395A"/>
    <w:rsid w:val="00E73EB5"/>
    <w:rsid w:val="00E74292"/>
    <w:rsid w:val="00E745FA"/>
    <w:rsid w:val="00E74E97"/>
    <w:rsid w:val="00E7559C"/>
    <w:rsid w:val="00E760ED"/>
    <w:rsid w:val="00E76A11"/>
    <w:rsid w:val="00E771C9"/>
    <w:rsid w:val="00E779CA"/>
    <w:rsid w:val="00E8017B"/>
    <w:rsid w:val="00E80981"/>
    <w:rsid w:val="00E80E15"/>
    <w:rsid w:val="00E816B8"/>
    <w:rsid w:val="00E81A8B"/>
    <w:rsid w:val="00E82308"/>
    <w:rsid w:val="00E8240A"/>
    <w:rsid w:val="00E843C1"/>
    <w:rsid w:val="00E84A0C"/>
    <w:rsid w:val="00E8553B"/>
    <w:rsid w:val="00E85FA6"/>
    <w:rsid w:val="00E86CA8"/>
    <w:rsid w:val="00E902D9"/>
    <w:rsid w:val="00E90395"/>
    <w:rsid w:val="00E92A3B"/>
    <w:rsid w:val="00E92FAD"/>
    <w:rsid w:val="00E93521"/>
    <w:rsid w:val="00E935AF"/>
    <w:rsid w:val="00E93A68"/>
    <w:rsid w:val="00E95A58"/>
    <w:rsid w:val="00E975BF"/>
    <w:rsid w:val="00E97B5F"/>
    <w:rsid w:val="00EA007F"/>
    <w:rsid w:val="00EA01A7"/>
    <w:rsid w:val="00EA177C"/>
    <w:rsid w:val="00EA290D"/>
    <w:rsid w:val="00EA318D"/>
    <w:rsid w:val="00EA4167"/>
    <w:rsid w:val="00EA5577"/>
    <w:rsid w:val="00EA5B16"/>
    <w:rsid w:val="00EA7E20"/>
    <w:rsid w:val="00EB48D2"/>
    <w:rsid w:val="00EB4C64"/>
    <w:rsid w:val="00EB4F89"/>
    <w:rsid w:val="00EB656A"/>
    <w:rsid w:val="00EB65BD"/>
    <w:rsid w:val="00EB6932"/>
    <w:rsid w:val="00EB7483"/>
    <w:rsid w:val="00EC0D6F"/>
    <w:rsid w:val="00EC1573"/>
    <w:rsid w:val="00EC178C"/>
    <w:rsid w:val="00EC1CAE"/>
    <w:rsid w:val="00EC2DCF"/>
    <w:rsid w:val="00EC380E"/>
    <w:rsid w:val="00EC3ABA"/>
    <w:rsid w:val="00EC3D77"/>
    <w:rsid w:val="00EC4D90"/>
    <w:rsid w:val="00EC4DBB"/>
    <w:rsid w:val="00EC5327"/>
    <w:rsid w:val="00EC5A88"/>
    <w:rsid w:val="00EC5BE3"/>
    <w:rsid w:val="00EC630A"/>
    <w:rsid w:val="00EC7B5D"/>
    <w:rsid w:val="00EC7EFD"/>
    <w:rsid w:val="00ED126F"/>
    <w:rsid w:val="00ED1891"/>
    <w:rsid w:val="00ED2D68"/>
    <w:rsid w:val="00ED3AD7"/>
    <w:rsid w:val="00ED3D70"/>
    <w:rsid w:val="00ED420F"/>
    <w:rsid w:val="00ED53C1"/>
    <w:rsid w:val="00ED600A"/>
    <w:rsid w:val="00ED669E"/>
    <w:rsid w:val="00ED7081"/>
    <w:rsid w:val="00ED73E6"/>
    <w:rsid w:val="00ED7F1C"/>
    <w:rsid w:val="00EE059E"/>
    <w:rsid w:val="00EE1245"/>
    <w:rsid w:val="00EE12C6"/>
    <w:rsid w:val="00EE186A"/>
    <w:rsid w:val="00EE2DC6"/>
    <w:rsid w:val="00EE31DD"/>
    <w:rsid w:val="00EE3847"/>
    <w:rsid w:val="00EE416C"/>
    <w:rsid w:val="00EE569D"/>
    <w:rsid w:val="00EE6425"/>
    <w:rsid w:val="00EE6975"/>
    <w:rsid w:val="00EE6EFB"/>
    <w:rsid w:val="00EE7006"/>
    <w:rsid w:val="00EF078A"/>
    <w:rsid w:val="00EF2D28"/>
    <w:rsid w:val="00EF3DB7"/>
    <w:rsid w:val="00EF43EA"/>
    <w:rsid w:val="00EF5090"/>
    <w:rsid w:val="00EF52DD"/>
    <w:rsid w:val="00EF786E"/>
    <w:rsid w:val="00EF7C10"/>
    <w:rsid w:val="00EF7D75"/>
    <w:rsid w:val="00F00C06"/>
    <w:rsid w:val="00F015B8"/>
    <w:rsid w:val="00F01676"/>
    <w:rsid w:val="00F0215B"/>
    <w:rsid w:val="00F02449"/>
    <w:rsid w:val="00F034F2"/>
    <w:rsid w:val="00F03B8E"/>
    <w:rsid w:val="00F03D6A"/>
    <w:rsid w:val="00F04819"/>
    <w:rsid w:val="00F04E71"/>
    <w:rsid w:val="00F04F2B"/>
    <w:rsid w:val="00F07EF0"/>
    <w:rsid w:val="00F10789"/>
    <w:rsid w:val="00F11072"/>
    <w:rsid w:val="00F11C42"/>
    <w:rsid w:val="00F13CCD"/>
    <w:rsid w:val="00F1405B"/>
    <w:rsid w:val="00F1484C"/>
    <w:rsid w:val="00F14DD4"/>
    <w:rsid w:val="00F16D86"/>
    <w:rsid w:val="00F17186"/>
    <w:rsid w:val="00F17A14"/>
    <w:rsid w:val="00F200ED"/>
    <w:rsid w:val="00F20592"/>
    <w:rsid w:val="00F208C5"/>
    <w:rsid w:val="00F20A02"/>
    <w:rsid w:val="00F22690"/>
    <w:rsid w:val="00F230E2"/>
    <w:rsid w:val="00F233F5"/>
    <w:rsid w:val="00F2361B"/>
    <w:rsid w:val="00F246E0"/>
    <w:rsid w:val="00F25421"/>
    <w:rsid w:val="00F27C71"/>
    <w:rsid w:val="00F31483"/>
    <w:rsid w:val="00F322F9"/>
    <w:rsid w:val="00F3232D"/>
    <w:rsid w:val="00F3350F"/>
    <w:rsid w:val="00F337F2"/>
    <w:rsid w:val="00F33FD0"/>
    <w:rsid w:val="00F34058"/>
    <w:rsid w:val="00F344A1"/>
    <w:rsid w:val="00F3460F"/>
    <w:rsid w:val="00F34B00"/>
    <w:rsid w:val="00F3690B"/>
    <w:rsid w:val="00F42D66"/>
    <w:rsid w:val="00F433B6"/>
    <w:rsid w:val="00F44312"/>
    <w:rsid w:val="00F4555B"/>
    <w:rsid w:val="00F45C94"/>
    <w:rsid w:val="00F466A1"/>
    <w:rsid w:val="00F47FA5"/>
    <w:rsid w:val="00F508FA"/>
    <w:rsid w:val="00F511AB"/>
    <w:rsid w:val="00F5128D"/>
    <w:rsid w:val="00F51989"/>
    <w:rsid w:val="00F5219B"/>
    <w:rsid w:val="00F53515"/>
    <w:rsid w:val="00F535F8"/>
    <w:rsid w:val="00F53731"/>
    <w:rsid w:val="00F53C38"/>
    <w:rsid w:val="00F578EB"/>
    <w:rsid w:val="00F57AE9"/>
    <w:rsid w:val="00F61E3F"/>
    <w:rsid w:val="00F62AD0"/>
    <w:rsid w:val="00F63031"/>
    <w:rsid w:val="00F630FA"/>
    <w:rsid w:val="00F6438F"/>
    <w:rsid w:val="00F653FA"/>
    <w:rsid w:val="00F65957"/>
    <w:rsid w:val="00F6636F"/>
    <w:rsid w:val="00F6687D"/>
    <w:rsid w:val="00F66E58"/>
    <w:rsid w:val="00F6753E"/>
    <w:rsid w:val="00F703EF"/>
    <w:rsid w:val="00F70FB7"/>
    <w:rsid w:val="00F731EB"/>
    <w:rsid w:val="00F73526"/>
    <w:rsid w:val="00F737B6"/>
    <w:rsid w:val="00F73B78"/>
    <w:rsid w:val="00F75CDB"/>
    <w:rsid w:val="00F762BE"/>
    <w:rsid w:val="00F76770"/>
    <w:rsid w:val="00F76C32"/>
    <w:rsid w:val="00F77AE6"/>
    <w:rsid w:val="00F80722"/>
    <w:rsid w:val="00F80DA1"/>
    <w:rsid w:val="00F80FD2"/>
    <w:rsid w:val="00F8112A"/>
    <w:rsid w:val="00F822D8"/>
    <w:rsid w:val="00F82355"/>
    <w:rsid w:val="00F82389"/>
    <w:rsid w:val="00F842A7"/>
    <w:rsid w:val="00F853D5"/>
    <w:rsid w:val="00F85F2A"/>
    <w:rsid w:val="00F872DF"/>
    <w:rsid w:val="00F875A4"/>
    <w:rsid w:val="00F8792D"/>
    <w:rsid w:val="00F91355"/>
    <w:rsid w:val="00F9164E"/>
    <w:rsid w:val="00F91AA7"/>
    <w:rsid w:val="00F95793"/>
    <w:rsid w:val="00F971E4"/>
    <w:rsid w:val="00F97D12"/>
    <w:rsid w:val="00FA0798"/>
    <w:rsid w:val="00FA1221"/>
    <w:rsid w:val="00FA15FF"/>
    <w:rsid w:val="00FA286C"/>
    <w:rsid w:val="00FA3ECE"/>
    <w:rsid w:val="00FA4153"/>
    <w:rsid w:val="00FA41F8"/>
    <w:rsid w:val="00FA4535"/>
    <w:rsid w:val="00FA5F02"/>
    <w:rsid w:val="00FA67E7"/>
    <w:rsid w:val="00FA6A0D"/>
    <w:rsid w:val="00FA6AB6"/>
    <w:rsid w:val="00FA6F44"/>
    <w:rsid w:val="00FA7033"/>
    <w:rsid w:val="00FA7179"/>
    <w:rsid w:val="00FB0EE9"/>
    <w:rsid w:val="00FB1CE7"/>
    <w:rsid w:val="00FB3A8A"/>
    <w:rsid w:val="00FB4292"/>
    <w:rsid w:val="00FB48F5"/>
    <w:rsid w:val="00FB4926"/>
    <w:rsid w:val="00FB5817"/>
    <w:rsid w:val="00FB5FFC"/>
    <w:rsid w:val="00FC00A4"/>
    <w:rsid w:val="00FC20D7"/>
    <w:rsid w:val="00FC28A9"/>
    <w:rsid w:val="00FC3B54"/>
    <w:rsid w:val="00FC3E61"/>
    <w:rsid w:val="00FC3FA6"/>
    <w:rsid w:val="00FC4128"/>
    <w:rsid w:val="00FC43A9"/>
    <w:rsid w:val="00FC4683"/>
    <w:rsid w:val="00FC4C76"/>
    <w:rsid w:val="00FC4DEE"/>
    <w:rsid w:val="00FC6F4E"/>
    <w:rsid w:val="00FD138D"/>
    <w:rsid w:val="00FD238E"/>
    <w:rsid w:val="00FD2407"/>
    <w:rsid w:val="00FD2E76"/>
    <w:rsid w:val="00FD4A2D"/>
    <w:rsid w:val="00FD52DC"/>
    <w:rsid w:val="00FD67AA"/>
    <w:rsid w:val="00FD6B38"/>
    <w:rsid w:val="00FE064B"/>
    <w:rsid w:val="00FE13ED"/>
    <w:rsid w:val="00FE1614"/>
    <w:rsid w:val="00FE233C"/>
    <w:rsid w:val="00FE3341"/>
    <w:rsid w:val="00FE3AA3"/>
    <w:rsid w:val="00FE497A"/>
    <w:rsid w:val="00FE6045"/>
    <w:rsid w:val="00FE76AB"/>
    <w:rsid w:val="00FF0AC0"/>
    <w:rsid w:val="00FF194B"/>
    <w:rsid w:val="00FF1D11"/>
    <w:rsid w:val="00FF27B4"/>
    <w:rsid w:val="00FF3C6F"/>
    <w:rsid w:val="00FF4BAE"/>
    <w:rsid w:val="00FF5165"/>
    <w:rsid w:val="00FF7EA4"/>
    <w:rsid w:val="78A7A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286AF"/>
  <w15:docId w15:val="{7235B3B8-3562-4BE5-951A-0DD383FD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F13"/>
    <w:rPr>
      <w:sz w:val="24"/>
      <w:szCs w:val="24"/>
    </w:rPr>
  </w:style>
  <w:style w:type="paragraph" w:styleId="Heading1">
    <w:name w:val="heading 1"/>
    <w:basedOn w:val="Normal"/>
    <w:next w:val="Normal"/>
    <w:link w:val="Heading1Char"/>
    <w:qFormat/>
    <w:rsid w:val="001349CB"/>
    <w:pPr>
      <w:keepNext/>
      <w:numPr>
        <w:numId w:val="3"/>
      </w:numPr>
      <w:spacing w:before="320" w:after="240"/>
      <w:outlineLvl w:val="0"/>
    </w:pPr>
    <w:rPr>
      <w:rFonts w:ascii="Arial" w:hAnsi="Arial" w:cs="Arial"/>
      <w:b/>
      <w:bCs/>
      <w:kern w:val="32"/>
      <w:sz w:val="28"/>
      <w:szCs w:val="32"/>
    </w:rPr>
  </w:style>
  <w:style w:type="paragraph" w:styleId="Heading2">
    <w:name w:val="heading 2"/>
    <w:basedOn w:val="Normal"/>
    <w:next w:val="Normal"/>
    <w:link w:val="Heading2Char"/>
    <w:qFormat/>
    <w:rsid w:val="00890F13"/>
    <w:pPr>
      <w:keepNext/>
      <w:numPr>
        <w:ilvl w:val="1"/>
        <w:numId w:val="3"/>
      </w:numPr>
      <w:spacing w:before="160" w:after="160"/>
      <w:outlineLvl w:val="1"/>
    </w:pPr>
    <w:rPr>
      <w:rFonts w:ascii="Arial" w:hAnsi="Arial" w:cs="Arial"/>
      <w:b/>
      <w:bCs/>
      <w:iCs/>
      <w:szCs w:val="28"/>
    </w:rPr>
  </w:style>
  <w:style w:type="paragraph" w:styleId="Heading3">
    <w:name w:val="heading 3"/>
    <w:basedOn w:val="Normal"/>
    <w:next w:val="Normal"/>
    <w:qFormat/>
    <w:rsid w:val="001349CB"/>
    <w:pPr>
      <w:keepNext/>
      <w:numPr>
        <w:ilvl w:val="2"/>
        <w:numId w:val="3"/>
      </w:numPr>
      <w:spacing w:before="160" w:after="160"/>
      <w:outlineLvl w:val="2"/>
    </w:pPr>
    <w:rPr>
      <w:rFonts w:ascii="Arial" w:hAnsi="Arial"/>
      <w:b/>
      <w:bCs/>
      <w:sz w:val="20"/>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E6DF5"/>
    <w:pPr>
      <w:numPr>
        <w:ilvl w:val="4"/>
        <w:numId w:val="2"/>
      </w:numPr>
      <w:spacing w:before="240" w:after="60"/>
      <w:outlineLvl w:val="4"/>
    </w:pPr>
    <w:rPr>
      <w:b/>
      <w:bCs/>
      <w:i/>
      <w:iCs/>
      <w:sz w:val="26"/>
      <w:szCs w:val="26"/>
    </w:rPr>
  </w:style>
  <w:style w:type="paragraph" w:styleId="Heading6">
    <w:name w:val="heading 6"/>
    <w:basedOn w:val="Normal"/>
    <w:next w:val="Normal"/>
    <w:qFormat/>
    <w:rsid w:val="004E6DF5"/>
    <w:pPr>
      <w:numPr>
        <w:ilvl w:val="5"/>
        <w:numId w:val="2"/>
      </w:numPr>
      <w:spacing w:before="240" w:after="60"/>
      <w:outlineLvl w:val="5"/>
    </w:pPr>
    <w:rPr>
      <w:b/>
      <w:bCs/>
      <w:sz w:val="22"/>
      <w:szCs w:val="22"/>
    </w:rPr>
  </w:style>
  <w:style w:type="paragraph" w:styleId="Heading7">
    <w:name w:val="heading 7"/>
    <w:basedOn w:val="Normal"/>
    <w:next w:val="Normal"/>
    <w:qFormat/>
    <w:rsid w:val="004E6DF5"/>
    <w:pPr>
      <w:numPr>
        <w:ilvl w:val="6"/>
        <w:numId w:val="2"/>
      </w:numPr>
      <w:spacing w:before="240" w:after="60"/>
      <w:outlineLvl w:val="6"/>
    </w:pPr>
  </w:style>
  <w:style w:type="paragraph" w:styleId="Heading8">
    <w:name w:val="heading 8"/>
    <w:basedOn w:val="Normal"/>
    <w:next w:val="Normal"/>
    <w:qFormat/>
    <w:rsid w:val="004E6DF5"/>
    <w:pPr>
      <w:numPr>
        <w:ilvl w:val="7"/>
        <w:numId w:val="2"/>
      </w:numPr>
      <w:spacing w:before="240" w:after="60"/>
      <w:outlineLvl w:val="7"/>
    </w:pPr>
    <w:rPr>
      <w:i/>
      <w:iCs/>
    </w:rPr>
  </w:style>
  <w:style w:type="paragraph" w:styleId="Heading9">
    <w:name w:val="heading 9"/>
    <w:basedOn w:val="Normal"/>
    <w:next w:val="Normal"/>
    <w:qFormat/>
    <w:rsid w:val="004E6DF5"/>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49CB"/>
    <w:rPr>
      <w:rFonts w:ascii="Arial" w:hAnsi="Arial" w:cs="Arial"/>
      <w:b/>
      <w:bCs/>
      <w:kern w:val="32"/>
      <w:sz w:val="28"/>
      <w:szCs w:val="32"/>
    </w:rPr>
  </w:style>
  <w:style w:type="character" w:customStyle="1" w:styleId="Heading2Char">
    <w:name w:val="Heading 2 Char"/>
    <w:link w:val="Heading2"/>
    <w:rsid w:val="00890F13"/>
    <w:rPr>
      <w:rFonts w:ascii="Arial" w:hAnsi="Arial" w:cs="Arial"/>
      <w:b/>
      <w:bCs/>
      <w:iCs/>
      <w:sz w:val="24"/>
      <w:szCs w:val="28"/>
    </w:rPr>
  </w:style>
  <w:style w:type="character" w:styleId="Hyperlink">
    <w:name w:val="Hyperlink"/>
    <w:uiPriority w:val="99"/>
    <w:rsid w:val="00FC4683"/>
    <w:rPr>
      <w:color w:val="0000FF"/>
      <w:u w:val="single"/>
    </w:rPr>
  </w:style>
  <w:style w:type="paragraph" w:styleId="FootnoteText">
    <w:name w:val="footnote text"/>
    <w:basedOn w:val="Normal"/>
    <w:semiHidden/>
    <w:rsid w:val="00E82308"/>
    <w:rPr>
      <w:sz w:val="16"/>
      <w:szCs w:val="20"/>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AC4F79"/>
    <w:pPr>
      <w:spacing w:before="40" w:after="160"/>
      <w:jc w:val="center"/>
    </w:pPr>
    <w:rPr>
      <w:rFonts w:ascii="Arial" w:hAnsi="Arial"/>
      <w:sz w:val="18"/>
    </w:rPr>
  </w:style>
  <w:style w:type="paragraph" w:styleId="BalloonText">
    <w:name w:val="Balloon Text"/>
    <w:basedOn w:val="Normal"/>
    <w:semiHidden/>
    <w:rsid w:val="00FC4683"/>
    <w:rPr>
      <w:rFonts w:ascii="Tahoma" w:hAnsi="Tahoma" w:cs="Tahoma"/>
      <w:sz w:val="16"/>
      <w:szCs w:val="16"/>
    </w:rPr>
  </w:style>
  <w:style w:type="paragraph" w:customStyle="1" w:styleId="bulletlevel1">
    <w:name w:val="bullet level 1"/>
    <w:basedOn w:val="BodyText"/>
    <w:link w:val="bulletlevel1Char1"/>
    <w:rsid w:val="00FC4683"/>
    <w:pPr>
      <w:numPr>
        <w:numId w:val="1"/>
      </w:numPr>
      <w:tabs>
        <w:tab w:val="left" w:pos="576"/>
      </w:tabs>
      <w:ind w:left="576" w:hanging="288"/>
    </w:pPr>
  </w:style>
  <w:style w:type="paragraph" w:styleId="BodyText">
    <w:name w:val="Body Text"/>
    <w:basedOn w:val="Normal"/>
    <w:link w:val="BodyTextChar"/>
    <w:rsid w:val="00033AB3"/>
    <w:pPr>
      <w:spacing w:after="120" w:line="260" w:lineRule="exact"/>
    </w:pPr>
    <w:rPr>
      <w:sz w:val="21"/>
    </w:rPr>
  </w:style>
  <w:style w:type="character" w:customStyle="1" w:styleId="BodyTextChar">
    <w:name w:val="Body Text Char"/>
    <w:link w:val="BodyText"/>
    <w:rsid w:val="00033AB3"/>
    <w:rPr>
      <w:sz w:val="21"/>
      <w:szCs w:val="24"/>
    </w:rPr>
  </w:style>
  <w:style w:type="character" w:customStyle="1" w:styleId="bulletlevel1Char1">
    <w:name w:val="bullet level 1 Char1"/>
    <w:basedOn w:val="BodyTextChar"/>
    <w:link w:val="bulletlevel1"/>
    <w:rsid w:val="005A2A6D"/>
    <w:rPr>
      <w:sz w:val="21"/>
      <w:szCs w:val="24"/>
    </w:rPr>
  </w:style>
  <w:style w:type="paragraph" w:customStyle="1" w:styleId="bulletlevel2">
    <w:name w:val="bullet level 2"/>
    <w:basedOn w:val="bulletlevel1"/>
    <w:link w:val="bulletlevel2Char"/>
    <w:rsid w:val="00B33B13"/>
    <w:pPr>
      <w:numPr>
        <w:numId w:val="0"/>
      </w:numPr>
      <w:tabs>
        <w:tab w:val="clear" w:pos="576"/>
        <w:tab w:val="left" w:pos="864"/>
      </w:tabs>
      <w:ind w:left="864" w:hanging="288"/>
    </w:pPr>
  </w:style>
  <w:style w:type="character" w:customStyle="1" w:styleId="bulletlevel2Char">
    <w:name w:val="bullet level 2 Char"/>
    <w:basedOn w:val="bulletlevel1Char1"/>
    <w:link w:val="bulletlevel2"/>
    <w:rsid w:val="00B33B13"/>
    <w:rPr>
      <w:sz w:val="21"/>
      <w:szCs w:val="24"/>
    </w:rPr>
  </w:style>
  <w:style w:type="paragraph" w:styleId="Header">
    <w:name w:val="header"/>
    <w:basedOn w:val="Normal"/>
    <w:link w:val="HeaderChar"/>
    <w:rsid w:val="00FC4683"/>
    <w:pPr>
      <w:tabs>
        <w:tab w:val="center" w:pos="4320"/>
        <w:tab w:val="right" w:pos="8640"/>
      </w:tabs>
    </w:pPr>
  </w:style>
  <w:style w:type="paragraph" w:styleId="Footer">
    <w:name w:val="footer"/>
    <w:basedOn w:val="Normal"/>
    <w:link w:val="FooterChar"/>
    <w:uiPriority w:val="99"/>
    <w:rsid w:val="00FC4683"/>
    <w:pPr>
      <w:tabs>
        <w:tab w:val="center" w:pos="4320"/>
        <w:tab w:val="right" w:pos="8640"/>
      </w:tabs>
    </w:pPr>
  </w:style>
  <w:style w:type="character" w:styleId="PageNumber">
    <w:name w:val="page number"/>
    <w:rsid w:val="00400806"/>
    <w:rPr>
      <w:rFonts w:ascii="Arial" w:hAnsi="Arial"/>
    </w:rPr>
  </w:style>
  <w:style w:type="paragraph" w:customStyle="1" w:styleId="label">
    <w:name w:val="label"/>
    <w:basedOn w:val="Normal"/>
    <w:rsid w:val="00FC4683"/>
    <w:pPr>
      <w:jc w:val="center"/>
    </w:pPr>
    <w:rPr>
      <w:rFonts w:ascii="Arial" w:hAnsi="Arial" w:cs="Arial"/>
      <w:sz w:val="20"/>
      <w:szCs w:val="20"/>
    </w:rPr>
  </w:style>
  <w:style w:type="table" w:styleId="TableGrid">
    <w:name w:val="Table Grid"/>
    <w:basedOn w:val="TableNormal"/>
    <w:rsid w:val="00497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Normal"/>
    <w:autoRedefine/>
    <w:uiPriority w:val="39"/>
    <w:rsid w:val="00203190"/>
    <w:pPr>
      <w:tabs>
        <w:tab w:val="left" w:pos="360"/>
        <w:tab w:val="right" w:leader="dot" w:pos="8630"/>
      </w:tabs>
    </w:pPr>
  </w:style>
  <w:style w:type="paragraph" w:styleId="TOC2">
    <w:name w:val="toc 2"/>
    <w:basedOn w:val="BodyText"/>
    <w:next w:val="Normal"/>
    <w:autoRedefine/>
    <w:uiPriority w:val="39"/>
    <w:rsid w:val="001A53E9"/>
    <w:pPr>
      <w:tabs>
        <w:tab w:val="left" w:pos="720"/>
        <w:tab w:val="right" w:leader="dot" w:pos="8630"/>
      </w:tabs>
      <w:ind w:left="180"/>
    </w:pPr>
  </w:style>
  <w:style w:type="paragraph" w:styleId="TOC4">
    <w:name w:val="toc 4"/>
    <w:basedOn w:val="Normal"/>
    <w:next w:val="Normal"/>
    <w:autoRedefine/>
    <w:rsid w:val="00822895"/>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rFonts w:ascii="Arial" w:hAnsi="Arial"/>
      <w:b/>
      <w:sz w:val="18"/>
    </w:rPr>
  </w:style>
  <w:style w:type="paragraph" w:customStyle="1" w:styleId="table">
    <w:name w:val="table"/>
    <w:basedOn w:val="BodyText"/>
    <w:rsid w:val="00D055CC"/>
    <w:pPr>
      <w:spacing w:before="20" w:after="20" w:line="240" w:lineRule="exact"/>
    </w:pPr>
    <w:rPr>
      <w:rFonts w:ascii="Arial" w:hAnsi="Arial"/>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002163"/>
    <w:pPr>
      <w:spacing w:before="7200"/>
    </w:pPr>
    <w:rPr>
      <w:rFonts w:ascii="Arial" w:hAnsi="Arial" w:cs="Arial"/>
      <w:bCs/>
      <w:kern w:val="32"/>
      <w:sz w:val="32"/>
      <w:szCs w:val="32"/>
    </w:rPr>
  </w:style>
  <w:style w:type="paragraph" w:customStyle="1" w:styleId="TOCHead">
    <w:name w:val="TOC Head"/>
    <w:rsid w:val="002F68F1"/>
    <w:pPr>
      <w:spacing w:before="320" w:after="240"/>
    </w:pPr>
    <w:rPr>
      <w:rFonts w:ascii="Arial" w:hAnsi="Arial" w:cs="Arial"/>
      <w:b/>
      <w:bCs/>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rsid w:val="00B33B13"/>
    <w:pPr>
      <w:tabs>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tabs>
        <w:tab w:val="left" w:pos="648"/>
      </w:tabs>
      <w:ind w:left="648" w:hanging="288"/>
    </w:pPr>
  </w:style>
  <w:style w:type="character" w:customStyle="1" w:styleId="numberChar">
    <w:name w:val="number Char"/>
    <w:basedOn w:val="BodyTextChar"/>
    <w:link w:val="number"/>
    <w:rsid w:val="00026313"/>
    <w:rPr>
      <w:sz w:val="21"/>
      <w:szCs w:val="24"/>
    </w:rPr>
  </w:style>
  <w:style w:type="character" w:styleId="FollowedHyperlink">
    <w:name w:val="FollowedHyperlink"/>
    <w:rsid w:val="00D700FA"/>
    <w:rPr>
      <w:color w:val="800080"/>
      <w:u w:val="single"/>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sz w:val="21"/>
      <w:szCs w:val="24"/>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sz w:val="21"/>
      <w:szCs w:val="24"/>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sz w:val="21"/>
      <w:szCs w:val="24"/>
    </w:rPr>
  </w:style>
  <w:style w:type="paragraph" w:customStyle="1" w:styleId="bullet3level1">
    <w:name w:val="bullet3 level1"/>
    <w:basedOn w:val="bullet2level1"/>
    <w:rsid w:val="00B97DAF"/>
    <w:pPr>
      <w:tabs>
        <w:tab w:val="left" w:pos="2160"/>
      </w:tabs>
      <w:ind w:left="2160" w:hanging="180"/>
    </w:pPr>
  </w:style>
  <w:style w:type="paragraph" w:customStyle="1" w:styleId="Style1">
    <w:name w:val="Style1"/>
    <w:basedOn w:val="Normal"/>
    <w:rsid w:val="004C31F6"/>
    <w:pPr>
      <w:spacing w:beforeLines="40" w:afterLines="40"/>
      <w:jc w:val="center"/>
    </w:pPr>
    <w:rPr>
      <w:rFonts w:ascii="Wingdings 2" w:hAnsi="Wingdings 2"/>
    </w:rPr>
  </w:style>
  <w:style w:type="paragraph" w:customStyle="1" w:styleId="box">
    <w:name w:val="box"/>
    <w:basedOn w:val="Normal"/>
    <w:rsid w:val="004C31F6"/>
    <w:pPr>
      <w:spacing w:beforeLines="40" w:afterLines="40"/>
      <w:jc w:val="center"/>
    </w:pPr>
    <w:rPr>
      <w:rFonts w:ascii="Wingdings 2" w:hAnsi="Wingdings 2"/>
    </w:r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sz w:val="24"/>
      <w:szCs w:val="28"/>
    </w:rPr>
  </w:style>
  <w:style w:type="paragraph" w:customStyle="1" w:styleId="Table0">
    <w:name w:val="Table"/>
    <w:basedOn w:val="BodyText"/>
    <w:rsid w:val="00031636"/>
    <w:pPr>
      <w:spacing w:before="60" w:after="0" w:line="240" w:lineRule="auto"/>
    </w:pPr>
    <w:rPr>
      <w:rFonts w:ascii="Arial" w:hAnsi="Arial"/>
      <w:sz w:val="24"/>
      <w:szCs w:val="20"/>
    </w:rPr>
  </w:style>
  <w:style w:type="paragraph" w:customStyle="1" w:styleId="TableHeading">
    <w:name w:val="Table Heading"/>
    <w:basedOn w:val="BodyText"/>
    <w:next w:val="Table0"/>
    <w:rsid w:val="00031636"/>
    <w:pPr>
      <w:spacing w:before="60" w:after="0" w:line="240" w:lineRule="auto"/>
      <w:jc w:val="center"/>
    </w:pPr>
    <w:rPr>
      <w:rFonts w:ascii="Arial" w:hAnsi="Arial"/>
      <w:b/>
      <w:sz w:val="24"/>
      <w:szCs w:val="20"/>
    </w:rPr>
  </w:style>
  <w:style w:type="character" w:styleId="CommentReference">
    <w:name w:val="annotation reference"/>
    <w:semiHidden/>
    <w:rsid w:val="00847C44"/>
    <w:rPr>
      <w:sz w:val="16"/>
    </w:rPr>
  </w:style>
  <w:style w:type="paragraph" w:styleId="CommentText">
    <w:name w:val="annotation text"/>
    <w:basedOn w:val="Normal"/>
    <w:rsid w:val="00BB555A"/>
    <w:pPr>
      <w:widowControl w:val="0"/>
      <w:spacing w:line="240" w:lineRule="atLeast"/>
    </w:pPr>
    <w:rPr>
      <w:rFonts w:ascii="Arial" w:hAnsi="Arial"/>
      <w:sz w:val="16"/>
      <w:szCs w:val="20"/>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B8748E"/>
    <w:rPr>
      <w:rFonts w:ascii="Arial" w:hAnsi="Arial"/>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rFonts w:ascii="Arial" w:hAnsi="Arial"/>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rPr>
      <w:sz w:val="20"/>
      <w:szCs w:val="20"/>
    </w:rPr>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4"/>
      </w:numPr>
      <w:tabs>
        <w:tab w:val="clear" w:pos="720"/>
        <w:tab w:val="left" w:pos="2880"/>
      </w:tabs>
      <w:ind w:left="2880"/>
    </w:pPr>
  </w:style>
  <w:style w:type="paragraph" w:customStyle="1" w:styleId="Title1">
    <w:name w:val="Title1"/>
    <w:rsid w:val="00612D8C"/>
    <w:pPr>
      <w:spacing w:before="120" w:after="240"/>
    </w:pPr>
    <w:rPr>
      <w:rFonts w:ascii="Arial" w:hAnsi="Arial" w:cs="Arial"/>
      <w:b/>
      <w:bCs/>
      <w:iCs/>
      <w:szCs w:val="28"/>
    </w:rPr>
  </w:style>
  <w:style w:type="table" w:styleId="TableGrid1">
    <w:name w:val="Table Grid 1"/>
    <w:basedOn w:val="TableNormal"/>
    <w:rsid w:val="00A51B1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rsid w:val="0023418E"/>
    <w:rPr>
      <w:iCs/>
      <w:sz w:val="24"/>
    </w:rPr>
  </w:style>
  <w:style w:type="paragraph" w:customStyle="1" w:styleId="BodyTextNumbered">
    <w:name w:val="Body Text Numbered"/>
    <w:basedOn w:val="BodyText"/>
    <w:link w:val="BodyTextNumberedChar1"/>
    <w:rsid w:val="0023418E"/>
    <w:pPr>
      <w:spacing w:after="240" w:line="240" w:lineRule="auto"/>
      <w:ind w:left="720" w:hanging="720"/>
    </w:pPr>
    <w:rPr>
      <w:iCs/>
      <w:sz w:val="24"/>
      <w:szCs w:val="20"/>
    </w:rPr>
  </w:style>
  <w:style w:type="paragraph" w:customStyle="1" w:styleId="H2">
    <w:name w:val="H2"/>
    <w:basedOn w:val="Heading2"/>
    <w:next w:val="BodyText"/>
    <w:link w:val="H2Char"/>
    <w:rsid w:val="0023418E"/>
    <w:pPr>
      <w:numPr>
        <w:ilvl w:val="0"/>
        <w:numId w:val="0"/>
      </w:numPr>
      <w:tabs>
        <w:tab w:val="left" w:pos="900"/>
      </w:tabs>
      <w:spacing w:before="240" w:after="240"/>
      <w:ind w:left="900" w:hanging="900"/>
    </w:pPr>
    <w:rPr>
      <w:rFonts w:ascii="Times New Roman" w:hAnsi="Times New Roman" w:cs="Times New Roman"/>
      <w:bCs w:val="0"/>
      <w:iCs w:val="0"/>
      <w:szCs w:val="20"/>
    </w:rPr>
  </w:style>
  <w:style w:type="character" w:customStyle="1" w:styleId="H2Char">
    <w:name w:val="H2 Char"/>
    <w:link w:val="H2"/>
    <w:rsid w:val="0023418E"/>
    <w:rPr>
      <w:b/>
      <w:sz w:val="24"/>
    </w:rPr>
  </w:style>
  <w:style w:type="paragraph" w:styleId="ListParagraph">
    <w:name w:val="List Paragraph"/>
    <w:basedOn w:val="Normal"/>
    <w:uiPriority w:val="34"/>
    <w:qFormat/>
    <w:rsid w:val="0038357C"/>
    <w:pPr>
      <w:ind w:left="720"/>
      <w:contextualSpacing/>
    </w:pPr>
  </w:style>
  <w:style w:type="table" w:customStyle="1" w:styleId="TableGrid10">
    <w:name w:val="Table Grid1"/>
    <w:basedOn w:val="TableNormal"/>
    <w:next w:val="TableGrid"/>
    <w:uiPriority w:val="59"/>
    <w:rsid w:val="00697BD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8B1C72"/>
    <w:pPr>
      <w:keepLines/>
      <w:numPr>
        <w:numId w:val="0"/>
      </w:numPr>
      <w:spacing w:before="480" w:after="0" w:line="276" w:lineRule="auto"/>
      <w:outlineLvl w:val="9"/>
    </w:pPr>
    <w:rPr>
      <w:rFonts w:ascii="Cambria" w:hAnsi="Cambria" w:cs="Times New Roman"/>
      <w:color w:val="365F91"/>
      <w:kern w:val="0"/>
      <w:szCs w:val="28"/>
    </w:rPr>
  </w:style>
  <w:style w:type="character" w:customStyle="1" w:styleId="FooterChar">
    <w:name w:val="Footer Char"/>
    <w:link w:val="Footer"/>
    <w:uiPriority w:val="99"/>
    <w:rsid w:val="00DA55EA"/>
    <w:rPr>
      <w:sz w:val="24"/>
      <w:szCs w:val="24"/>
    </w:rPr>
  </w:style>
  <w:style w:type="paragraph" w:styleId="BodyTextIndent">
    <w:name w:val="Body Text Indent"/>
    <w:basedOn w:val="Normal"/>
    <w:link w:val="BodyTextIndentChar"/>
    <w:rsid w:val="00FC4DEE"/>
    <w:pPr>
      <w:spacing w:after="120"/>
      <w:ind w:left="360"/>
    </w:pPr>
  </w:style>
  <w:style w:type="character" w:customStyle="1" w:styleId="BodyTextIndentChar">
    <w:name w:val="Body Text Indent Char"/>
    <w:link w:val="BodyTextIndent"/>
    <w:rsid w:val="00FC4DEE"/>
    <w:rPr>
      <w:sz w:val="24"/>
      <w:szCs w:val="24"/>
    </w:rPr>
  </w:style>
  <w:style w:type="paragraph" w:customStyle="1" w:styleId="H3">
    <w:name w:val="H3"/>
    <w:basedOn w:val="Heading3"/>
    <w:next w:val="BodyText"/>
    <w:rsid w:val="00FC4DEE"/>
    <w:pPr>
      <w:numPr>
        <w:ilvl w:val="0"/>
        <w:numId w:val="0"/>
      </w:numPr>
      <w:tabs>
        <w:tab w:val="left" w:pos="1080"/>
      </w:tabs>
      <w:spacing w:before="240" w:after="240"/>
      <w:ind w:left="1080" w:hanging="1080"/>
    </w:pPr>
    <w:rPr>
      <w:rFonts w:ascii="Times New Roman" w:hAnsi="Times New Roman"/>
      <w:i/>
      <w:sz w:val="24"/>
      <w:szCs w:val="20"/>
    </w:rPr>
  </w:style>
  <w:style w:type="character" w:customStyle="1" w:styleId="BodyTextNumberedChar">
    <w:name w:val="Body Text Numbered Char"/>
    <w:rsid w:val="00FC4DEE"/>
    <w:rPr>
      <w:iCs/>
      <w:sz w:val="24"/>
      <w:lang w:val="en-US" w:eastAsia="en-US" w:bidi="ar-SA"/>
    </w:rPr>
  </w:style>
  <w:style w:type="character" w:styleId="PlaceholderText">
    <w:name w:val="Placeholder Text"/>
    <w:uiPriority w:val="99"/>
    <w:semiHidden/>
    <w:rsid w:val="00CB1730"/>
    <w:rPr>
      <w:color w:val="808080"/>
    </w:rPr>
  </w:style>
  <w:style w:type="character" w:styleId="Emphasis">
    <w:name w:val="Emphasis"/>
    <w:qFormat/>
    <w:rsid w:val="00DA4BE7"/>
    <w:rPr>
      <w:i/>
      <w:iCs/>
    </w:rPr>
  </w:style>
  <w:style w:type="paragraph" w:styleId="Revision">
    <w:name w:val="Revision"/>
    <w:hidden/>
    <w:uiPriority w:val="99"/>
    <w:semiHidden/>
    <w:rsid w:val="006D55B6"/>
    <w:rPr>
      <w:sz w:val="24"/>
      <w:szCs w:val="24"/>
    </w:rPr>
  </w:style>
  <w:style w:type="paragraph" w:customStyle="1" w:styleId="BodyText1">
    <w:name w:val="Body Text1"/>
    <w:basedOn w:val="Normal"/>
    <w:rsid w:val="00574F54"/>
    <w:pPr>
      <w:spacing w:line="260" w:lineRule="exact"/>
    </w:pPr>
    <w:rPr>
      <w:sz w:val="21"/>
    </w:rPr>
  </w:style>
  <w:style w:type="character" w:customStyle="1" w:styleId="HeaderChar">
    <w:name w:val="Header Char"/>
    <w:link w:val="Header"/>
    <w:rsid w:val="00B873EE"/>
    <w:rPr>
      <w:sz w:val="24"/>
      <w:szCs w:val="24"/>
    </w:rPr>
  </w:style>
  <w:style w:type="paragraph" w:customStyle="1" w:styleId="NormalArial">
    <w:name w:val="Normal+Arial"/>
    <w:basedOn w:val="Normal"/>
    <w:link w:val="NormalArialChar"/>
    <w:rsid w:val="003A01A1"/>
    <w:rPr>
      <w:rFonts w:ascii="Arial" w:hAnsi="Arial"/>
    </w:rPr>
  </w:style>
  <w:style w:type="character" w:customStyle="1" w:styleId="NormalArialChar">
    <w:name w:val="Normal+Arial Char"/>
    <w:link w:val="NormalArial"/>
    <w:rsid w:val="003A01A1"/>
    <w:rPr>
      <w:rFonts w:ascii="Arial" w:hAnsi="Arial"/>
      <w:sz w:val="24"/>
      <w:szCs w:val="24"/>
    </w:rPr>
  </w:style>
  <w:style w:type="paragraph" w:customStyle="1" w:styleId="Default">
    <w:name w:val="Default"/>
    <w:rsid w:val="00C42433"/>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16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57898465">
      <w:bodyDiv w:val="1"/>
      <w:marLeft w:val="0"/>
      <w:marRight w:val="0"/>
      <w:marTop w:val="0"/>
      <w:marBottom w:val="0"/>
      <w:divBdr>
        <w:top w:val="none" w:sz="0" w:space="0" w:color="auto"/>
        <w:left w:val="none" w:sz="0" w:space="0" w:color="auto"/>
        <w:bottom w:val="none" w:sz="0" w:space="0" w:color="auto"/>
        <w:right w:val="none" w:sz="0" w:space="0" w:color="auto"/>
      </w:divBdr>
    </w:div>
    <w:div w:id="107749020">
      <w:bodyDiv w:val="1"/>
      <w:marLeft w:val="0"/>
      <w:marRight w:val="0"/>
      <w:marTop w:val="0"/>
      <w:marBottom w:val="0"/>
      <w:divBdr>
        <w:top w:val="none" w:sz="0" w:space="0" w:color="auto"/>
        <w:left w:val="none" w:sz="0" w:space="0" w:color="auto"/>
        <w:bottom w:val="none" w:sz="0" w:space="0" w:color="auto"/>
        <w:right w:val="none" w:sz="0" w:space="0" w:color="auto"/>
      </w:divBdr>
    </w:div>
    <w:div w:id="109133909">
      <w:bodyDiv w:val="1"/>
      <w:marLeft w:val="0"/>
      <w:marRight w:val="0"/>
      <w:marTop w:val="0"/>
      <w:marBottom w:val="0"/>
      <w:divBdr>
        <w:top w:val="none" w:sz="0" w:space="0" w:color="auto"/>
        <w:left w:val="none" w:sz="0" w:space="0" w:color="auto"/>
        <w:bottom w:val="none" w:sz="0" w:space="0" w:color="auto"/>
        <w:right w:val="none" w:sz="0" w:space="0" w:color="auto"/>
      </w:divBdr>
    </w:div>
    <w:div w:id="344669023">
      <w:bodyDiv w:val="1"/>
      <w:marLeft w:val="0"/>
      <w:marRight w:val="0"/>
      <w:marTop w:val="0"/>
      <w:marBottom w:val="0"/>
      <w:divBdr>
        <w:top w:val="none" w:sz="0" w:space="0" w:color="auto"/>
        <w:left w:val="none" w:sz="0" w:space="0" w:color="auto"/>
        <w:bottom w:val="none" w:sz="0" w:space="0" w:color="auto"/>
        <w:right w:val="none" w:sz="0" w:space="0" w:color="auto"/>
      </w:divBdr>
    </w:div>
    <w:div w:id="586698354">
      <w:bodyDiv w:val="1"/>
      <w:marLeft w:val="0"/>
      <w:marRight w:val="0"/>
      <w:marTop w:val="0"/>
      <w:marBottom w:val="0"/>
      <w:divBdr>
        <w:top w:val="none" w:sz="0" w:space="0" w:color="auto"/>
        <w:left w:val="none" w:sz="0" w:space="0" w:color="auto"/>
        <w:bottom w:val="none" w:sz="0" w:space="0" w:color="auto"/>
        <w:right w:val="none" w:sz="0" w:space="0" w:color="auto"/>
      </w:divBdr>
    </w:div>
    <w:div w:id="608200106">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385373529">
      <w:bodyDiv w:val="1"/>
      <w:marLeft w:val="0"/>
      <w:marRight w:val="0"/>
      <w:marTop w:val="0"/>
      <w:marBottom w:val="0"/>
      <w:divBdr>
        <w:top w:val="none" w:sz="0" w:space="0" w:color="auto"/>
        <w:left w:val="none" w:sz="0" w:space="0" w:color="auto"/>
        <w:bottom w:val="none" w:sz="0" w:space="0" w:color="auto"/>
        <w:right w:val="none" w:sz="0" w:space="0" w:color="auto"/>
      </w:divBdr>
    </w:div>
    <w:div w:id="1895774656">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110813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rcot.com/mktrules/nprotocol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rcot.com/files/docs/2024/06/24/EIP_External_Interfaces_Specification_RTCB_v1.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8AD0E0CAF7B4E808CD271E0F3018F" ma:contentTypeVersion="3" ma:contentTypeDescription="Create a new document." ma:contentTypeScope="" ma:versionID="608493689afd278824f71ed8a81d4016">
  <xsd:schema xmlns:xsd="http://www.w3.org/2001/XMLSchema" xmlns:xs="http://www.w3.org/2001/XMLSchema" xmlns:p="http://schemas.microsoft.com/office/2006/metadata/properties" xmlns:ns2="d8f7920c-22fb-40aa-b095-c84f62a3b814" targetNamespace="http://schemas.microsoft.com/office/2006/metadata/properties" ma:root="true" ma:fieldsID="01cbfd310003c853f42de0ce0063806b" ns2:_="">
    <xsd:import namespace="d8f7920c-22fb-40aa-b095-c84f62a3b8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7920c-22fb-40aa-b095-c84f62a3b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2DC3A-5EA1-484A-87BF-EC85614F7D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01B00F-A315-4E57-A9A9-756285394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7920c-22fb-40aa-b095-c84f62a3b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BAD2B-C5C3-4577-A0C0-2419FCB0CF3D}">
  <ds:schemaRefs>
    <ds:schemaRef ds:uri="http://schemas.microsoft.com/sharepoint/v3/contenttype/forms"/>
  </ds:schemaRefs>
</ds:datastoreItem>
</file>

<file path=customXml/itemProps4.xml><?xml version="1.0" encoding="utf-8"?>
<ds:datastoreItem xmlns:ds="http://schemas.openxmlformats.org/officeDocument/2006/customXml" ds:itemID="{C89E86B1-20AB-44B7-9255-BDAFBFF8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5513</Words>
  <Characters>27295</Characters>
  <Application>Microsoft Office Word</Application>
  <DocSecurity>0</DocSecurity>
  <Lines>1010</Lines>
  <Paragraphs>745</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32063</CharactersWithSpaces>
  <SharedDoc>false</SharedDoc>
  <HLinks>
    <vt:vector size="84" baseType="variant">
      <vt:variant>
        <vt:i4>4587570</vt:i4>
      </vt:variant>
      <vt:variant>
        <vt:i4>78</vt:i4>
      </vt:variant>
      <vt:variant>
        <vt:i4>0</vt:i4>
      </vt:variant>
      <vt:variant>
        <vt:i4>5</vt:i4>
      </vt:variant>
      <vt:variant>
        <vt:lpwstr>https://www.ercot.com/files/docs/2024/06/24/EIP_External_Interfaces_Specification_RTCB_v1.0.zip</vt:lpwstr>
      </vt:variant>
      <vt:variant>
        <vt:lpwstr/>
      </vt:variant>
      <vt:variant>
        <vt:i4>1441852</vt:i4>
      </vt:variant>
      <vt:variant>
        <vt:i4>71</vt:i4>
      </vt:variant>
      <vt:variant>
        <vt:i4>0</vt:i4>
      </vt:variant>
      <vt:variant>
        <vt:i4>5</vt:i4>
      </vt:variant>
      <vt:variant>
        <vt:lpwstr/>
      </vt:variant>
      <vt:variant>
        <vt:lpwstr>_Toc169878379</vt:lpwstr>
      </vt:variant>
      <vt:variant>
        <vt:i4>1441852</vt:i4>
      </vt:variant>
      <vt:variant>
        <vt:i4>65</vt:i4>
      </vt:variant>
      <vt:variant>
        <vt:i4>0</vt:i4>
      </vt:variant>
      <vt:variant>
        <vt:i4>5</vt:i4>
      </vt:variant>
      <vt:variant>
        <vt:lpwstr/>
      </vt:variant>
      <vt:variant>
        <vt:lpwstr>_Toc169878378</vt:lpwstr>
      </vt:variant>
      <vt:variant>
        <vt:i4>1441852</vt:i4>
      </vt:variant>
      <vt:variant>
        <vt:i4>59</vt:i4>
      </vt:variant>
      <vt:variant>
        <vt:i4>0</vt:i4>
      </vt:variant>
      <vt:variant>
        <vt:i4>5</vt:i4>
      </vt:variant>
      <vt:variant>
        <vt:lpwstr/>
      </vt:variant>
      <vt:variant>
        <vt:lpwstr>_Toc169878377</vt:lpwstr>
      </vt:variant>
      <vt:variant>
        <vt:i4>1441852</vt:i4>
      </vt:variant>
      <vt:variant>
        <vt:i4>53</vt:i4>
      </vt:variant>
      <vt:variant>
        <vt:i4>0</vt:i4>
      </vt:variant>
      <vt:variant>
        <vt:i4>5</vt:i4>
      </vt:variant>
      <vt:variant>
        <vt:lpwstr/>
      </vt:variant>
      <vt:variant>
        <vt:lpwstr>_Toc169878376</vt:lpwstr>
      </vt:variant>
      <vt:variant>
        <vt:i4>1441852</vt:i4>
      </vt:variant>
      <vt:variant>
        <vt:i4>47</vt:i4>
      </vt:variant>
      <vt:variant>
        <vt:i4>0</vt:i4>
      </vt:variant>
      <vt:variant>
        <vt:i4>5</vt:i4>
      </vt:variant>
      <vt:variant>
        <vt:lpwstr/>
      </vt:variant>
      <vt:variant>
        <vt:lpwstr>_Toc169878375</vt:lpwstr>
      </vt:variant>
      <vt:variant>
        <vt:i4>1441852</vt:i4>
      </vt:variant>
      <vt:variant>
        <vt:i4>41</vt:i4>
      </vt:variant>
      <vt:variant>
        <vt:i4>0</vt:i4>
      </vt:variant>
      <vt:variant>
        <vt:i4>5</vt:i4>
      </vt:variant>
      <vt:variant>
        <vt:lpwstr/>
      </vt:variant>
      <vt:variant>
        <vt:lpwstr>_Toc169878374</vt:lpwstr>
      </vt:variant>
      <vt:variant>
        <vt:i4>1441852</vt:i4>
      </vt:variant>
      <vt:variant>
        <vt:i4>35</vt:i4>
      </vt:variant>
      <vt:variant>
        <vt:i4>0</vt:i4>
      </vt:variant>
      <vt:variant>
        <vt:i4>5</vt:i4>
      </vt:variant>
      <vt:variant>
        <vt:lpwstr/>
      </vt:variant>
      <vt:variant>
        <vt:lpwstr>_Toc169878373</vt:lpwstr>
      </vt:variant>
      <vt:variant>
        <vt:i4>1441852</vt:i4>
      </vt:variant>
      <vt:variant>
        <vt:i4>29</vt:i4>
      </vt:variant>
      <vt:variant>
        <vt:i4>0</vt:i4>
      </vt:variant>
      <vt:variant>
        <vt:i4>5</vt:i4>
      </vt:variant>
      <vt:variant>
        <vt:lpwstr/>
      </vt:variant>
      <vt:variant>
        <vt:lpwstr>_Toc169878372</vt:lpwstr>
      </vt:variant>
      <vt:variant>
        <vt:i4>1441852</vt:i4>
      </vt:variant>
      <vt:variant>
        <vt:i4>23</vt:i4>
      </vt:variant>
      <vt:variant>
        <vt:i4>0</vt:i4>
      </vt:variant>
      <vt:variant>
        <vt:i4>5</vt:i4>
      </vt:variant>
      <vt:variant>
        <vt:lpwstr/>
      </vt:variant>
      <vt:variant>
        <vt:lpwstr>_Toc169878371</vt:lpwstr>
      </vt:variant>
      <vt:variant>
        <vt:i4>1441852</vt:i4>
      </vt:variant>
      <vt:variant>
        <vt:i4>17</vt:i4>
      </vt:variant>
      <vt:variant>
        <vt:i4>0</vt:i4>
      </vt:variant>
      <vt:variant>
        <vt:i4>5</vt:i4>
      </vt:variant>
      <vt:variant>
        <vt:lpwstr/>
      </vt:variant>
      <vt:variant>
        <vt:lpwstr>_Toc169878370</vt:lpwstr>
      </vt:variant>
      <vt:variant>
        <vt:i4>1507388</vt:i4>
      </vt:variant>
      <vt:variant>
        <vt:i4>11</vt:i4>
      </vt:variant>
      <vt:variant>
        <vt:i4>0</vt:i4>
      </vt:variant>
      <vt:variant>
        <vt:i4>5</vt:i4>
      </vt:variant>
      <vt:variant>
        <vt:lpwstr/>
      </vt:variant>
      <vt:variant>
        <vt:lpwstr>_Toc169878369</vt:lpwstr>
      </vt:variant>
      <vt:variant>
        <vt:i4>1507388</vt:i4>
      </vt:variant>
      <vt:variant>
        <vt:i4>5</vt:i4>
      </vt:variant>
      <vt:variant>
        <vt:i4>0</vt:i4>
      </vt:variant>
      <vt:variant>
        <vt:i4>5</vt:i4>
      </vt:variant>
      <vt:variant>
        <vt:lpwstr/>
      </vt:variant>
      <vt:variant>
        <vt:lpwstr>_Toc169878368</vt:lpwstr>
      </vt:variant>
      <vt:variant>
        <vt:i4>1900610</vt:i4>
      </vt:variant>
      <vt:variant>
        <vt:i4>0</vt:i4>
      </vt:variant>
      <vt:variant>
        <vt:i4>0</vt:i4>
      </vt:variant>
      <vt:variant>
        <vt:i4>5</vt:i4>
      </vt:variant>
      <vt:variant>
        <vt:lpwstr>http://www.ercot.com/mktrules/nprotocols/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Ragsdale, Kenneth</dc:creator>
  <cp:keywords/>
  <dc:description/>
  <cp:lastModifiedBy>Ragsdale, Kenneth</cp:lastModifiedBy>
  <cp:revision>19</cp:revision>
  <dcterms:created xsi:type="dcterms:W3CDTF">2025-12-02T23:22:00Z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2024-01-09T22:46:29Z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ca6078c9-0555-4207-9d2a-38a8fbba75d4</vt:lpwstr>
  </property>
  <property fmtid="{D5CDD505-2E9C-101B-9397-08002B2CF9AE}" pid="8" name="MSIP_Label_7084cbda-52b8-46fb-a7b7-cb5bd465ed85_ContentBits">
    <vt:lpwstr>0</vt:lpwstr>
  </property>
  <property fmtid="{D5CDD505-2E9C-101B-9397-08002B2CF9AE}" pid="9" name="ContentTypeId">
    <vt:lpwstr>0x010100B638AD0E0CAF7B4E808CD271E0F3018F</vt:lpwstr>
  </property>
  <property fmtid="{D5CDD505-2E9C-101B-9397-08002B2CF9AE}" pid="10" name="docLang">
    <vt:lpwstr>en</vt:lpwstr>
  </property>
</Properties>
</file>