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A12106E" w14:textId="77777777">
        <w:tc>
          <w:tcPr>
            <w:tcW w:w="1620" w:type="dxa"/>
            <w:tcBorders>
              <w:bottom w:val="single" w:sz="4" w:space="0" w:color="auto"/>
            </w:tcBorders>
            <w:shd w:val="clear" w:color="auto" w:fill="FFFFFF"/>
            <w:vAlign w:val="center"/>
          </w:tcPr>
          <w:p w14:paraId="43745C7D"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0D00B9" w14:textId="77777777" w:rsidR="00152993" w:rsidRDefault="00FB59E3">
            <w:pPr>
              <w:pStyle w:val="Header"/>
            </w:pPr>
            <w:hyperlink r:id="rId8" w:history="1">
              <w:r w:rsidR="006E048F" w:rsidRPr="006A24B7">
                <w:rPr>
                  <w:rStyle w:val="Hyperlink"/>
                </w:rPr>
                <w:t>1224</w:t>
              </w:r>
            </w:hyperlink>
          </w:p>
        </w:tc>
        <w:tc>
          <w:tcPr>
            <w:tcW w:w="900" w:type="dxa"/>
            <w:tcBorders>
              <w:bottom w:val="single" w:sz="4" w:space="0" w:color="auto"/>
            </w:tcBorders>
            <w:shd w:val="clear" w:color="auto" w:fill="FFFFFF"/>
            <w:vAlign w:val="center"/>
          </w:tcPr>
          <w:p w14:paraId="27E1A6D4" w14:textId="77777777" w:rsidR="00152993" w:rsidRDefault="00EE6681">
            <w:pPr>
              <w:pStyle w:val="Header"/>
            </w:pPr>
            <w:r>
              <w:t>N</w:t>
            </w:r>
            <w:r w:rsidR="00152993">
              <w:t>PRR Title</w:t>
            </w:r>
          </w:p>
        </w:tc>
        <w:tc>
          <w:tcPr>
            <w:tcW w:w="6660" w:type="dxa"/>
            <w:tcBorders>
              <w:bottom w:val="single" w:sz="4" w:space="0" w:color="auto"/>
            </w:tcBorders>
            <w:vAlign w:val="center"/>
          </w:tcPr>
          <w:p w14:paraId="16C9E2E4" w14:textId="77777777" w:rsidR="00152993" w:rsidRDefault="006E048F">
            <w:pPr>
              <w:pStyle w:val="Header"/>
            </w:pPr>
            <w:r w:rsidRPr="00BC63E1">
              <w:t>ECRS Manual Deployment Triggers</w:t>
            </w:r>
          </w:p>
        </w:tc>
      </w:tr>
      <w:tr w:rsidR="00152993" w14:paraId="18CAE66B" w14:textId="77777777">
        <w:trPr>
          <w:trHeight w:val="413"/>
        </w:trPr>
        <w:tc>
          <w:tcPr>
            <w:tcW w:w="2880" w:type="dxa"/>
            <w:gridSpan w:val="2"/>
            <w:tcBorders>
              <w:top w:val="nil"/>
              <w:left w:val="nil"/>
              <w:bottom w:val="single" w:sz="4" w:space="0" w:color="auto"/>
              <w:right w:val="nil"/>
            </w:tcBorders>
            <w:vAlign w:val="center"/>
          </w:tcPr>
          <w:p w14:paraId="020D305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F0548E9" w14:textId="77777777" w:rsidR="00152993" w:rsidRDefault="00152993">
            <w:pPr>
              <w:pStyle w:val="NormalArial"/>
            </w:pPr>
          </w:p>
        </w:tc>
      </w:tr>
      <w:tr w:rsidR="00152993" w14:paraId="4864560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AF6643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6EBD64" w14:textId="409BDF2B" w:rsidR="00152993" w:rsidRDefault="00DF6AB6">
            <w:pPr>
              <w:pStyle w:val="NormalArial"/>
            </w:pPr>
            <w:r>
              <w:t xml:space="preserve">June </w:t>
            </w:r>
            <w:r w:rsidR="0090122E">
              <w:t>10</w:t>
            </w:r>
            <w:r w:rsidR="006E048F">
              <w:t>, 2024</w:t>
            </w:r>
          </w:p>
        </w:tc>
      </w:tr>
      <w:tr w:rsidR="00152993" w14:paraId="05465020" w14:textId="77777777">
        <w:trPr>
          <w:trHeight w:val="467"/>
        </w:trPr>
        <w:tc>
          <w:tcPr>
            <w:tcW w:w="2880" w:type="dxa"/>
            <w:gridSpan w:val="2"/>
            <w:tcBorders>
              <w:top w:val="single" w:sz="4" w:space="0" w:color="auto"/>
              <w:left w:val="nil"/>
              <w:bottom w:val="nil"/>
              <w:right w:val="nil"/>
            </w:tcBorders>
            <w:shd w:val="clear" w:color="auto" w:fill="FFFFFF"/>
            <w:vAlign w:val="center"/>
          </w:tcPr>
          <w:p w14:paraId="4C454D4B" w14:textId="77777777" w:rsidR="00152993" w:rsidRDefault="00152993">
            <w:pPr>
              <w:pStyle w:val="NormalArial"/>
            </w:pPr>
          </w:p>
        </w:tc>
        <w:tc>
          <w:tcPr>
            <w:tcW w:w="7560" w:type="dxa"/>
            <w:gridSpan w:val="2"/>
            <w:tcBorders>
              <w:top w:val="nil"/>
              <w:left w:val="nil"/>
              <w:bottom w:val="nil"/>
              <w:right w:val="nil"/>
            </w:tcBorders>
            <w:vAlign w:val="center"/>
          </w:tcPr>
          <w:p w14:paraId="19B30EAA" w14:textId="77777777" w:rsidR="00152993" w:rsidRDefault="00152993">
            <w:pPr>
              <w:pStyle w:val="NormalArial"/>
            </w:pPr>
          </w:p>
        </w:tc>
      </w:tr>
      <w:tr w:rsidR="00152993" w14:paraId="46B5C82D" w14:textId="77777777">
        <w:trPr>
          <w:trHeight w:val="440"/>
        </w:trPr>
        <w:tc>
          <w:tcPr>
            <w:tcW w:w="10440" w:type="dxa"/>
            <w:gridSpan w:val="4"/>
            <w:tcBorders>
              <w:top w:val="single" w:sz="4" w:space="0" w:color="auto"/>
            </w:tcBorders>
            <w:shd w:val="clear" w:color="auto" w:fill="FFFFFF"/>
            <w:vAlign w:val="center"/>
          </w:tcPr>
          <w:p w14:paraId="757C9039" w14:textId="77777777" w:rsidR="00152993" w:rsidRDefault="00152993">
            <w:pPr>
              <w:pStyle w:val="Header"/>
              <w:jc w:val="center"/>
            </w:pPr>
            <w:r>
              <w:t>Submitter’s Information</w:t>
            </w:r>
          </w:p>
        </w:tc>
      </w:tr>
      <w:tr w:rsidR="00152993" w14:paraId="5A8BA159" w14:textId="77777777">
        <w:trPr>
          <w:trHeight w:val="350"/>
        </w:trPr>
        <w:tc>
          <w:tcPr>
            <w:tcW w:w="2880" w:type="dxa"/>
            <w:gridSpan w:val="2"/>
            <w:shd w:val="clear" w:color="auto" w:fill="FFFFFF"/>
            <w:vAlign w:val="center"/>
          </w:tcPr>
          <w:p w14:paraId="46CD4EB9" w14:textId="77777777" w:rsidR="00152993" w:rsidRPr="00EC55B3" w:rsidRDefault="00152993" w:rsidP="00EC55B3">
            <w:pPr>
              <w:pStyle w:val="Header"/>
            </w:pPr>
            <w:r w:rsidRPr="00EC55B3">
              <w:t>Name</w:t>
            </w:r>
          </w:p>
        </w:tc>
        <w:tc>
          <w:tcPr>
            <w:tcW w:w="7560" w:type="dxa"/>
            <w:gridSpan w:val="2"/>
            <w:vAlign w:val="center"/>
          </w:tcPr>
          <w:p w14:paraId="4D51EA05" w14:textId="22F86EDA" w:rsidR="00152993" w:rsidRDefault="0090122E">
            <w:pPr>
              <w:pStyle w:val="NormalArial"/>
            </w:pPr>
            <w:r>
              <w:t>Michele Richmond, Blake Holt, Bob Helton</w:t>
            </w:r>
          </w:p>
        </w:tc>
      </w:tr>
      <w:tr w:rsidR="00152993" w14:paraId="52A2554A" w14:textId="77777777">
        <w:trPr>
          <w:trHeight w:val="350"/>
        </w:trPr>
        <w:tc>
          <w:tcPr>
            <w:tcW w:w="2880" w:type="dxa"/>
            <w:gridSpan w:val="2"/>
            <w:shd w:val="clear" w:color="auto" w:fill="FFFFFF"/>
            <w:vAlign w:val="center"/>
          </w:tcPr>
          <w:p w14:paraId="39B9C3E0" w14:textId="77777777" w:rsidR="00152993" w:rsidRPr="00EC55B3" w:rsidRDefault="00152993" w:rsidP="00EC55B3">
            <w:pPr>
              <w:pStyle w:val="Header"/>
            </w:pPr>
            <w:r w:rsidRPr="00EC55B3">
              <w:t>E-mail Address</w:t>
            </w:r>
          </w:p>
        </w:tc>
        <w:tc>
          <w:tcPr>
            <w:tcW w:w="7560" w:type="dxa"/>
            <w:gridSpan w:val="2"/>
            <w:vAlign w:val="center"/>
          </w:tcPr>
          <w:p w14:paraId="269C3B79" w14:textId="119D14E6" w:rsidR="00152993" w:rsidRDefault="00FB59E3">
            <w:pPr>
              <w:pStyle w:val="NormalArial"/>
            </w:pPr>
            <w:hyperlink r:id="rId9" w:history="1">
              <w:r w:rsidR="0090122E" w:rsidRPr="00EF3DDB">
                <w:rPr>
                  <w:rStyle w:val="Hyperlink"/>
                </w:rPr>
                <w:t>michele@competitivepower.org</w:t>
              </w:r>
            </w:hyperlink>
            <w:r w:rsidR="0090122E">
              <w:t xml:space="preserve">, </w:t>
            </w:r>
            <w:hyperlink r:id="rId10" w:history="1">
              <w:r w:rsidR="0090122E" w:rsidRPr="00EF3DDB">
                <w:rPr>
                  <w:rStyle w:val="Hyperlink"/>
                </w:rPr>
                <w:t>blake.holt@lcra.org</w:t>
              </w:r>
            </w:hyperlink>
            <w:r w:rsidR="0090122E">
              <w:t xml:space="preserve"> </w:t>
            </w:r>
            <w:r w:rsidR="00F3549F">
              <w:t>,</w:t>
            </w:r>
            <w:r w:rsidR="0090122E">
              <w:t xml:space="preserve"> </w:t>
            </w:r>
            <w:hyperlink r:id="rId11" w:history="1">
              <w:r w:rsidR="0090122E" w:rsidRPr="00EF3DDB">
                <w:rPr>
                  <w:rStyle w:val="Hyperlink"/>
                </w:rPr>
                <w:t>Robert.helton@engie.com</w:t>
              </w:r>
            </w:hyperlink>
            <w:r w:rsidR="0090122E">
              <w:t xml:space="preserve"> </w:t>
            </w:r>
          </w:p>
        </w:tc>
      </w:tr>
      <w:tr w:rsidR="00152993" w14:paraId="3A5EC764" w14:textId="77777777">
        <w:trPr>
          <w:trHeight w:val="350"/>
        </w:trPr>
        <w:tc>
          <w:tcPr>
            <w:tcW w:w="2880" w:type="dxa"/>
            <w:gridSpan w:val="2"/>
            <w:shd w:val="clear" w:color="auto" w:fill="FFFFFF"/>
            <w:vAlign w:val="center"/>
          </w:tcPr>
          <w:p w14:paraId="38AEEAE6" w14:textId="77777777" w:rsidR="00152993" w:rsidRPr="00EC55B3" w:rsidRDefault="00152993" w:rsidP="00EC55B3">
            <w:pPr>
              <w:pStyle w:val="Header"/>
            </w:pPr>
            <w:r w:rsidRPr="00EC55B3">
              <w:t>Company</w:t>
            </w:r>
          </w:p>
        </w:tc>
        <w:tc>
          <w:tcPr>
            <w:tcW w:w="7560" w:type="dxa"/>
            <w:gridSpan w:val="2"/>
            <w:vAlign w:val="center"/>
          </w:tcPr>
          <w:p w14:paraId="29764C6D" w14:textId="16375636" w:rsidR="00152993" w:rsidRDefault="0090122E">
            <w:pPr>
              <w:pStyle w:val="NormalArial"/>
            </w:pPr>
            <w:r>
              <w:t>Texas Competitive Power Advocates (TCPA)</w:t>
            </w:r>
            <w:r>
              <w:rPr>
                <w:rStyle w:val="FootnoteReference"/>
              </w:rPr>
              <w:footnoteReference w:id="2"/>
            </w:r>
            <w:r>
              <w:t>, LCRA, &amp; Engie</w:t>
            </w:r>
            <w:r w:rsidR="00F3549F">
              <w:t xml:space="preserve"> (“Joint Commenters”)</w:t>
            </w:r>
          </w:p>
        </w:tc>
      </w:tr>
      <w:tr w:rsidR="00152993" w14:paraId="442DC9D7" w14:textId="77777777">
        <w:trPr>
          <w:trHeight w:val="350"/>
        </w:trPr>
        <w:tc>
          <w:tcPr>
            <w:tcW w:w="2880" w:type="dxa"/>
            <w:gridSpan w:val="2"/>
            <w:tcBorders>
              <w:bottom w:val="single" w:sz="4" w:space="0" w:color="auto"/>
            </w:tcBorders>
            <w:shd w:val="clear" w:color="auto" w:fill="FFFFFF"/>
            <w:vAlign w:val="center"/>
          </w:tcPr>
          <w:p w14:paraId="6114205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C29A1B7" w14:textId="37D7DC02" w:rsidR="00152993" w:rsidRDefault="00152993">
            <w:pPr>
              <w:pStyle w:val="NormalArial"/>
            </w:pPr>
          </w:p>
        </w:tc>
      </w:tr>
      <w:tr w:rsidR="0090122E" w14:paraId="5F2F5DD7" w14:textId="77777777">
        <w:trPr>
          <w:trHeight w:val="350"/>
        </w:trPr>
        <w:tc>
          <w:tcPr>
            <w:tcW w:w="2880" w:type="dxa"/>
            <w:gridSpan w:val="2"/>
            <w:shd w:val="clear" w:color="auto" w:fill="FFFFFF"/>
            <w:vAlign w:val="center"/>
          </w:tcPr>
          <w:p w14:paraId="2BA50736" w14:textId="77777777" w:rsidR="0090122E" w:rsidRPr="00EC55B3" w:rsidRDefault="0090122E" w:rsidP="0090122E">
            <w:pPr>
              <w:pStyle w:val="Header"/>
            </w:pPr>
            <w:r>
              <w:t>Cell</w:t>
            </w:r>
            <w:r w:rsidRPr="00EC55B3">
              <w:t xml:space="preserve"> Number</w:t>
            </w:r>
          </w:p>
        </w:tc>
        <w:tc>
          <w:tcPr>
            <w:tcW w:w="7560" w:type="dxa"/>
            <w:gridSpan w:val="2"/>
            <w:vAlign w:val="center"/>
          </w:tcPr>
          <w:p w14:paraId="75126EBE" w14:textId="3594548C" w:rsidR="0090122E" w:rsidRDefault="0090122E" w:rsidP="0090122E">
            <w:pPr>
              <w:pStyle w:val="NormalArial"/>
            </w:pPr>
            <w:r>
              <w:t>512-653-7447, 254-913-8096 &amp; 832-435-7815</w:t>
            </w:r>
          </w:p>
        </w:tc>
      </w:tr>
      <w:tr w:rsidR="0090122E" w14:paraId="16EB7296" w14:textId="77777777">
        <w:trPr>
          <w:trHeight w:val="350"/>
        </w:trPr>
        <w:tc>
          <w:tcPr>
            <w:tcW w:w="2880" w:type="dxa"/>
            <w:gridSpan w:val="2"/>
            <w:tcBorders>
              <w:bottom w:val="single" w:sz="4" w:space="0" w:color="auto"/>
            </w:tcBorders>
            <w:shd w:val="clear" w:color="auto" w:fill="FFFFFF"/>
            <w:vAlign w:val="center"/>
          </w:tcPr>
          <w:p w14:paraId="372FF3D2" w14:textId="77777777" w:rsidR="0090122E" w:rsidRPr="00EC55B3" w:rsidDel="00075A94" w:rsidRDefault="0090122E" w:rsidP="0090122E">
            <w:pPr>
              <w:pStyle w:val="Header"/>
            </w:pPr>
            <w:r>
              <w:t>Market Segment</w:t>
            </w:r>
          </w:p>
        </w:tc>
        <w:tc>
          <w:tcPr>
            <w:tcW w:w="7560" w:type="dxa"/>
            <w:gridSpan w:val="2"/>
            <w:tcBorders>
              <w:bottom w:val="single" w:sz="4" w:space="0" w:color="auto"/>
            </w:tcBorders>
            <w:vAlign w:val="center"/>
          </w:tcPr>
          <w:p w14:paraId="45A99CA6" w14:textId="5FCAFFF0" w:rsidR="0090122E" w:rsidRDefault="0090122E" w:rsidP="0090122E">
            <w:pPr>
              <w:pStyle w:val="NormalArial"/>
            </w:pPr>
            <w:r>
              <w:t>Ind</w:t>
            </w:r>
            <w:r w:rsidR="00F3549F">
              <w:t>ependent</w:t>
            </w:r>
            <w:r>
              <w:t xml:space="preserve"> Generator, Ind</w:t>
            </w:r>
            <w:r w:rsidR="00F3549F">
              <w:t>ependent</w:t>
            </w:r>
            <w:r>
              <w:t xml:space="preserve"> Power Marketer</w:t>
            </w:r>
            <w:r w:rsidR="00F3549F">
              <w:t xml:space="preserve"> (IPM)</w:t>
            </w:r>
            <w:r>
              <w:t>, Coop</w:t>
            </w:r>
            <w:r w:rsidR="00F3549F">
              <w:t>erative</w:t>
            </w:r>
          </w:p>
        </w:tc>
      </w:tr>
    </w:tbl>
    <w:p w14:paraId="0F54BAC7"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B59E3" w14:paraId="18E88DE7" w14:textId="77777777" w:rsidTr="001422C6">
        <w:trPr>
          <w:trHeight w:val="350"/>
        </w:trPr>
        <w:tc>
          <w:tcPr>
            <w:tcW w:w="10440" w:type="dxa"/>
            <w:tcBorders>
              <w:bottom w:val="single" w:sz="4" w:space="0" w:color="auto"/>
            </w:tcBorders>
            <w:shd w:val="clear" w:color="auto" w:fill="FFFFFF"/>
            <w:vAlign w:val="center"/>
          </w:tcPr>
          <w:p w14:paraId="57BA15F0" w14:textId="71444AF2" w:rsidR="00FB59E3" w:rsidRDefault="00FB59E3" w:rsidP="001422C6">
            <w:pPr>
              <w:pStyle w:val="Header"/>
              <w:jc w:val="center"/>
            </w:pPr>
            <w:r>
              <w:t>Comments</w:t>
            </w:r>
          </w:p>
        </w:tc>
      </w:tr>
    </w:tbl>
    <w:p w14:paraId="087BAB81" w14:textId="3BD0BCF8" w:rsidR="009B2162" w:rsidRDefault="00DF6AB6" w:rsidP="00FB59E3">
      <w:pPr>
        <w:pStyle w:val="NormalArial"/>
        <w:spacing w:before="120"/>
        <w:jc w:val="both"/>
      </w:pPr>
      <w:r>
        <w:t>Joint Commenters</w:t>
      </w:r>
      <w:r w:rsidR="006E048F">
        <w:t xml:space="preserve"> respectfully offer these comments </w:t>
      </w:r>
      <w:r>
        <w:t xml:space="preserve">for the Board’s consideration </w:t>
      </w:r>
      <w:r w:rsidR="006E048F">
        <w:t xml:space="preserve">in </w:t>
      </w:r>
      <w:r>
        <w:t xml:space="preserve">support of </w:t>
      </w:r>
      <w:r w:rsidR="006E048F">
        <w:t xml:space="preserve">the </w:t>
      </w:r>
      <w:r>
        <w:t xml:space="preserve">Technical Advisory Committee </w:t>
      </w:r>
      <w:r w:rsidR="006E048F">
        <w:t>(</w:t>
      </w:r>
      <w:r>
        <w:t>TAC</w:t>
      </w:r>
      <w:r w:rsidR="006E048F">
        <w:t xml:space="preserve">) Report of </w:t>
      </w:r>
      <w:r w:rsidR="00F3549F">
        <w:t>Nodal Protocol Revision Request (</w:t>
      </w:r>
      <w:r w:rsidR="006E048F">
        <w:t>NPRR</w:t>
      </w:r>
      <w:r w:rsidR="00F3549F">
        <w:t xml:space="preserve">) </w:t>
      </w:r>
      <w:r w:rsidR="006E048F">
        <w:t>1224 to the ERCOT Board</w:t>
      </w:r>
      <w:r w:rsidR="009B2162">
        <w:t xml:space="preserve"> (NPRR1224 TAC Report)</w:t>
      </w:r>
      <w:r w:rsidR="006E048F">
        <w:t xml:space="preserve">. </w:t>
      </w:r>
      <w:r w:rsidR="00F3549F">
        <w:t xml:space="preserve"> </w:t>
      </w:r>
      <w:r w:rsidR="00F57973">
        <w:t xml:space="preserve">Joint Commenters encourage the Board to endorse the </w:t>
      </w:r>
      <w:r w:rsidR="00E311B9">
        <w:t xml:space="preserve">NPRR1224 </w:t>
      </w:r>
      <w:r w:rsidR="00F57973">
        <w:t xml:space="preserve">TAC Report to the Public Utility Commission </w:t>
      </w:r>
      <w:r w:rsidR="00E311B9">
        <w:t>and in turn for the Public Utility Commission to approve NPRR1224</w:t>
      </w:r>
      <w:r w:rsidR="00F57973">
        <w:t xml:space="preserve">. </w:t>
      </w:r>
    </w:p>
    <w:p w14:paraId="0B6F1AAE" w14:textId="77777777" w:rsidR="009B2162" w:rsidRDefault="009B2162" w:rsidP="00D54664">
      <w:pPr>
        <w:pStyle w:val="NormalArial"/>
        <w:jc w:val="both"/>
      </w:pPr>
    </w:p>
    <w:p w14:paraId="405F3C22" w14:textId="0B0CECA7" w:rsidR="002D79CE" w:rsidRDefault="00E311B9" w:rsidP="00D54664">
      <w:pPr>
        <w:pStyle w:val="NormalArial"/>
        <w:jc w:val="both"/>
      </w:pPr>
      <w:r>
        <w:t>The NPRR1224 TAC Report</w:t>
      </w:r>
      <w:r w:rsidR="00104F61">
        <w:t xml:space="preserve"> </w:t>
      </w:r>
      <w:r>
        <w:t>is rooted in the principles of Real-Time Co-optimization</w:t>
      </w:r>
      <w:r w:rsidR="009B2162">
        <w:t xml:space="preserve"> </w:t>
      </w:r>
      <w:r w:rsidR="002D79CE">
        <w:t xml:space="preserve">(RTC) of energy and </w:t>
      </w:r>
      <w:r w:rsidR="00F3549F">
        <w:t>A</w:t>
      </w:r>
      <w:r w:rsidR="002D79CE">
        <w:t xml:space="preserve">ncillary </w:t>
      </w:r>
      <w:r w:rsidR="00F3549F">
        <w:t>S</w:t>
      </w:r>
      <w:r w:rsidR="002D79CE">
        <w:t>ervices</w:t>
      </w:r>
      <w:r w:rsidR="009B2162">
        <w:t xml:space="preserve">, which is the appropriate approach if an early release of </w:t>
      </w:r>
      <w:r w:rsidR="002D79CE">
        <w:t>ERCOT Contingency Reserve Service (</w:t>
      </w:r>
      <w:r w:rsidR="009B2162">
        <w:t>ECRS</w:t>
      </w:r>
      <w:r w:rsidR="002D79CE">
        <w:t>)</w:t>
      </w:r>
      <w:r w:rsidR="009B2162">
        <w:t xml:space="preserve"> is to be implemented prior to RTC implementation</w:t>
      </w:r>
      <w:r w:rsidR="00D858BC">
        <w:t xml:space="preserve"> in 2026</w:t>
      </w:r>
      <w:r w:rsidR="002D79CE">
        <w:t>.</w:t>
      </w:r>
      <w:r w:rsidR="009B2162">
        <w:t xml:space="preserve"> </w:t>
      </w:r>
      <w:r w:rsidR="002D79CE">
        <w:t>T</w:t>
      </w:r>
      <w:r w:rsidR="009B2162">
        <w:t xml:space="preserve">he manual release of </w:t>
      </w:r>
      <w:r w:rsidR="002D79CE">
        <w:t>A</w:t>
      </w:r>
      <w:r w:rsidR="00F3549F">
        <w:t xml:space="preserve">ncillary </w:t>
      </w:r>
      <w:r w:rsidR="002D79CE">
        <w:t>S</w:t>
      </w:r>
      <w:r w:rsidR="00F3549F">
        <w:t>ervice</w:t>
      </w:r>
      <w:r w:rsidR="002D79CE">
        <w:t xml:space="preserve"> </w:t>
      </w:r>
      <w:r w:rsidR="009B2162">
        <w:t xml:space="preserve">reserves to </w:t>
      </w:r>
      <w:r w:rsidR="002D79CE">
        <w:t>the Security-Constrained Economic Dispatch market optimization program (</w:t>
      </w:r>
      <w:r w:rsidR="009B2162">
        <w:t>SCED</w:t>
      </w:r>
      <w:r w:rsidR="002D79CE">
        <w:t xml:space="preserve">) </w:t>
      </w:r>
      <w:r w:rsidR="009B2162">
        <w:t xml:space="preserve">is a short-term bridge between </w:t>
      </w:r>
      <w:r w:rsidR="002D79CE">
        <w:t xml:space="preserve">two states of the world: </w:t>
      </w:r>
    </w:p>
    <w:p w14:paraId="2092C3AA" w14:textId="77777777" w:rsidR="002D79CE" w:rsidRDefault="002D79CE" w:rsidP="002D79CE">
      <w:pPr>
        <w:pStyle w:val="NormalArial"/>
        <w:numPr>
          <w:ilvl w:val="0"/>
          <w:numId w:val="3"/>
        </w:numPr>
        <w:jc w:val="both"/>
      </w:pPr>
      <w:r>
        <w:t>T</w:t>
      </w:r>
      <w:r w:rsidR="009B2162">
        <w:t xml:space="preserve">oday’s market framework </w:t>
      </w:r>
    </w:p>
    <w:p w14:paraId="39690608" w14:textId="77777777" w:rsidR="007B519D" w:rsidRDefault="00B25C97" w:rsidP="00B25C97">
      <w:pPr>
        <w:pStyle w:val="NormalArial"/>
        <w:numPr>
          <w:ilvl w:val="1"/>
          <w:numId w:val="3"/>
        </w:numPr>
        <w:jc w:val="both"/>
      </w:pPr>
      <w:r>
        <w:t xml:space="preserve">Operating reserves are </w:t>
      </w:r>
      <w:r w:rsidRPr="00D858BC">
        <w:rPr>
          <w:u w:val="single"/>
        </w:rPr>
        <w:t>valued equally regardless of their quality under the Operating Reserve Demand Curve (ORDC)</w:t>
      </w:r>
      <w:r w:rsidRPr="00D858BC">
        <w:rPr>
          <w:rStyle w:val="FootnoteReference"/>
          <w:u w:val="single"/>
        </w:rPr>
        <w:footnoteReference w:id="3"/>
      </w:r>
      <w:r w:rsidR="007B519D">
        <w:t xml:space="preserve"> </w:t>
      </w:r>
    </w:p>
    <w:p w14:paraId="0D19405E" w14:textId="77777777" w:rsidR="00B25C97" w:rsidRDefault="007B519D" w:rsidP="00B25C97">
      <w:pPr>
        <w:pStyle w:val="NormalArial"/>
        <w:numPr>
          <w:ilvl w:val="1"/>
          <w:numId w:val="3"/>
        </w:numPr>
        <w:jc w:val="both"/>
      </w:pPr>
      <w:r>
        <w:t xml:space="preserve">ORDC is an </w:t>
      </w:r>
      <w:r w:rsidRPr="00D858BC">
        <w:rPr>
          <w:u w:val="single"/>
        </w:rPr>
        <w:t>adder</w:t>
      </w:r>
      <w:r>
        <w:t xml:space="preserve"> to wholesale energy prices</w:t>
      </w:r>
    </w:p>
    <w:p w14:paraId="1CC7195D" w14:textId="7B80DF74" w:rsidR="002D79CE" w:rsidRDefault="002D79CE" w:rsidP="002D79CE">
      <w:pPr>
        <w:pStyle w:val="NormalArial"/>
        <w:numPr>
          <w:ilvl w:val="1"/>
          <w:numId w:val="3"/>
        </w:numPr>
        <w:jc w:val="both"/>
      </w:pPr>
      <w:r>
        <w:lastRenderedPageBreak/>
        <w:t>A</w:t>
      </w:r>
      <w:r w:rsidR="00F3549F">
        <w:t xml:space="preserve">ncillary </w:t>
      </w:r>
      <w:r>
        <w:t>S</w:t>
      </w:r>
      <w:r w:rsidR="00F3549F">
        <w:t>ervice</w:t>
      </w:r>
      <w:r>
        <w:t xml:space="preserve"> </w:t>
      </w:r>
      <w:r w:rsidR="009B2162">
        <w:t xml:space="preserve">capacity is assigned in the Day-Ahead Market </w:t>
      </w:r>
      <w:r>
        <w:t xml:space="preserve">(DAM) </w:t>
      </w:r>
      <w:r w:rsidR="009B2162">
        <w:t xml:space="preserve">and reserved across the operating hour in the Real-Time Market </w:t>
      </w:r>
      <w:r>
        <w:t xml:space="preserve">(RTM) </w:t>
      </w:r>
      <w:r w:rsidR="009B2162">
        <w:t xml:space="preserve">unless </w:t>
      </w:r>
      <w:r>
        <w:t xml:space="preserve">a release </w:t>
      </w:r>
      <w:r w:rsidR="00D858BC">
        <w:t xml:space="preserve">to SCED </w:t>
      </w:r>
      <w:r>
        <w:t xml:space="preserve">is triggered or instructed by </w:t>
      </w:r>
      <w:proofErr w:type="gramStart"/>
      <w:r>
        <w:t>ERCOT</w:t>
      </w:r>
      <w:proofErr w:type="gramEnd"/>
    </w:p>
    <w:p w14:paraId="1D24B5A4" w14:textId="77777777" w:rsidR="002D79CE" w:rsidRDefault="002D79CE" w:rsidP="002D79CE">
      <w:pPr>
        <w:pStyle w:val="NormalArial"/>
        <w:numPr>
          <w:ilvl w:val="0"/>
          <w:numId w:val="3"/>
        </w:numPr>
        <w:jc w:val="both"/>
      </w:pPr>
      <w:r>
        <w:t>T</w:t>
      </w:r>
      <w:r w:rsidR="009B2162">
        <w:t xml:space="preserve">he RTC market framework </w:t>
      </w:r>
    </w:p>
    <w:p w14:paraId="2459188A" w14:textId="77777777" w:rsidR="002D79CE" w:rsidRDefault="002D79CE" w:rsidP="002D79CE">
      <w:pPr>
        <w:pStyle w:val="NormalArial"/>
        <w:numPr>
          <w:ilvl w:val="1"/>
          <w:numId w:val="3"/>
        </w:numPr>
        <w:jc w:val="both"/>
      </w:pPr>
      <w:r w:rsidRPr="00A16E78">
        <w:rPr>
          <w:u w:val="single"/>
        </w:rPr>
        <w:t xml:space="preserve">Operating reserves are valued </w:t>
      </w:r>
      <w:r w:rsidR="00A16E78" w:rsidRPr="00A16E78">
        <w:rPr>
          <w:u w:val="single"/>
        </w:rPr>
        <w:t xml:space="preserve">depending on their </w:t>
      </w:r>
      <w:r w:rsidRPr="00A16E78">
        <w:rPr>
          <w:u w:val="single"/>
        </w:rPr>
        <w:t>quality</w:t>
      </w:r>
      <w:r>
        <w:t xml:space="preserve"> under the Ancillary Service Demand Curves (ASDCs)</w:t>
      </w:r>
      <w:r w:rsidR="007B519D">
        <w:t>, which value “faster” reserves higher than “slower” reserves</w:t>
      </w:r>
      <w:r w:rsidR="00A16E78">
        <w:rPr>
          <w:rStyle w:val="FootnoteReference"/>
        </w:rPr>
        <w:footnoteReference w:id="4"/>
      </w:r>
    </w:p>
    <w:p w14:paraId="090F364F" w14:textId="78868648" w:rsidR="00B25C97" w:rsidRDefault="00B25C97" w:rsidP="00B25C97">
      <w:pPr>
        <w:pStyle w:val="NormalArial"/>
        <w:numPr>
          <w:ilvl w:val="1"/>
          <w:numId w:val="3"/>
        </w:numPr>
        <w:jc w:val="both"/>
      </w:pPr>
      <w:bookmarkStart w:id="0" w:name="_Hlk168942722"/>
      <w:r>
        <w:t>A</w:t>
      </w:r>
      <w:r w:rsidR="00F3549F">
        <w:t xml:space="preserve">ncillary </w:t>
      </w:r>
      <w:r>
        <w:t>S</w:t>
      </w:r>
      <w:r w:rsidR="00F3549F">
        <w:t>ervice</w:t>
      </w:r>
      <w:bookmarkEnd w:id="0"/>
      <w:r>
        <w:t xml:space="preserve"> capacity is assigned in the RTM during each SCED run and reserved across the ~5-minute SCED run </w:t>
      </w:r>
      <w:r w:rsidR="007B519D">
        <w:t xml:space="preserve">unless a release is triggered or the </w:t>
      </w:r>
      <w:r w:rsidR="00F3549F">
        <w:t>Ancillary Service</w:t>
      </w:r>
      <w:r w:rsidR="007B519D">
        <w:t xml:space="preserve"> capacity is foregone (e.g., automatically “released”) in favor of assigning an energy base point</w:t>
      </w:r>
      <w:r w:rsidR="00A16E78">
        <w:rPr>
          <w:rStyle w:val="FootnoteReference"/>
        </w:rPr>
        <w:footnoteReference w:id="5"/>
      </w:r>
    </w:p>
    <w:p w14:paraId="27A335D0" w14:textId="412B26B6" w:rsidR="00B25C97" w:rsidRDefault="007B519D" w:rsidP="002D79CE">
      <w:pPr>
        <w:pStyle w:val="NormalArial"/>
        <w:numPr>
          <w:ilvl w:val="1"/>
          <w:numId w:val="3"/>
        </w:numPr>
        <w:jc w:val="both"/>
      </w:pPr>
      <w:r>
        <w:t xml:space="preserve">If </w:t>
      </w:r>
      <w:r w:rsidR="00F3549F">
        <w:t>Ancillary Service</w:t>
      </w:r>
      <w:r>
        <w:t xml:space="preserve"> capacity is “released” for energy, </w:t>
      </w:r>
      <w:r w:rsidRPr="00A16E78">
        <w:rPr>
          <w:u w:val="single"/>
        </w:rPr>
        <w:t>the ASDC for that</w:t>
      </w:r>
      <w:r w:rsidR="00F3549F">
        <w:rPr>
          <w:u w:val="single"/>
        </w:rPr>
        <w:t xml:space="preserve"> </w:t>
      </w:r>
      <w:r w:rsidR="00F3549F" w:rsidRPr="00F3549F">
        <w:rPr>
          <w:u w:val="single"/>
        </w:rPr>
        <w:t>Ancillary Service</w:t>
      </w:r>
      <w:r w:rsidRPr="00A16E78">
        <w:rPr>
          <w:u w:val="single"/>
        </w:rPr>
        <w:t xml:space="preserve"> effectively sets a floor for wholesale energy prices</w:t>
      </w:r>
      <w:r>
        <w:t xml:space="preserve">, reflecting the </w:t>
      </w:r>
      <w:r w:rsidR="00357F18">
        <w:t xml:space="preserve">price and value </w:t>
      </w:r>
      <w:r>
        <w:t xml:space="preserve">to the system of foregoing those </w:t>
      </w:r>
      <w:r w:rsidR="00F3549F">
        <w:t>Ancillary Service</w:t>
      </w:r>
      <w:r>
        <w:t xml:space="preserve"> reserves</w:t>
      </w:r>
      <w:r w:rsidR="00A16E78">
        <w:rPr>
          <w:rStyle w:val="FootnoteReference"/>
        </w:rPr>
        <w:footnoteReference w:id="6"/>
      </w:r>
    </w:p>
    <w:p w14:paraId="3B54407C" w14:textId="77777777" w:rsidR="002D79CE" w:rsidRDefault="002D79CE" w:rsidP="002D79CE">
      <w:pPr>
        <w:pStyle w:val="NormalArial"/>
        <w:jc w:val="both"/>
      </w:pPr>
    </w:p>
    <w:p w14:paraId="2A3A994F" w14:textId="13440ACC" w:rsidR="00A20A37" w:rsidRDefault="00D858BC" w:rsidP="002D79CE">
      <w:pPr>
        <w:pStyle w:val="NormalArial"/>
        <w:jc w:val="both"/>
      </w:pPr>
      <w:r>
        <w:t>The underlined provisions are critical</w:t>
      </w:r>
      <w:r w:rsidR="00940DA4">
        <w:t xml:space="preserve">; </w:t>
      </w:r>
      <w:r w:rsidR="00F23AF2">
        <w:t>NPRR1224 is designed to release ECRS not to address an actual system contingency, but rather to release it based on wholesale market energy price outcome preferences</w:t>
      </w:r>
      <w:r w:rsidR="00940DA4">
        <w:t xml:space="preserve">. </w:t>
      </w:r>
      <w:r w:rsidR="00022E95">
        <w:t>This is the precise function that the RTC ASDCs are designed to do</w:t>
      </w:r>
      <w:r w:rsidR="00593DA1">
        <w:t xml:space="preserve">: establish a floor value for the release of </w:t>
      </w:r>
      <w:r w:rsidR="00F3549F">
        <w:t>Ancillary Service</w:t>
      </w:r>
      <w:r w:rsidR="00593DA1">
        <w:t xml:space="preserve"> reserves for energy</w:t>
      </w:r>
      <w:r w:rsidR="00022E95">
        <w:t xml:space="preserve">. </w:t>
      </w:r>
      <w:r w:rsidR="00593DA1">
        <w:t>Therefore</w:t>
      </w:r>
      <w:r w:rsidR="006E317F">
        <w:t>, aligning NPRR1224 with RTC principles to the extent possible is appropriate – even if for no other reason than policy consistency/regulatory certainty</w:t>
      </w:r>
      <w:r w:rsidR="00593DA1">
        <w:t xml:space="preserve">, given that </w:t>
      </w:r>
      <w:r w:rsidR="006E317F">
        <w:t xml:space="preserve">the RTC directive from </w:t>
      </w:r>
      <w:r w:rsidR="00593DA1">
        <w:t xml:space="preserve">policymakers </w:t>
      </w:r>
      <w:r w:rsidR="006E317F">
        <w:t xml:space="preserve">has been in place since 2018 and ERCOT is currently </w:t>
      </w:r>
      <w:proofErr w:type="gramStart"/>
      <w:r w:rsidR="006E317F">
        <w:t>in the midst of</w:t>
      </w:r>
      <w:proofErr w:type="gramEnd"/>
      <w:r w:rsidR="006E317F">
        <w:t xml:space="preserve"> implementing it.</w:t>
      </w:r>
      <w:r w:rsidR="005D1C16">
        <w:t xml:space="preserve"> </w:t>
      </w:r>
    </w:p>
    <w:p w14:paraId="25183162" w14:textId="77777777" w:rsidR="00A20A37" w:rsidRDefault="00A20A37" w:rsidP="002D79CE">
      <w:pPr>
        <w:pStyle w:val="NormalArial"/>
        <w:jc w:val="both"/>
      </w:pPr>
    </w:p>
    <w:p w14:paraId="2C2B5398" w14:textId="77777777" w:rsidR="00593DA1" w:rsidRDefault="005D1C16" w:rsidP="002D79CE">
      <w:pPr>
        <w:pStyle w:val="NormalArial"/>
        <w:jc w:val="both"/>
      </w:pPr>
      <w:r>
        <w:t>Joint Comments submitted on May 20, 2024</w:t>
      </w:r>
      <w:r w:rsidR="00A20A37">
        <w:rPr>
          <w:rStyle w:val="FootnoteReference"/>
        </w:rPr>
        <w:footnoteReference w:id="7"/>
      </w:r>
      <w:r w:rsidR="00A20A37">
        <w:t xml:space="preserve"> included the following visual comparing the [then PRS Report’s</w:t>
      </w:r>
      <w:r w:rsidR="00D82AEB">
        <w:t>; now TAC’s</w:t>
      </w:r>
      <w:r w:rsidR="00A20A37">
        <w:t xml:space="preserve">] recommended ECRS release (and floor) values vs. the levels recommended in the IMM’s May 15, 2024 comments against a sampling of ASDC </w:t>
      </w:r>
      <w:r w:rsidR="00A20A37">
        <w:lastRenderedPageBreak/>
        <w:t>constructions over a range of time periods.</w:t>
      </w:r>
      <w:r w:rsidR="00A20A37">
        <w:rPr>
          <w:rStyle w:val="FootnoteReference"/>
        </w:rPr>
        <w:footnoteReference w:id="8"/>
      </w:r>
      <w:r w:rsidR="00A20A37">
        <w:t xml:space="preserve"> The visual overlays what a 500 MW shortage (e.g., release) of ECRS would look like on the RTC ASDC in yellow, and compares against the IMM’s X=5 MW recommendation in red and the [then PRS report’s</w:t>
      </w:r>
      <w:r w:rsidR="00D82AEB">
        <w:t>; now TAC’s</w:t>
      </w:r>
      <w:r w:rsidR="00A20A37">
        <w:t>] X=40 MW recommendation in green</w:t>
      </w:r>
      <w:r w:rsidR="00D82AEB">
        <w:t xml:space="preserve">. The differences between what is shown here vs. what is before the Board </w:t>
      </w:r>
      <w:r w:rsidR="00343B72">
        <w:t>is</w:t>
      </w:r>
      <w:r w:rsidR="00D82AEB">
        <w:t xml:space="preserve"> </w:t>
      </w:r>
      <w:r w:rsidR="00477201" w:rsidRPr="00477201">
        <w:rPr>
          <w:i/>
          <w:iCs/>
        </w:rPr>
        <w:t>de minimis</w:t>
      </w:r>
      <w:r w:rsidR="00343B72">
        <w:t xml:space="preserve">, and the key takeaway is the same: under RTC, releasing 500 MW of ECRS has a value that is well above the level recommended in the IMM </w:t>
      </w:r>
      <w:r w:rsidR="00477201">
        <w:t xml:space="preserve">comments </w:t>
      </w:r>
      <w:r w:rsidR="00343B72">
        <w:t xml:space="preserve">– and in most cases (though not exclusively) is at or above </w:t>
      </w:r>
      <w:r w:rsidR="00477201">
        <w:t xml:space="preserve">even </w:t>
      </w:r>
      <w:r w:rsidR="00343B72">
        <w:t>the NPRR1224 TAC Report’s recommended level</w:t>
      </w:r>
      <w:r w:rsidR="00D82AEB">
        <w:t>.</w:t>
      </w:r>
      <w:r w:rsidR="00343B72">
        <w:t xml:space="preserve"> Mo</w:t>
      </w:r>
      <w:r w:rsidR="00477201">
        <w:t>re</w:t>
      </w:r>
      <w:r w:rsidR="00343B72">
        <w:t xml:space="preserve"> simply</w:t>
      </w:r>
      <w:r w:rsidR="00477201">
        <w:t xml:space="preserve"> put</w:t>
      </w:r>
      <w:r w:rsidR="00343B72">
        <w:t>, when ERCOT goes short 500 MW of ECRS under RTC, the ASDC will require that energy prices do not go below the yellow line, whereas the IMM’s recommendation would drive prices below the red dashed line.</w:t>
      </w:r>
    </w:p>
    <w:p w14:paraId="1532C3A4" w14:textId="77777777" w:rsidR="00A20A37" w:rsidRDefault="00A20A37" w:rsidP="002D79CE">
      <w:pPr>
        <w:pStyle w:val="NormalArial"/>
        <w:jc w:val="both"/>
      </w:pPr>
    </w:p>
    <w:p w14:paraId="578820C0" w14:textId="22978DAD" w:rsidR="00A20A37" w:rsidRDefault="000E6CA0" w:rsidP="002D79CE">
      <w:pPr>
        <w:pStyle w:val="NormalArial"/>
        <w:jc w:val="both"/>
      </w:pPr>
      <w:r>
        <w:rPr>
          <w:noProof/>
        </w:rPr>
        <w:drawing>
          <wp:inline distT="0" distB="0" distL="0" distR="0" wp14:anchorId="12B46793" wp14:editId="5B2481E1">
            <wp:extent cx="6013450" cy="39687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3450" cy="3968750"/>
                    </a:xfrm>
                    <a:prstGeom prst="rect">
                      <a:avLst/>
                    </a:prstGeom>
                    <a:noFill/>
                    <a:ln>
                      <a:noFill/>
                    </a:ln>
                  </pic:spPr>
                </pic:pic>
              </a:graphicData>
            </a:graphic>
          </wp:inline>
        </w:drawing>
      </w:r>
    </w:p>
    <w:p w14:paraId="1C5D4C1B" w14:textId="77777777" w:rsidR="00593DA1" w:rsidRDefault="00593DA1" w:rsidP="002D79CE">
      <w:pPr>
        <w:pStyle w:val="NormalArial"/>
        <w:jc w:val="both"/>
      </w:pPr>
    </w:p>
    <w:p w14:paraId="423D5FEE" w14:textId="5E72F79C" w:rsidR="0088234C" w:rsidRDefault="0088234C" w:rsidP="002D79CE">
      <w:pPr>
        <w:pStyle w:val="NormalArial"/>
        <w:jc w:val="both"/>
      </w:pPr>
      <w:r>
        <w:t xml:space="preserve">Analysis </w:t>
      </w:r>
      <w:r w:rsidR="000D29B3">
        <w:t xml:space="preserve">of </w:t>
      </w:r>
      <w:r w:rsidR="007F2251">
        <w:t xml:space="preserve">the </w:t>
      </w:r>
      <w:r w:rsidR="000D29B3">
        <w:t>2024 AS requirement</w:t>
      </w:r>
      <w:r w:rsidR="007F2251">
        <w:t>s</w:t>
      </w:r>
      <w:r w:rsidR="00077494">
        <w:rPr>
          <w:rStyle w:val="FootnoteReference"/>
        </w:rPr>
        <w:footnoteReference w:id="9"/>
      </w:r>
      <w:r w:rsidR="000D29B3">
        <w:t xml:space="preserve"> shows that </w:t>
      </w:r>
      <w:r w:rsidR="007F2251">
        <w:t xml:space="preserve">the </w:t>
      </w:r>
      <w:r w:rsidR="000D29B3">
        <w:t xml:space="preserve">ASDC </w:t>
      </w:r>
      <w:r w:rsidR="00357F18">
        <w:t>price</w:t>
      </w:r>
      <w:r w:rsidR="00F0284E">
        <w:t xml:space="preserve"> level </w:t>
      </w:r>
      <w:r w:rsidR="000D29B3">
        <w:t>corresponding to 500 MW of release of ECRS (i.e.</w:t>
      </w:r>
      <w:r w:rsidR="007F2251">
        <w:t>,</w:t>
      </w:r>
      <w:r w:rsidR="000D29B3">
        <w:t xml:space="preserve"> ASDC corresponding to Regulation requirement +</w:t>
      </w:r>
      <w:r w:rsidR="007F2251">
        <w:t xml:space="preserve"> </w:t>
      </w:r>
      <w:r w:rsidR="000D29B3">
        <w:t xml:space="preserve">RRS requirement + ECRS requirement </w:t>
      </w:r>
      <w:r w:rsidR="007F2251">
        <w:t xml:space="preserve">– </w:t>
      </w:r>
      <w:r w:rsidR="000D29B3">
        <w:t>500</w:t>
      </w:r>
      <w:r w:rsidR="000F1150">
        <w:t xml:space="preserve"> </w:t>
      </w:r>
      <w:r w:rsidR="000D29B3">
        <w:t xml:space="preserve">MW) is above the </w:t>
      </w:r>
      <w:r w:rsidR="00357F18">
        <w:t>price</w:t>
      </w:r>
      <w:r w:rsidR="000D29B3">
        <w:t xml:space="preserve"> level recommended by </w:t>
      </w:r>
      <w:r w:rsidR="0090122E">
        <w:t xml:space="preserve">the </w:t>
      </w:r>
      <w:r w:rsidR="000D29B3">
        <w:t>IMM for all hours of 2024</w:t>
      </w:r>
      <w:r w:rsidR="00F24119">
        <w:t xml:space="preserve"> as shown in the chart below</w:t>
      </w:r>
      <w:r w:rsidR="000D29B3">
        <w:t>.</w:t>
      </w:r>
      <w:r w:rsidR="00F0284E">
        <w:t xml:space="preserve"> The</w:t>
      </w:r>
      <w:r w:rsidR="000D29B3">
        <w:t xml:space="preserve"> </w:t>
      </w:r>
      <w:r w:rsidR="00F0284E">
        <w:t xml:space="preserve">average ASDC </w:t>
      </w:r>
      <w:r w:rsidR="00357F18">
        <w:t>price</w:t>
      </w:r>
      <w:r w:rsidR="00F0284E">
        <w:t xml:space="preserve"> </w:t>
      </w:r>
      <w:r w:rsidR="00F0284E">
        <w:lastRenderedPageBreak/>
        <w:t>level over all the hours in 2024 corresponding to 500</w:t>
      </w:r>
      <w:r w:rsidR="000F1150">
        <w:t xml:space="preserve"> </w:t>
      </w:r>
      <w:r w:rsidR="00F0284E">
        <w:t>MW of ECRS release is $1</w:t>
      </w:r>
      <w:r w:rsidR="000F1150">
        <w:t>,</w:t>
      </w:r>
      <w:r w:rsidR="003706B0">
        <w:t>506</w:t>
      </w:r>
      <w:r w:rsidR="00F0284E">
        <w:t>/MW</w:t>
      </w:r>
      <w:r w:rsidR="0062320F">
        <w:t>h</w:t>
      </w:r>
      <w:r w:rsidR="00F0284E">
        <w:t xml:space="preserve">. The value is below $750 for only </w:t>
      </w:r>
      <w:r w:rsidR="0014145B">
        <w:t>19.8</w:t>
      </w:r>
      <w:r w:rsidR="00F0284E">
        <w:t>% of the hours. However, for those hours the total reserve levels are greater than 7GW and ECRS</w:t>
      </w:r>
      <w:r w:rsidR="000F1150">
        <w:t xml:space="preserve"> – </w:t>
      </w:r>
      <w:r w:rsidR="00F0284E">
        <w:t>500</w:t>
      </w:r>
      <w:r w:rsidR="00B02528">
        <w:t xml:space="preserve"> </w:t>
      </w:r>
      <w:r w:rsidR="00F0284E">
        <w:t>MW level is greater than 5</w:t>
      </w:r>
      <w:r w:rsidR="00B02528">
        <w:t xml:space="preserve"> </w:t>
      </w:r>
      <w:r w:rsidR="00F0284E">
        <w:t>GW. Hence those values are not relevant when analyzing the pricing during tight conditions when ECRS will be release</w:t>
      </w:r>
      <w:r w:rsidR="00A1425A">
        <w:t>d</w:t>
      </w:r>
      <w:r w:rsidR="00F0284E">
        <w:t xml:space="preserve">. For </w:t>
      </w:r>
      <w:r w:rsidR="0062320F">
        <w:t xml:space="preserve">all </w:t>
      </w:r>
      <w:r w:rsidR="00F0284E">
        <w:t>the</w:t>
      </w:r>
      <w:r w:rsidR="000D29B3">
        <w:t xml:space="preserve"> </w:t>
      </w:r>
      <w:r w:rsidR="00F0284E">
        <w:t xml:space="preserve">hours </w:t>
      </w:r>
      <w:r w:rsidR="000F1150">
        <w:t>that</w:t>
      </w:r>
      <w:r w:rsidR="00F0284E">
        <w:t xml:space="preserve"> are </w:t>
      </w:r>
      <w:r w:rsidR="000F1150">
        <w:t xml:space="preserve">more </w:t>
      </w:r>
      <w:r w:rsidR="00F0284E">
        <w:t xml:space="preserve">reflective of </w:t>
      </w:r>
      <w:r w:rsidR="00335664">
        <w:t>tighter condition</w:t>
      </w:r>
      <w:r w:rsidR="0090122E">
        <w:t>s</w:t>
      </w:r>
      <w:r w:rsidR="00335664">
        <w:t xml:space="preserve"> </w:t>
      </w:r>
      <w:r w:rsidR="0062320F">
        <w:t>(when ECRS</w:t>
      </w:r>
      <w:r w:rsidR="000F1150">
        <w:t xml:space="preserve"> – </w:t>
      </w:r>
      <w:r w:rsidR="0062320F">
        <w:t>500</w:t>
      </w:r>
      <w:r w:rsidR="00B02528">
        <w:t xml:space="preserve"> </w:t>
      </w:r>
      <w:r w:rsidR="0062320F">
        <w:t>MW is less than 4</w:t>
      </w:r>
      <w:r w:rsidR="00B02528">
        <w:t xml:space="preserve"> </w:t>
      </w:r>
      <w:r w:rsidR="0062320F">
        <w:t xml:space="preserve">GW), the ASDC </w:t>
      </w:r>
      <w:r w:rsidR="00357F18">
        <w:t>price</w:t>
      </w:r>
      <w:r w:rsidR="0062320F">
        <w:t xml:space="preserve"> level corresponding to 500</w:t>
      </w:r>
      <w:r w:rsidR="00B02528">
        <w:t xml:space="preserve"> </w:t>
      </w:r>
      <w:r w:rsidR="0062320F">
        <w:t>MW of ECRS release is great</w:t>
      </w:r>
      <w:r w:rsidR="00357F18">
        <w:t>er</w:t>
      </w:r>
      <w:r w:rsidR="0062320F">
        <w:t xml:space="preserve"> than $</w:t>
      </w:r>
      <w:r w:rsidR="00040025">
        <w:t>2347.8</w:t>
      </w:r>
      <w:r w:rsidR="0062320F">
        <w:t>/MWh.</w:t>
      </w:r>
      <w:r w:rsidR="00CB04E6">
        <w:t xml:space="preserve"> </w:t>
      </w:r>
      <w:r w:rsidR="00CB04E6" w:rsidRPr="00076CBB">
        <w:t>Even if ERCOT is releasing less than 500</w:t>
      </w:r>
      <w:r w:rsidR="00B02528" w:rsidRPr="00076CBB">
        <w:t xml:space="preserve"> </w:t>
      </w:r>
      <w:r w:rsidR="00CB04E6" w:rsidRPr="00076CBB">
        <w:t>MW of ECRS</w:t>
      </w:r>
      <w:r w:rsidR="0090122E" w:rsidRPr="00076CBB">
        <w:t>,</w:t>
      </w:r>
      <w:r w:rsidR="00CB04E6" w:rsidRPr="00076CBB">
        <w:t xml:space="preserve"> the av</w:t>
      </w:r>
      <w:r w:rsidR="0090122E" w:rsidRPr="00076CBB">
        <w:t>era</w:t>
      </w:r>
      <w:r w:rsidR="00CB04E6" w:rsidRPr="00076CBB">
        <w:t>g</w:t>
      </w:r>
      <w:r w:rsidR="0090122E" w:rsidRPr="00076CBB">
        <w:t>e</w:t>
      </w:r>
      <w:r w:rsidR="00CB04E6" w:rsidRPr="00076CBB">
        <w:t xml:space="preserve"> price level for 2024 is much higher than the price level recommended by </w:t>
      </w:r>
      <w:r w:rsidR="0090122E" w:rsidRPr="00076CBB">
        <w:t xml:space="preserve">the </w:t>
      </w:r>
      <w:r w:rsidR="00CB04E6" w:rsidRPr="00076CBB">
        <w:t>IMM. The average ASDC price level over all the hours in 2024</w:t>
      </w:r>
      <w:r w:rsidR="0090122E" w:rsidRPr="00076CBB">
        <w:t>,</w:t>
      </w:r>
      <w:r w:rsidR="00CB04E6" w:rsidRPr="00076CBB">
        <w:t xml:space="preserve"> if we only release a single MW of ECRS </w:t>
      </w:r>
      <w:r w:rsidR="00CB04E6" w:rsidRPr="0090122E">
        <w:t>release</w:t>
      </w:r>
      <w:r w:rsidR="0090122E" w:rsidRPr="0090122E">
        <w:t>,</w:t>
      </w:r>
      <w:r w:rsidR="00CB04E6" w:rsidRPr="0090122E">
        <w:t xml:space="preserve"> is $</w:t>
      </w:r>
      <w:r w:rsidR="00CF030D" w:rsidRPr="0090122E">
        <w:t>9</w:t>
      </w:r>
      <w:r w:rsidR="00CF030D">
        <w:t>2</w:t>
      </w:r>
      <w:r w:rsidR="007D361A">
        <w:t>3.6</w:t>
      </w:r>
      <w:r w:rsidR="00CB04E6" w:rsidRPr="0090122E">
        <w:t xml:space="preserve">/MWh. </w:t>
      </w:r>
      <w:r w:rsidR="0062320F" w:rsidRPr="0090122E">
        <w:t xml:space="preserve"> </w:t>
      </w:r>
      <w:r w:rsidR="00CB04E6" w:rsidRPr="0090122E">
        <w:t>These data points</w:t>
      </w:r>
      <w:r w:rsidR="0062320F" w:rsidRPr="0090122E">
        <w:t xml:space="preserve"> show</w:t>
      </w:r>
      <w:r w:rsidR="0062320F">
        <w:t xml:space="preserve"> that the compromised $750/MWh level is a very conservative low</w:t>
      </w:r>
      <w:r w:rsidR="0090122E">
        <w:t>-</w:t>
      </w:r>
      <w:r w:rsidR="0062320F">
        <w:t xml:space="preserve">end </w:t>
      </w:r>
      <w:r w:rsidR="00357F18">
        <w:t>price</w:t>
      </w:r>
      <w:r w:rsidR="0062320F">
        <w:t xml:space="preserve"> level. </w:t>
      </w:r>
    </w:p>
    <w:p w14:paraId="0C08302B" w14:textId="77777777" w:rsidR="00C8168D" w:rsidRDefault="00C8168D" w:rsidP="002D79CE">
      <w:pPr>
        <w:pStyle w:val="NormalArial"/>
        <w:jc w:val="both"/>
      </w:pPr>
    </w:p>
    <w:p w14:paraId="4448FB77" w14:textId="54CE417D" w:rsidR="00C8168D" w:rsidRDefault="00C8168D" w:rsidP="002D79CE">
      <w:pPr>
        <w:pStyle w:val="NormalArial"/>
        <w:jc w:val="both"/>
      </w:pPr>
      <w:r>
        <w:rPr>
          <w:rFonts w:ascii="Aptos" w:hAnsi="Aptos"/>
          <w:noProof/>
        </w:rPr>
        <w:drawing>
          <wp:inline distT="0" distB="0" distL="0" distR="0" wp14:anchorId="07B333C0" wp14:editId="00D51057">
            <wp:extent cx="5892800"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2800" cy="2819400"/>
                    </a:xfrm>
                    <a:prstGeom prst="rect">
                      <a:avLst/>
                    </a:prstGeom>
                    <a:noFill/>
                    <a:ln>
                      <a:noFill/>
                    </a:ln>
                  </pic:spPr>
                </pic:pic>
              </a:graphicData>
            </a:graphic>
          </wp:inline>
        </w:drawing>
      </w:r>
    </w:p>
    <w:p w14:paraId="4796092C" w14:textId="77777777" w:rsidR="0088234C" w:rsidRDefault="0088234C" w:rsidP="002D79CE">
      <w:pPr>
        <w:pStyle w:val="NormalArial"/>
        <w:jc w:val="both"/>
      </w:pPr>
    </w:p>
    <w:p w14:paraId="61EAC369" w14:textId="6C19F3BE" w:rsidR="00952201" w:rsidRPr="00952201" w:rsidRDefault="006E317F" w:rsidP="002D79CE">
      <w:pPr>
        <w:pStyle w:val="NormalArial"/>
        <w:jc w:val="both"/>
      </w:pPr>
      <w:r>
        <w:t xml:space="preserve">Entities opposing the NPRR1224 TAC Report, on the other hand, seem to </w:t>
      </w:r>
      <w:r w:rsidR="0035269E">
        <w:t xml:space="preserve">anchor to </w:t>
      </w:r>
      <w:r>
        <w:t xml:space="preserve">two </w:t>
      </w:r>
      <w:r w:rsidR="0014145D" w:rsidRPr="0014145D">
        <w:rPr>
          <w:i/>
          <w:iCs/>
        </w:rPr>
        <w:t>a priori</w:t>
      </w:r>
      <w:r w:rsidR="0014145D">
        <w:t xml:space="preserve"> </w:t>
      </w:r>
      <w:r w:rsidR="0014145D" w:rsidRPr="0014145D">
        <w:rPr>
          <w:i/>
          <w:iCs/>
        </w:rPr>
        <w:t>assumptions</w:t>
      </w:r>
      <w:r w:rsidR="0014145D">
        <w:t xml:space="preserve"> that are asserted as fact: (1) that ERCOT’s current procurement and deployment practices for ECRS cause “artificial shortage pricing,” and (2) that the ORDC framework should override ERCOT’s revealed operating preferences. </w:t>
      </w:r>
      <w:r w:rsidR="00952201">
        <w:t xml:space="preserve">This seems to lead to a conclusion that ECRS reserves </w:t>
      </w:r>
      <w:r w:rsidR="0088234C">
        <w:t xml:space="preserve">do not have value during </w:t>
      </w:r>
      <w:r w:rsidR="00952201" w:rsidRPr="00952201">
        <w:t>tight</w:t>
      </w:r>
      <w:r w:rsidR="00952201">
        <w:rPr>
          <w:i/>
          <w:iCs/>
        </w:rPr>
        <w:t xml:space="preserve"> </w:t>
      </w:r>
      <w:r w:rsidR="00952201">
        <w:t>grid conditions, and that there is no loss of operational value to ERCOT from releasing ECRS (and therefore price reversal upon ECRS release is appropriate)</w:t>
      </w:r>
      <w:r w:rsidR="0088234C">
        <w:t xml:space="preserve"> during tight conditions</w:t>
      </w:r>
      <w:r w:rsidR="00952201">
        <w:t xml:space="preserve">. </w:t>
      </w:r>
    </w:p>
    <w:p w14:paraId="0657789A" w14:textId="77777777" w:rsidR="00952201" w:rsidRDefault="00952201" w:rsidP="002D79CE">
      <w:pPr>
        <w:pStyle w:val="NormalArial"/>
        <w:jc w:val="both"/>
      </w:pPr>
    </w:p>
    <w:p w14:paraId="64BA5D2C" w14:textId="77777777" w:rsidR="00022E95" w:rsidRDefault="0014145D" w:rsidP="002D79CE">
      <w:pPr>
        <w:pStyle w:val="NormalArial"/>
        <w:jc w:val="both"/>
      </w:pPr>
      <w:r>
        <w:t>Joint Commenters and others have consistently rejected the first claim</w:t>
      </w:r>
      <w:r w:rsidR="00952201">
        <w:t xml:space="preserve">, instead recognizing that </w:t>
      </w:r>
      <w:r w:rsidR="00952201" w:rsidRPr="00952201">
        <w:rPr>
          <w:i/>
          <w:iCs/>
        </w:rPr>
        <w:t xml:space="preserve">there is a real shortage of supply </w:t>
      </w:r>
      <w:r w:rsidR="00952201">
        <w:rPr>
          <w:i/>
          <w:iCs/>
        </w:rPr>
        <w:t xml:space="preserve">when ERCOT cannot </w:t>
      </w:r>
      <w:r w:rsidR="00952201" w:rsidRPr="00952201">
        <w:rPr>
          <w:i/>
          <w:iCs/>
        </w:rPr>
        <w:t>serve energy demand while also maintaining sufficient Ancillary Service reserves to address system risks and contingencies</w:t>
      </w:r>
      <w:r w:rsidR="00952201">
        <w:t xml:space="preserve">. </w:t>
      </w:r>
      <w:r w:rsidR="00EC270A">
        <w:t xml:space="preserve">Similarly, Joint Commenters recognize that if ERCOT’s revealed preferences for operating reserves exceeds the bounds of the ORDC, </w:t>
      </w:r>
      <w:r w:rsidR="009448DE">
        <w:t xml:space="preserve">that simply means that </w:t>
      </w:r>
      <w:r w:rsidR="009448DE" w:rsidRPr="009448DE">
        <w:rPr>
          <w:i/>
          <w:iCs/>
        </w:rPr>
        <w:t>the ORDC is undervaluing ERCOT’s actual demand for operating reserves</w:t>
      </w:r>
      <w:r w:rsidR="009448DE">
        <w:t>.</w:t>
      </w:r>
      <w:r w:rsidR="005D1C16">
        <w:t xml:space="preserve"> To that end, </w:t>
      </w:r>
      <w:r w:rsidR="001154ED">
        <w:t xml:space="preserve">Joint Commenters </w:t>
      </w:r>
      <w:r w:rsidR="005D1C16">
        <w:t xml:space="preserve">do have concerns </w:t>
      </w:r>
      <w:r w:rsidR="001154ED">
        <w:t xml:space="preserve">that the current RTC ASDCs </w:t>
      </w:r>
      <w:r w:rsidR="005D1C16">
        <w:t xml:space="preserve">also </w:t>
      </w:r>
      <w:r w:rsidR="005D1C16" w:rsidRPr="005D1C16">
        <w:t>under</w:t>
      </w:r>
      <w:r w:rsidR="001154ED">
        <w:t>value ERCOT’s revealed preferences for operating reserves</w:t>
      </w:r>
      <w:r w:rsidR="005D1C16">
        <w:t xml:space="preserve"> – but note that </w:t>
      </w:r>
      <w:r w:rsidR="005D1C16" w:rsidRPr="005D1C16">
        <w:rPr>
          <w:i/>
          <w:iCs/>
        </w:rPr>
        <w:t xml:space="preserve">the </w:t>
      </w:r>
      <w:r w:rsidR="001154ED" w:rsidRPr="005D1C16">
        <w:rPr>
          <w:i/>
          <w:iCs/>
        </w:rPr>
        <w:t>NPRR1224</w:t>
      </w:r>
      <w:r w:rsidR="005D1C16" w:rsidRPr="005D1C16">
        <w:rPr>
          <w:i/>
          <w:iCs/>
        </w:rPr>
        <w:t xml:space="preserve"> </w:t>
      </w:r>
      <w:r w:rsidR="005D1C16" w:rsidRPr="005D1C16">
        <w:rPr>
          <w:i/>
          <w:iCs/>
        </w:rPr>
        <w:lastRenderedPageBreak/>
        <w:t>TAC Report has not attempted to correct for that undervaluation</w:t>
      </w:r>
      <w:r w:rsidR="005D1C16">
        <w:t xml:space="preserve"> and simply reflects the current</w:t>
      </w:r>
      <w:r w:rsidR="0035269E">
        <w:t>ly-approved</w:t>
      </w:r>
      <w:r w:rsidR="005D1C16">
        <w:t xml:space="preserve"> RTC ASDC framework. </w:t>
      </w:r>
    </w:p>
    <w:p w14:paraId="5C9547C9" w14:textId="77777777" w:rsidR="00311A89" w:rsidRDefault="00311A89" w:rsidP="002D79CE">
      <w:pPr>
        <w:pStyle w:val="NormalArial"/>
        <w:jc w:val="both"/>
      </w:pPr>
    </w:p>
    <w:p w14:paraId="65EFCBF3" w14:textId="4DE5BC2B" w:rsidR="00311A89" w:rsidRPr="001154ED" w:rsidRDefault="00311A89" w:rsidP="002D79CE">
      <w:pPr>
        <w:pStyle w:val="NormalArial"/>
        <w:jc w:val="both"/>
      </w:pPr>
      <w:r>
        <w:t xml:space="preserve">It is also worth noting that the mechanics of </w:t>
      </w:r>
      <w:r w:rsidR="0011139F">
        <w:t xml:space="preserve">TAC approved </w:t>
      </w:r>
      <w:r w:rsidR="007B4E17">
        <w:t>NPRR1224</w:t>
      </w:r>
      <w:r w:rsidR="00393509">
        <w:t>,</w:t>
      </w:r>
      <w:r>
        <w:t xml:space="preserve"> </w:t>
      </w:r>
      <w:r w:rsidR="00393509">
        <w:t xml:space="preserve">which ERCOT supports, </w:t>
      </w:r>
      <w:r w:rsidR="007B4E17">
        <w:t>would</w:t>
      </w:r>
      <w:r>
        <w:t xml:space="preserve"> not trigger an ECRS deployment until SCED determines it is more economical to borrow from Regulation than to dispatch more expensive energy for three consecutive SCED executions (i.e., X = 40MW, Y = 10 minutes). The energy price point considered in this tradeoff decision is </w:t>
      </w:r>
      <w:r w:rsidR="008979EB">
        <w:t xml:space="preserve">at least </w:t>
      </w:r>
      <w:r>
        <w:t xml:space="preserve">$1,000/MWh. </w:t>
      </w:r>
      <w:r w:rsidR="008979EB">
        <w:t>Conservatively, t</w:t>
      </w:r>
      <w:r>
        <w:t>his effectively sets the price of energy at $1,000/MWh for 10 minutes, and only at that point would ERCOT be willing to convert a portion of its held ECRS capacity to energy. In any other venture, it is reasonable to assume that one would not convert or sell a</w:t>
      </w:r>
      <w:r w:rsidR="00E54EF7">
        <w:t xml:space="preserve"> product</w:t>
      </w:r>
      <w:r>
        <w:t xml:space="preserve"> until the</w:t>
      </w:r>
      <w:r w:rsidR="00A22054">
        <w:t xml:space="preserve">y </w:t>
      </w:r>
      <w:r>
        <w:t>believe its value has been realized. When viewing NPRR1224 through th</w:t>
      </w:r>
      <w:r w:rsidR="00A90EE5">
        <w:t>at</w:t>
      </w:r>
      <w:r>
        <w:t xml:space="preserve"> lens, a price floor of $750/MWh </w:t>
      </w:r>
      <w:r w:rsidR="00944642">
        <w:t>fall</w:t>
      </w:r>
      <w:r w:rsidR="00EC5593">
        <w:t>s</w:t>
      </w:r>
      <w:r>
        <w:t xml:space="preserve"> </w:t>
      </w:r>
      <w:r w:rsidR="00C17099">
        <w:t xml:space="preserve">well </w:t>
      </w:r>
      <w:r w:rsidR="00944642">
        <w:t xml:space="preserve">below </w:t>
      </w:r>
      <w:r>
        <w:t xml:space="preserve">the </w:t>
      </w:r>
      <w:r w:rsidR="00EC5593">
        <w:t xml:space="preserve">conversion value of the </w:t>
      </w:r>
      <w:r w:rsidR="00205909">
        <w:t xml:space="preserve">ECRS </w:t>
      </w:r>
      <w:r>
        <w:t xml:space="preserve">product, and further highlights that it </w:t>
      </w:r>
      <w:r w:rsidR="00944642">
        <w:t>should be considered</w:t>
      </w:r>
      <w:r>
        <w:t xml:space="preserve"> a reasonable level for a floor.</w:t>
      </w:r>
    </w:p>
    <w:p w14:paraId="3B7012A1" w14:textId="77777777" w:rsidR="00022E95" w:rsidRDefault="00022E95" w:rsidP="002D79CE">
      <w:pPr>
        <w:pStyle w:val="NormalArial"/>
        <w:jc w:val="both"/>
      </w:pPr>
    </w:p>
    <w:p w14:paraId="55876CCD" w14:textId="25ECA33C" w:rsidR="00F57973" w:rsidRDefault="0035269E" w:rsidP="00D54664">
      <w:pPr>
        <w:pStyle w:val="NormalArial"/>
        <w:jc w:val="both"/>
      </w:pPr>
      <w:r>
        <w:t>From the above, it should be clear that, while the NPRR1224 TAC Report does reflect multiple compromises</w:t>
      </w:r>
      <w:r w:rsidR="00AA100B">
        <w:t xml:space="preserve"> (first on the need for manual release of ECRS at all; second, on the manual release trigger; third on the price floor)</w:t>
      </w:r>
      <w:r>
        <w:t xml:space="preserve">, </w:t>
      </w:r>
      <w:r w:rsidR="00AA100B">
        <w:t xml:space="preserve">those </w:t>
      </w:r>
      <w:r>
        <w:t>compromise</w:t>
      </w:r>
      <w:r w:rsidR="00AA100B">
        <w:t>s</w:t>
      </w:r>
      <w:r>
        <w:t xml:space="preserve"> </w:t>
      </w:r>
      <w:r w:rsidR="00AA100B">
        <w:t xml:space="preserve">are, to the extent possible, well-rooted both analytically and in market principles. </w:t>
      </w:r>
      <w:r w:rsidR="00F24FE8">
        <w:t xml:space="preserve">It should also be clear that any accusation that the NPRR1224 TAC Report lacked analysis for the selected price floor level lacks merit, as the selected floor price was clearly </w:t>
      </w:r>
      <w:r w:rsidR="00F24FE8" w:rsidRPr="00CB78D8">
        <w:t>within the range of values indicated by the ECRS ASDC examples</w:t>
      </w:r>
      <w:r w:rsidR="00F24FE8">
        <w:t xml:space="preserve"> </w:t>
      </w:r>
      <w:r w:rsidR="00F24FE8" w:rsidRPr="0090122E">
        <w:t>(</w:t>
      </w:r>
      <w:r w:rsidR="00DF0384">
        <w:t xml:space="preserve">more than </w:t>
      </w:r>
      <w:r w:rsidR="00CB78D8" w:rsidRPr="0090122E">
        <w:t>80% of the hours in 2024 with higher than $750/MWh for 500</w:t>
      </w:r>
      <w:r w:rsidR="00B02528" w:rsidRPr="0090122E">
        <w:t xml:space="preserve"> </w:t>
      </w:r>
      <w:r w:rsidR="00CB78D8" w:rsidRPr="0090122E">
        <w:t xml:space="preserve">MW release and an </w:t>
      </w:r>
      <w:r w:rsidR="00737D6B" w:rsidRPr="0090122E">
        <w:t>average value</w:t>
      </w:r>
      <w:r w:rsidR="00CB78D8" w:rsidRPr="0090122E">
        <w:t xml:space="preserve"> over all the hours between $9</w:t>
      </w:r>
      <w:r w:rsidR="00BA287A">
        <w:t>2</w:t>
      </w:r>
      <w:r w:rsidR="007D361A">
        <w:t>3.6</w:t>
      </w:r>
      <w:r w:rsidR="00CB78D8" w:rsidRPr="0090122E">
        <w:t>/MWh</w:t>
      </w:r>
      <w:r w:rsidR="00737D6B" w:rsidRPr="0090122E">
        <w:t xml:space="preserve"> &amp; $1</w:t>
      </w:r>
      <w:r w:rsidR="00BA287A">
        <w:t>506</w:t>
      </w:r>
      <w:r w:rsidR="00737D6B" w:rsidRPr="0090122E">
        <w:t>/MWh</w:t>
      </w:r>
      <w:r w:rsidR="00CB78D8" w:rsidRPr="0090122E">
        <w:t xml:space="preserve"> for 1MW to 500</w:t>
      </w:r>
      <w:r w:rsidR="00B02528" w:rsidRPr="0090122E">
        <w:t xml:space="preserve"> </w:t>
      </w:r>
      <w:r w:rsidR="00CB78D8" w:rsidRPr="0090122E">
        <w:t>MW release of ECRS</w:t>
      </w:r>
      <w:r w:rsidR="00477201" w:rsidRPr="0090122E">
        <w:t>)</w:t>
      </w:r>
      <w:r w:rsidR="00311A89">
        <w:t xml:space="preserve"> </w:t>
      </w:r>
      <w:r w:rsidR="00311A89" w:rsidRPr="0090122E">
        <w:t xml:space="preserve">and </w:t>
      </w:r>
      <w:r w:rsidR="009F7F9C">
        <w:t xml:space="preserve">well </w:t>
      </w:r>
      <w:r w:rsidR="00311A89" w:rsidRPr="0090122E">
        <w:t xml:space="preserve">below the tradeoff value that </w:t>
      </w:r>
      <w:r w:rsidR="00311A89">
        <w:t>ERCOT</w:t>
      </w:r>
      <w:r w:rsidR="00311A89" w:rsidRPr="0090122E">
        <w:t xml:space="preserve"> </w:t>
      </w:r>
      <w:r w:rsidR="0031722F">
        <w:t>would consider</w:t>
      </w:r>
      <w:r w:rsidR="00311A89" w:rsidRPr="0090122E">
        <w:t xml:space="preserve"> when converting ECRS capacity to energy</w:t>
      </w:r>
      <w:r w:rsidR="00F24FE8" w:rsidRPr="00311A89">
        <w:t>.</w:t>
      </w:r>
      <w:r w:rsidR="00F24FE8">
        <w:t xml:space="preserve"> </w:t>
      </w:r>
      <w:r w:rsidR="00746F9F">
        <w:t xml:space="preserve">The TAC Report of NPRR1224 </w:t>
      </w:r>
      <w:r w:rsidR="00AA100B">
        <w:t xml:space="preserve">furthermore </w:t>
      </w:r>
      <w:r w:rsidR="00746F9F">
        <w:t>received unanimous support from 5 out of 7 stakeholder market segments</w:t>
      </w:r>
      <w:r w:rsidR="00E311B9">
        <w:t>. Th</w:t>
      </w:r>
      <w:r w:rsidR="00AA100B">
        <w:t>is</w:t>
      </w:r>
      <w:r w:rsidR="00E311B9">
        <w:t xml:space="preserve"> reflects the kind of compromise that the stakeholder process is designed to yield</w:t>
      </w:r>
      <w:r w:rsidR="00477201">
        <w:t>, which should be encouraged</w:t>
      </w:r>
      <w:r w:rsidR="00E311B9">
        <w:t xml:space="preserve">. </w:t>
      </w:r>
    </w:p>
    <w:p w14:paraId="4765C4CC" w14:textId="77777777" w:rsidR="00F57973" w:rsidRDefault="00F57973" w:rsidP="00D54664">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B2E00BC" w14:textId="77777777" w:rsidTr="00B5080A">
        <w:trPr>
          <w:trHeight w:val="350"/>
        </w:trPr>
        <w:tc>
          <w:tcPr>
            <w:tcW w:w="10440" w:type="dxa"/>
            <w:tcBorders>
              <w:bottom w:val="single" w:sz="4" w:space="0" w:color="auto"/>
            </w:tcBorders>
            <w:shd w:val="clear" w:color="auto" w:fill="FFFFFF"/>
            <w:vAlign w:val="center"/>
          </w:tcPr>
          <w:p w14:paraId="3CA9DA71" w14:textId="77777777" w:rsidR="00BD7258" w:rsidRDefault="00BD7258" w:rsidP="00B5080A">
            <w:pPr>
              <w:pStyle w:val="Header"/>
              <w:jc w:val="center"/>
            </w:pPr>
            <w:r>
              <w:t>Revised Cover Page Language</w:t>
            </w:r>
          </w:p>
        </w:tc>
      </w:tr>
    </w:tbl>
    <w:p w14:paraId="59785190" w14:textId="77777777" w:rsidR="00F3549F" w:rsidRPr="006E048F" w:rsidRDefault="00F3549F" w:rsidP="00F3549F">
      <w:pPr>
        <w:pStyle w:val="BodyText"/>
        <w:rPr>
          <w:rFonts w:ascii="Arial" w:hAnsi="Arial" w:cs="Arial"/>
        </w:rPr>
      </w:pPr>
      <w:r w:rsidRPr="006E048F">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9E8CE1C" w14:textId="77777777">
        <w:trPr>
          <w:trHeight w:val="350"/>
        </w:trPr>
        <w:tc>
          <w:tcPr>
            <w:tcW w:w="10440" w:type="dxa"/>
            <w:tcBorders>
              <w:bottom w:val="single" w:sz="4" w:space="0" w:color="auto"/>
            </w:tcBorders>
            <w:shd w:val="clear" w:color="auto" w:fill="FFFFFF"/>
            <w:vAlign w:val="center"/>
          </w:tcPr>
          <w:p w14:paraId="77F0548E" w14:textId="77777777" w:rsidR="00152993" w:rsidRDefault="00152993">
            <w:pPr>
              <w:pStyle w:val="Header"/>
              <w:jc w:val="center"/>
            </w:pPr>
            <w:r>
              <w:t>Revised Proposed Protocol Language</w:t>
            </w:r>
          </w:p>
        </w:tc>
      </w:tr>
    </w:tbl>
    <w:p w14:paraId="5337F232" w14:textId="77777777" w:rsidR="00152993" w:rsidRPr="006E048F" w:rsidRDefault="006E048F">
      <w:pPr>
        <w:pStyle w:val="BodyText"/>
        <w:rPr>
          <w:rFonts w:ascii="Arial" w:hAnsi="Arial" w:cs="Arial"/>
        </w:rPr>
      </w:pPr>
      <w:r w:rsidRPr="006E048F">
        <w:rPr>
          <w:rFonts w:ascii="Arial" w:hAnsi="Arial" w:cs="Arial"/>
        </w:rPr>
        <w:t>None</w:t>
      </w:r>
    </w:p>
    <w:sectPr w:rsidR="00152993" w:rsidRPr="006E048F"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AC42" w14:textId="77777777" w:rsidR="00B336BF" w:rsidRDefault="00B336BF">
      <w:r>
        <w:separator/>
      </w:r>
    </w:p>
  </w:endnote>
  <w:endnote w:type="continuationSeparator" w:id="0">
    <w:p w14:paraId="220C5B65" w14:textId="77777777" w:rsidR="00B336BF" w:rsidRDefault="00B336BF">
      <w:r>
        <w:continuationSeparator/>
      </w:r>
    </w:p>
  </w:endnote>
  <w:endnote w:type="continuationNotice" w:id="1">
    <w:p w14:paraId="55A8765C" w14:textId="77777777" w:rsidR="00B336BF" w:rsidRDefault="00B33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BD92" w14:textId="5DB16B29"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B59E3">
      <w:rPr>
        <w:rFonts w:ascii="Arial" w:hAnsi="Arial"/>
        <w:noProof/>
        <w:sz w:val="18"/>
      </w:rPr>
      <w:t>1224NPRR-18 Joint Commenters Comments 061024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6D05497" w14:textId="28AFF6C5" w:rsidR="00EE6681" w:rsidRDefault="00FB59E3"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6E10" w14:textId="77777777" w:rsidR="00B336BF" w:rsidRDefault="00B336BF">
      <w:r>
        <w:separator/>
      </w:r>
    </w:p>
  </w:footnote>
  <w:footnote w:type="continuationSeparator" w:id="0">
    <w:p w14:paraId="1595D2B5" w14:textId="77777777" w:rsidR="00B336BF" w:rsidRDefault="00B336BF">
      <w:r>
        <w:continuationSeparator/>
      </w:r>
    </w:p>
  </w:footnote>
  <w:footnote w:type="continuationNotice" w:id="1">
    <w:p w14:paraId="1FCA43C1" w14:textId="77777777" w:rsidR="00B336BF" w:rsidRDefault="00B336BF"/>
  </w:footnote>
  <w:footnote w:id="2">
    <w:p w14:paraId="373CC3C5" w14:textId="602379AC" w:rsidR="0090122E" w:rsidRDefault="0090122E">
      <w:pPr>
        <w:pStyle w:val="FootnoteText"/>
      </w:pPr>
      <w:r>
        <w:rPr>
          <w:rStyle w:val="FootnoteReference"/>
        </w:rPr>
        <w:footnoteRef/>
      </w:r>
      <w:r>
        <w:t xml:space="preserve"> NRG has not joined the comments.</w:t>
      </w:r>
    </w:p>
  </w:footnote>
  <w:footnote w:id="3">
    <w:p w14:paraId="743EFCBA" w14:textId="77777777" w:rsidR="00B25C97" w:rsidRPr="00A4059D" w:rsidRDefault="00B25C97" w:rsidP="00B25C97">
      <w:pPr>
        <w:pStyle w:val="FootnoteText"/>
      </w:pPr>
      <w:r>
        <w:rPr>
          <w:rStyle w:val="FootnoteReference"/>
        </w:rPr>
        <w:footnoteRef/>
      </w:r>
      <w:r>
        <w:t xml:space="preserve"> </w:t>
      </w:r>
      <w:r w:rsidR="00A16E78">
        <w:t xml:space="preserve">That is, 1 MW from a battery with 5 minutes’ remaining state of charge, a fast start/fast ramping gas plant with onsite backup fuel, and a slow-ramping plant sitting at its low sustained limit but that could not ever realistically reach its high sustained limit within the ORDC’s 30-minute timeframe are all </w:t>
      </w:r>
      <w:r w:rsidR="00477201">
        <w:t xml:space="preserve">currently </w:t>
      </w:r>
      <w:r w:rsidR="00A16E78">
        <w:t>counted the same towards the ORDC’s Real-Time Online Capacity (RTOLCAP)</w:t>
      </w:r>
      <w:r w:rsidR="00477201">
        <w:t xml:space="preserve"> and Real-Time Offline Capacity (RTOFFCAP)</w:t>
      </w:r>
      <w:r w:rsidR="00A16E78">
        <w:t xml:space="preserve">. </w:t>
      </w:r>
      <w:r w:rsidR="00477201">
        <w:t>There is gray-boxed language from OBDRR</w:t>
      </w:r>
      <w:r w:rsidR="00A4059D">
        <w:t xml:space="preserve">017 </w:t>
      </w:r>
      <w:r w:rsidR="00477201">
        <w:t>to discount batteries’ contributions to RTOLCAP based on their state of charge, but it is not implemented</w:t>
      </w:r>
      <w:r w:rsidR="00A4059D">
        <w:t xml:space="preserve"> (linked to NPRR987) and according to recent reports to the Protocol Revision Subcommittee, NPRR987 is not going to be implemented until after RTC go-live. </w:t>
      </w:r>
      <w:r w:rsidR="00A4059D" w:rsidRPr="00A4059D">
        <w:rPr>
          <w:i/>
          <w:iCs/>
        </w:rPr>
        <w:t>See</w:t>
      </w:r>
      <w:r w:rsidR="00A4059D">
        <w:t xml:space="preserve"> generally Section 2.2.1 in the Other Binding Document </w:t>
      </w:r>
      <w:r w:rsidR="00A4059D" w:rsidRPr="00A4059D">
        <w:rPr>
          <w:bCs/>
          <w:i/>
          <w:iCs/>
        </w:rPr>
        <w:t>Methodology for Implementing Operating Reserve Demand Curve (ORDC) to Calculate Real-Time Reserve Price Adder</w:t>
      </w:r>
      <w:r w:rsidR="00A4059D">
        <w:rPr>
          <w:bCs/>
        </w:rPr>
        <w:t xml:space="preserve"> as well as May 2024 PRS Project Update.</w:t>
      </w:r>
    </w:p>
  </w:footnote>
  <w:footnote w:id="4">
    <w:p w14:paraId="2F7260AF" w14:textId="77777777" w:rsidR="00A16E78" w:rsidRDefault="00A16E78">
      <w:pPr>
        <w:pStyle w:val="FootnoteText"/>
      </w:pPr>
      <w:r>
        <w:rPr>
          <w:rStyle w:val="FootnoteReference"/>
        </w:rPr>
        <w:footnoteRef/>
      </w:r>
      <w:r>
        <w:t xml:space="preserve"> </w:t>
      </w:r>
      <w:r w:rsidR="00A20A37">
        <w:rPr>
          <w:i/>
          <w:iCs/>
        </w:rPr>
        <w:t>See</w:t>
      </w:r>
      <w:r w:rsidR="00A20A37" w:rsidRPr="001A7995">
        <w:t xml:space="preserve"> </w:t>
      </w:r>
      <w:r>
        <w:t>RTC Key Principle 1.1(1): “</w:t>
      </w:r>
      <w:r w:rsidRPr="00AC26BF">
        <w:rPr>
          <w:rFonts w:cs="Arial"/>
          <w:iCs/>
        </w:rPr>
        <w:t xml:space="preserve">The </w:t>
      </w:r>
      <w:r>
        <w:rPr>
          <w:rFonts w:cs="Arial"/>
          <w:iCs/>
        </w:rPr>
        <w:t>ORDC price</w:t>
      </w:r>
      <w:r w:rsidRPr="00AC26BF">
        <w:rPr>
          <w:rFonts w:cs="Arial"/>
          <w:iCs/>
        </w:rPr>
        <w:t xml:space="preserve"> adders and the associated process of determining those price adders in </w:t>
      </w:r>
      <w:r>
        <w:rPr>
          <w:rFonts w:cs="Arial"/>
          <w:iCs/>
        </w:rPr>
        <w:t>R</w:t>
      </w:r>
      <w:r w:rsidRPr="00AC26BF">
        <w:rPr>
          <w:rFonts w:cs="Arial"/>
          <w:iCs/>
        </w:rPr>
        <w:t>eal-</w:t>
      </w:r>
      <w:r>
        <w:rPr>
          <w:rFonts w:cs="Arial"/>
          <w:iCs/>
        </w:rPr>
        <w:t>T</w:t>
      </w:r>
      <w:r w:rsidRPr="00AC26BF">
        <w:rPr>
          <w:rFonts w:cs="Arial"/>
          <w:iCs/>
        </w:rPr>
        <w:t xml:space="preserve">ime are eliminated under </w:t>
      </w:r>
      <w:r>
        <w:rPr>
          <w:rFonts w:cs="Arial"/>
          <w:iCs/>
        </w:rPr>
        <w:t>Real-Time Co-optimization (</w:t>
      </w:r>
      <w:r w:rsidRPr="00AC26BF">
        <w:rPr>
          <w:rFonts w:cs="Arial"/>
          <w:iCs/>
        </w:rPr>
        <w:t>RTC</w:t>
      </w:r>
      <w:r>
        <w:rPr>
          <w:rFonts w:cs="Arial"/>
          <w:iCs/>
        </w:rPr>
        <w:t>)</w:t>
      </w:r>
      <w:r w:rsidRPr="00AC26BF">
        <w:rPr>
          <w:rFonts w:cs="Arial"/>
          <w:iCs/>
        </w:rPr>
        <w:t>.  Instead, the R</w:t>
      </w:r>
      <w:r>
        <w:rPr>
          <w:rFonts w:cs="Arial"/>
          <w:iCs/>
        </w:rPr>
        <w:t>eal-</w:t>
      </w:r>
      <w:r w:rsidRPr="00AC26BF">
        <w:rPr>
          <w:rFonts w:cs="Arial"/>
          <w:iCs/>
        </w:rPr>
        <w:t>T</w:t>
      </w:r>
      <w:r>
        <w:rPr>
          <w:rFonts w:cs="Arial"/>
          <w:iCs/>
        </w:rPr>
        <w:t>ime market (RTM)</w:t>
      </w:r>
      <w:r w:rsidRPr="00AC26BF">
        <w:rPr>
          <w:rFonts w:cs="Arial"/>
          <w:iCs/>
        </w:rPr>
        <w:t xml:space="preserve"> optimization will use ASDCs as input and determine </w:t>
      </w:r>
      <w:r w:rsidRPr="00924E4B">
        <w:rPr>
          <w:rFonts w:cs="Arial"/>
          <w:iCs/>
        </w:rPr>
        <w:t>Market Clearing Price</w:t>
      </w:r>
      <w:r>
        <w:rPr>
          <w:rFonts w:cs="Arial"/>
          <w:iCs/>
        </w:rPr>
        <w:t>s</w:t>
      </w:r>
      <w:r w:rsidRPr="00924E4B">
        <w:rPr>
          <w:rFonts w:cs="Arial"/>
          <w:iCs/>
        </w:rPr>
        <w:t xml:space="preserve"> for Capacity </w:t>
      </w:r>
      <w:r>
        <w:rPr>
          <w:rFonts w:cs="Arial"/>
          <w:iCs/>
        </w:rPr>
        <w:t>(</w:t>
      </w:r>
      <w:r w:rsidRPr="00AC26BF">
        <w:rPr>
          <w:rFonts w:cs="Arial"/>
          <w:iCs/>
        </w:rPr>
        <w:t>MCPCs</w:t>
      </w:r>
      <w:r>
        <w:rPr>
          <w:rFonts w:cs="Arial"/>
          <w:iCs/>
        </w:rPr>
        <w:t>)</w:t>
      </w:r>
      <w:r w:rsidRPr="00AC26BF">
        <w:rPr>
          <w:rFonts w:cs="Arial"/>
          <w:iCs/>
        </w:rPr>
        <w:t xml:space="preserve"> for each of the individual </w:t>
      </w:r>
      <w:proofErr w:type="gramStart"/>
      <w:r w:rsidRPr="00AC26BF">
        <w:rPr>
          <w:rFonts w:cs="Arial"/>
          <w:iCs/>
        </w:rPr>
        <w:t>AS</w:t>
      </w:r>
      <w:proofErr w:type="gramEnd"/>
      <w:r>
        <w:rPr>
          <w:rFonts w:cs="Arial"/>
          <w:iCs/>
        </w:rPr>
        <w:t xml:space="preserve"> </w:t>
      </w:r>
      <w:r w:rsidRPr="00AC26BF">
        <w:rPr>
          <w:rFonts w:cs="Arial"/>
          <w:iCs/>
        </w:rPr>
        <w:t>products</w:t>
      </w:r>
      <w:r>
        <w:rPr>
          <w:rFonts w:cs="Arial"/>
          <w:iCs/>
        </w:rPr>
        <w:t>.” (</w:t>
      </w:r>
      <w:hyperlink r:id="rId1" w:history="1">
        <w:r w:rsidRPr="00156502">
          <w:rPr>
            <w:rStyle w:val="Hyperlink"/>
          </w:rPr>
          <w:t>https://www.ercot.com/files/docs/2020/02/06/KP1.1_012920_TAC_APPROVED.docx</w:t>
        </w:r>
      </w:hyperlink>
      <w:r>
        <w:t>).</w:t>
      </w:r>
    </w:p>
  </w:footnote>
  <w:footnote w:id="5">
    <w:p w14:paraId="51F3EFD1" w14:textId="77777777" w:rsidR="00A16E78" w:rsidRPr="00A4059D" w:rsidRDefault="00A16E78">
      <w:pPr>
        <w:pStyle w:val="FootnoteText"/>
      </w:pPr>
      <w:r>
        <w:rPr>
          <w:rStyle w:val="FootnoteReference"/>
        </w:rPr>
        <w:footnoteRef/>
      </w:r>
      <w:r>
        <w:t xml:space="preserve"> </w:t>
      </w:r>
      <w:r w:rsidR="00A4059D">
        <w:rPr>
          <w:i/>
          <w:iCs/>
        </w:rPr>
        <w:t>See</w:t>
      </w:r>
      <w:r w:rsidR="00A4059D">
        <w:t xml:space="preserve"> RTC Key Principle 1.3(8): “</w:t>
      </w:r>
      <w:r w:rsidR="00A4059D" w:rsidRPr="00A4059D">
        <w:t>During each execution, RTC awards for energy (Base Points) and AS will be based on taking a fresh look at the pool of Resources available to provide energy and AS.</w:t>
      </w:r>
      <w:r w:rsidR="00A4059D">
        <w:t>” (</w:t>
      </w:r>
      <w:hyperlink r:id="rId2" w:history="1">
        <w:r w:rsidR="00A4059D" w:rsidRPr="00156502">
          <w:rPr>
            <w:rStyle w:val="Hyperlink"/>
          </w:rPr>
          <w:t>https://www.ercot.com/files/docs/2020/02/06/KP1.3_012920_TAC_APPROVED.docx</w:t>
        </w:r>
      </w:hyperlink>
      <w:r w:rsidR="00A4059D">
        <w:t xml:space="preserve">). </w:t>
      </w:r>
    </w:p>
  </w:footnote>
  <w:footnote w:id="6">
    <w:p w14:paraId="16440164" w14:textId="722A359E" w:rsidR="00A16E78" w:rsidRPr="002D7072" w:rsidRDefault="00A16E78">
      <w:pPr>
        <w:pStyle w:val="FootnoteText"/>
      </w:pPr>
      <w:r>
        <w:rPr>
          <w:rStyle w:val="FootnoteReference"/>
        </w:rPr>
        <w:footnoteRef/>
      </w:r>
      <w:r>
        <w:t xml:space="preserve"> </w:t>
      </w:r>
      <w:r w:rsidR="00A20A37">
        <w:rPr>
          <w:i/>
          <w:iCs/>
        </w:rPr>
        <w:t>See</w:t>
      </w:r>
      <w:r w:rsidR="00A20A37" w:rsidRPr="001A7995">
        <w:t xml:space="preserve"> </w:t>
      </w:r>
      <w:r>
        <w:t>RTC Key Principle 1.5(10): “</w:t>
      </w:r>
      <w:r w:rsidRPr="00A60F8F">
        <w:rPr>
          <w:rFonts w:cs="Arial"/>
          <w:iCs/>
        </w:rPr>
        <w:t xml:space="preserve">Under scarcity conditions, energy to be served is given priority and smaller amounts of each Ancillary Service will be procured. </w:t>
      </w:r>
      <w:r w:rsidRPr="00F57973">
        <w:rPr>
          <w:rFonts w:cs="Arial"/>
          <w:iCs/>
        </w:rPr>
        <w:t>This will result in scarcity prices being set by the demand curves and reflected in energy prices and MCPCs.</w:t>
      </w:r>
      <w:r>
        <w:rPr>
          <w:rFonts w:cs="Arial"/>
          <w:iCs/>
        </w:rPr>
        <w:t>” (</w:t>
      </w:r>
      <w:hyperlink r:id="rId3" w:history="1">
        <w:r w:rsidR="00BE1F44" w:rsidRPr="00156502">
          <w:rPr>
            <w:rStyle w:val="Hyperlink"/>
          </w:rPr>
          <w:t>https://www.ercot.com/files/docs/2020/02/06/KP1.5_012920_TAC_APPROVED.doc</w:t>
        </w:r>
      </w:hyperlink>
      <w:r w:rsidR="00BE1F44">
        <w:t>).</w:t>
      </w:r>
      <w:r w:rsidR="002D7072">
        <w:t xml:space="preserve"> Under scarcity condition</w:t>
      </w:r>
      <w:r w:rsidR="007F2251">
        <w:t>s</w:t>
      </w:r>
      <w:r w:rsidR="002D7072">
        <w:t xml:space="preserve">, for the marginal resource that is providing energy and ancillary service to be indifferent to providing energy and AS, the profit from Energy and AS should be same. </w:t>
      </w:r>
      <w:r w:rsidR="007F2251">
        <w:t>That is reflected in the RTC optimization as the</w:t>
      </w:r>
      <w:r w:rsidR="002D7072">
        <w:t xml:space="preserve"> LMP – Energy offer = AS MCPC- AS offer. </w:t>
      </w:r>
      <w:r w:rsidR="007F2251">
        <w:t xml:space="preserve">The </w:t>
      </w:r>
      <w:r w:rsidR="002D7072">
        <w:t xml:space="preserve">AS MCPC will be set by ASDC. Assuming (Energy offer – AS offer) to be positive, </w:t>
      </w:r>
      <w:r w:rsidR="002D7072" w:rsidRPr="002D7072">
        <w:t>the ASDC for that AS effectively sets a floor for wholesale energy prices</w:t>
      </w:r>
    </w:p>
  </w:footnote>
  <w:footnote w:id="7">
    <w:p w14:paraId="49F61259" w14:textId="77777777" w:rsidR="00A20A37" w:rsidRDefault="00A20A37">
      <w:pPr>
        <w:pStyle w:val="FootnoteText"/>
      </w:pPr>
      <w:r>
        <w:rPr>
          <w:rStyle w:val="FootnoteReference"/>
        </w:rPr>
        <w:footnoteRef/>
      </w:r>
      <w:r>
        <w:t xml:space="preserve"> </w:t>
      </w:r>
      <w:r>
        <w:rPr>
          <w:i/>
          <w:iCs/>
        </w:rPr>
        <w:t>See</w:t>
      </w:r>
      <w:r w:rsidRPr="001A7995">
        <w:t xml:space="preserve"> </w:t>
      </w:r>
      <w:hyperlink r:id="rId4" w:history="1">
        <w:r w:rsidRPr="00156502">
          <w:rPr>
            <w:rStyle w:val="Hyperlink"/>
          </w:rPr>
          <w:t>https://www.ercot.com/files/docs/2024/05/20/1224NPRR-12%20Joint%20Commenters%20Comments%20052024.docx</w:t>
        </w:r>
      </w:hyperlink>
      <w:r>
        <w:t xml:space="preserve"> </w:t>
      </w:r>
    </w:p>
  </w:footnote>
  <w:footnote w:id="8">
    <w:p w14:paraId="002AC2F1" w14:textId="77777777" w:rsidR="00A20A37" w:rsidRDefault="00A20A37">
      <w:pPr>
        <w:pStyle w:val="FootnoteText"/>
      </w:pPr>
      <w:r>
        <w:rPr>
          <w:rStyle w:val="FootnoteReference"/>
        </w:rPr>
        <w:footnoteRef/>
      </w:r>
      <w:r>
        <w:t xml:space="preserve"> </w:t>
      </w:r>
      <w:r>
        <w:rPr>
          <w:i/>
          <w:iCs/>
        </w:rPr>
        <w:t>See</w:t>
      </w:r>
      <w:r w:rsidRPr="001A7995">
        <w:t xml:space="preserve"> </w:t>
      </w:r>
      <w:hyperlink r:id="rId5" w:history="1">
        <w:r w:rsidRPr="00EC4F94">
          <w:rPr>
            <w:rStyle w:val="Hyperlink"/>
            <w:i/>
            <w:iCs/>
          </w:rPr>
          <w:t>https://www.ercot.com/files/docs/2024/02/13/ASDC%20Overview%20-%20RTCBTF%20-%2002212024.pptx</w:t>
        </w:r>
      </w:hyperlink>
      <w:r>
        <w:rPr>
          <w:i/>
          <w:iCs/>
        </w:rPr>
        <w:t xml:space="preserve"> </w:t>
      </w:r>
      <w:r w:rsidRPr="00A4059D">
        <w:t xml:space="preserve">presented at the February 21, 2024 RTC+B Task Force Meeting, slide 15. Out of abundance of caution in attribution, Joint Commenters note that the addition of the green/yellow/red lines and text are </w:t>
      </w:r>
      <w:r w:rsidRPr="00A4059D">
        <w:rPr>
          <w:u w:val="single"/>
        </w:rPr>
        <w:t>not</w:t>
      </w:r>
      <w:r w:rsidRPr="00A4059D">
        <w:t xml:space="preserve"> part of the original ERCOT document; rather Joint Commenters have leveraged those as an existing public representation of the value of ECRS during different operating hours under RTC.</w:t>
      </w:r>
    </w:p>
  </w:footnote>
  <w:footnote w:id="9">
    <w:p w14:paraId="03854C87" w14:textId="77777777" w:rsidR="00077494" w:rsidRDefault="00077494" w:rsidP="00077494">
      <w:pPr>
        <w:pStyle w:val="FootnoteText"/>
      </w:pPr>
      <w:r>
        <w:rPr>
          <w:rStyle w:val="FootnoteReference"/>
        </w:rPr>
        <w:footnoteRef/>
      </w:r>
      <w:r>
        <w:t xml:space="preserve"> </w:t>
      </w:r>
      <w:r w:rsidRPr="003706B0">
        <w:t>Based on ERCOT’s posted AS requirements for 2024 and ASDC created by ERCOT based on regression model for the ORDC.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282C" w14:textId="65110864" w:rsidR="00EE6681" w:rsidRPr="00F3549F" w:rsidRDefault="00EE6681" w:rsidP="00F3549F">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2BE3655"/>
    <w:multiLevelType w:val="hybridMultilevel"/>
    <w:tmpl w:val="1A6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60840062">
    <w:abstractNumId w:val="0"/>
  </w:num>
  <w:num w:numId="2" w16cid:durableId="1951428487">
    <w:abstractNumId w:val="2"/>
  </w:num>
  <w:num w:numId="3" w16cid:durableId="133268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0D40"/>
    <w:rsid w:val="00022E95"/>
    <w:rsid w:val="000304CD"/>
    <w:rsid w:val="00037668"/>
    <w:rsid w:val="00040025"/>
    <w:rsid w:val="00071497"/>
    <w:rsid w:val="00075A94"/>
    <w:rsid w:val="00076317"/>
    <w:rsid w:val="00076CBB"/>
    <w:rsid w:val="00077494"/>
    <w:rsid w:val="000A0415"/>
    <w:rsid w:val="000D0DED"/>
    <w:rsid w:val="000D29B3"/>
    <w:rsid w:val="000E6CA0"/>
    <w:rsid w:val="000F1150"/>
    <w:rsid w:val="000F1CD6"/>
    <w:rsid w:val="00104F61"/>
    <w:rsid w:val="0011139F"/>
    <w:rsid w:val="001154ED"/>
    <w:rsid w:val="00132855"/>
    <w:rsid w:val="0014145B"/>
    <w:rsid w:val="0014145D"/>
    <w:rsid w:val="00152993"/>
    <w:rsid w:val="00170297"/>
    <w:rsid w:val="001A227D"/>
    <w:rsid w:val="001A7995"/>
    <w:rsid w:val="001C2DE5"/>
    <w:rsid w:val="001E2032"/>
    <w:rsid w:val="001E3610"/>
    <w:rsid w:val="00205909"/>
    <w:rsid w:val="00216D4B"/>
    <w:rsid w:val="002D7072"/>
    <w:rsid w:val="002D79CE"/>
    <w:rsid w:val="002F1D16"/>
    <w:rsid w:val="003010C0"/>
    <w:rsid w:val="00311A89"/>
    <w:rsid w:val="0031722F"/>
    <w:rsid w:val="00332A97"/>
    <w:rsid w:val="00335664"/>
    <w:rsid w:val="00343B72"/>
    <w:rsid w:val="0034476C"/>
    <w:rsid w:val="00350C00"/>
    <w:rsid w:val="0035269E"/>
    <w:rsid w:val="00357F18"/>
    <w:rsid w:val="00364B51"/>
    <w:rsid w:val="00366113"/>
    <w:rsid w:val="003706B0"/>
    <w:rsid w:val="00393509"/>
    <w:rsid w:val="003C270C"/>
    <w:rsid w:val="003D0994"/>
    <w:rsid w:val="00422D04"/>
    <w:rsid w:val="00423824"/>
    <w:rsid w:val="0043567D"/>
    <w:rsid w:val="00446331"/>
    <w:rsid w:val="0045296D"/>
    <w:rsid w:val="00456260"/>
    <w:rsid w:val="0046326E"/>
    <w:rsid w:val="00477201"/>
    <w:rsid w:val="004932B4"/>
    <w:rsid w:val="004B27FC"/>
    <w:rsid w:val="004B7B90"/>
    <w:rsid w:val="004C42FF"/>
    <w:rsid w:val="004E2C19"/>
    <w:rsid w:val="004E3ECA"/>
    <w:rsid w:val="00507AA1"/>
    <w:rsid w:val="00524B3F"/>
    <w:rsid w:val="00547EBD"/>
    <w:rsid w:val="00593DA1"/>
    <w:rsid w:val="005A5308"/>
    <w:rsid w:val="005D0E4B"/>
    <w:rsid w:val="005D1C16"/>
    <w:rsid w:val="005D284C"/>
    <w:rsid w:val="00604512"/>
    <w:rsid w:val="0062320F"/>
    <w:rsid w:val="00633E23"/>
    <w:rsid w:val="00673B94"/>
    <w:rsid w:val="00677A4C"/>
    <w:rsid w:val="00680AC6"/>
    <w:rsid w:val="006835D8"/>
    <w:rsid w:val="006A2BA8"/>
    <w:rsid w:val="006C316E"/>
    <w:rsid w:val="006D0ACB"/>
    <w:rsid w:val="006D0F7C"/>
    <w:rsid w:val="006D5609"/>
    <w:rsid w:val="006E048F"/>
    <w:rsid w:val="006E317F"/>
    <w:rsid w:val="0071680C"/>
    <w:rsid w:val="007269C4"/>
    <w:rsid w:val="00737D6B"/>
    <w:rsid w:val="0074209E"/>
    <w:rsid w:val="00746F9F"/>
    <w:rsid w:val="00750BB1"/>
    <w:rsid w:val="00753D36"/>
    <w:rsid w:val="0079039A"/>
    <w:rsid w:val="007B4E17"/>
    <w:rsid w:val="007B519D"/>
    <w:rsid w:val="007D361A"/>
    <w:rsid w:val="007F2251"/>
    <w:rsid w:val="007F2CA8"/>
    <w:rsid w:val="007F7161"/>
    <w:rsid w:val="00852586"/>
    <w:rsid w:val="0085559E"/>
    <w:rsid w:val="0088234C"/>
    <w:rsid w:val="00896B1B"/>
    <w:rsid w:val="008979EB"/>
    <w:rsid w:val="008E559E"/>
    <w:rsid w:val="008F2068"/>
    <w:rsid w:val="0090122E"/>
    <w:rsid w:val="00905515"/>
    <w:rsid w:val="009150C2"/>
    <w:rsid w:val="00916080"/>
    <w:rsid w:val="00921A68"/>
    <w:rsid w:val="00940DA4"/>
    <w:rsid w:val="00944642"/>
    <w:rsid w:val="009448DE"/>
    <w:rsid w:val="00952201"/>
    <w:rsid w:val="00983110"/>
    <w:rsid w:val="00985098"/>
    <w:rsid w:val="009B2162"/>
    <w:rsid w:val="009F4E81"/>
    <w:rsid w:val="009F7F9C"/>
    <w:rsid w:val="00A015C4"/>
    <w:rsid w:val="00A1331D"/>
    <w:rsid w:val="00A1425A"/>
    <w:rsid w:val="00A15172"/>
    <w:rsid w:val="00A16E78"/>
    <w:rsid w:val="00A20A37"/>
    <w:rsid w:val="00A22054"/>
    <w:rsid w:val="00A4059D"/>
    <w:rsid w:val="00A90EE5"/>
    <w:rsid w:val="00AA100B"/>
    <w:rsid w:val="00AB472B"/>
    <w:rsid w:val="00AD224F"/>
    <w:rsid w:val="00AD3E83"/>
    <w:rsid w:val="00B02528"/>
    <w:rsid w:val="00B25C97"/>
    <w:rsid w:val="00B336BF"/>
    <w:rsid w:val="00B5080A"/>
    <w:rsid w:val="00B943AE"/>
    <w:rsid w:val="00BA287A"/>
    <w:rsid w:val="00BB32FC"/>
    <w:rsid w:val="00BD7258"/>
    <w:rsid w:val="00BE1F44"/>
    <w:rsid w:val="00C0598D"/>
    <w:rsid w:val="00C11956"/>
    <w:rsid w:val="00C17099"/>
    <w:rsid w:val="00C47C44"/>
    <w:rsid w:val="00C602E5"/>
    <w:rsid w:val="00C72DF2"/>
    <w:rsid w:val="00C748FD"/>
    <w:rsid w:val="00C8168D"/>
    <w:rsid w:val="00CB04E6"/>
    <w:rsid w:val="00CB78D8"/>
    <w:rsid w:val="00CF030D"/>
    <w:rsid w:val="00D271BC"/>
    <w:rsid w:val="00D4046E"/>
    <w:rsid w:val="00D4362F"/>
    <w:rsid w:val="00D54664"/>
    <w:rsid w:val="00D82AEB"/>
    <w:rsid w:val="00D858BC"/>
    <w:rsid w:val="00DA3912"/>
    <w:rsid w:val="00DB62B2"/>
    <w:rsid w:val="00DD4440"/>
    <w:rsid w:val="00DD4739"/>
    <w:rsid w:val="00DE5F33"/>
    <w:rsid w:val="00DF0384"/>
    <w:rsid w:val="00DF6AB6"/>
    <w:rsid w:val="00E07B54"/>
    <w:rsid w:val="00E11F78"/>
    <w:rsid w:val="00E311B9"/>
    <w:rsid w:val="00E54EF7"/>
    <w:rsid w:val="00E621E1"/>
    <w:rsid w:val="00EB652E"/>
    <w:rsid w:val="00EC270A"/>
    <w:rsid w:val="00EC5593"/>
    <w:rsid w:val="00EC55B3"/>
    <w:rsid w:val="00EE0279"/>
    <w:rsid w:val="00EE224F"/>
    <w:rsid w:val="00EE6681"/>
    <w:rsid w:val="00F0284E"/>
    <w:rsid w:val="00F23AF2"/>
    <w:rsid w:val="00F24119"/>
    <w:rsid w:val="00F24FE8"/>
    <w:rsid w:val="00F3549F"/>
    <w:rsid w:val="00F504C9"/>
    <w:rsid w:val="00F57973"/>
    <w:rsid w:val="00F753FC"/>
    <w:rsid w:val="00F96FB2"/>
    <w:rsid w:val="00FB51D8"/>
    <w:rsid w:val="00FB59E3"/>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29900"/>
  <w15:chartTrackingRefBased/>
  <w15:docId w15:val="{6BC45772-52B1-44E4-B2EF-48C0BB10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1A7995"/>
    <w:rPr>
      <w:sz w:val="20"/>
      <w:szCs w:val="20"/>
    </w:rPr>
  </w:style>
  <w:style w:type="character" w:customStyle="1" w:styleId="FootnoteTextChar">
    <w:name w:val="Footnote Text Char"/>
    <w:basedOn w:val="DefaultParagraphFont"/>
    <w:link w:val="FootnoteText"/>
    <w:rsid w:val="001A7995"/>
  </w:style>
  <w:style w:type="character" w:styleId="FootnoteReference">
    <w:name w:val="footnote reference"/>
    <w:rsid w:val="001A7995"/>
    <w:rPr>
      <w:vertAlign w:val="superscript"/>
    </w:rPr>
  </w:style>
  <w:style w:type="character" w:styleId="UnresolvedMention">
    <w:name w:val="Unresolved Mention"/>
    <w:uiPriority w:val="99"/>
    <w:semiHidden/>
    <w:unhideWhenUsed/>
    <w:rsid w:val="001A7995"/>
    <w:rPr>
      <w:color w:val="605E5C"/>
      <w:shd w:val="clear" w:color="auto" w:fill="E1DFDD"/>
    </w:rPr>
  </w:style>
  <w:style w:type="paragraph" w:styleId="Revision">
    <w:name w:val="Revision"/>
    <w:hidden/>
    <w:uiPriority w:val="99"/>
    <w:semiHidden/>
    <w:rsid w:val="00C72DF2"/>
    <w:rPr>
      <w:sz w:val="24"/>
      <w:szCs w:val="24"/>
    </w:rPr>
  </w:style>
  <w:style w:type="paragraph" w:styleId="ListParagraph">
    <w:name w:val="List Paragraph"/>
    <w:basedOn w:val="Normal"/>
    <w:uiPriority w:val="34"/>
    <w:qFormat/>
    <w:rsid w:val="00F57973"/>
    <w:pPr>
      <w:ind w:left="720"/>
      <w:contextualSpacing/>
    </w:pPr>
    <w:rPr>
      <w:rFonts w:ascii="Arial" w:hAnsi="Arial"/>
      <w:color w:val="5B67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helton@engi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lake.holt@lcra.org" TargetMode="Externa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files/docs/2020/02/06/KP1.5_012920_TAC_APPROVED.doc" TargetMode="External"/><Relationship Id="rId2" Type="http://schemas.openxmlformats.org/officeDocument/2006/relationships/hyperlink" Target="https://www.ercot.com/files/docs/2020/02/06/KP1.3_012920_TAC_APPROVED.docx" TargetMode="External"/><Relationship Id="rId1" Type="http://schemas.openxmlformats.org/officeDocument/2006/relationships/hyperlink" Target="https://www.ercot.com/files/docs/2020/02/06/KP1.1_012920_TAC_APPROVED.docx" TargetMode="External"/><Relationship Id="rId5" Type="http://schemas.openxmlformats.org/officeDocument/2006/relationships/hyperlink" Target="https://www.ercot.com/files/docs/2024/02/13/ASDC%20Overview%20-%20RTCBTF%20-%2002212024.pptx" TargetMode="External"/><Relationship Id="rId4" Type="http://schemas.openxmlformats.org/officeDocument/2006/relationships/hyperlink" Target="https://www.ercot.com/files/docs/2024/05/20/1224NPRR-12%20Joint%20Commenters%20Comments%2005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A6BC-C79C-485F-BD02-6B6076CCCCBD}">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1434</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9166</CharactersWithSpaces>
  <SharedDoc>false</SharedDoc>
  <HLinks>
    <vt:vector size="36" baseType="variant">
      <vt:variant>
        <vt:i4>6881392</vt:i4>
      </vt:variant>
      <vt:variant>
        <vt:i4>0</vt:i4>
      </vt:variant>
      <vt:variant>
        <vt:i4>0</vt:i4>
      </vt:variant>
      <vt:variant>
        <vt:i4>5</vt:i4>
      </vt:variant>
      <vt:variant>
        <vt:lpwstr>https://www.ercot.com/mktrules/issues/NPRR1224</vt:lpwstr>
      </vt:variant>
      <vt:variant>
        <vt:lpwstr/>
      </vt:variant>
      <vt:variant>
        <vt:i4>7798833</vt:i4>
      </vt:variant>
      <vt:variant>
        <vt:i4>12</vt:i4>
      </vt:variant>
      <vt:variant>
        <vt:i4>0</vt:i4>
      </vt:variant>
      <vt:variant>
        <vt:i4>5</vt:i4>
      </vt:variant>
      <vt:variant>
        <vt:lpwstr>https://www.ercot.com/files/docs/2024/02/13/ASDC Overview - RTCBTF - 02212024.pptx</vt:lpwstr>
      </vt:variant>
      <vt:variant>
        <vt:lpwstr/>
      </vt:variant>
      <vt:variant>
        <vt:i4>4456466</vt:i4>
      </vt:variant>
      <vt:variant>
        <vt:i4>9</vt:i4>
      </vt:variant>
      <vt:variant>
        <vt:i4>0</vt:i4>
      </vt:variant>
      <vt:variant>
        <vt:i4>5</vt:i4>
      </vt:variant>
      <vt:variant>
        <vt:lpwstr>https://www.ercot.com/files/docs/2024/05/20/1224NPRR-12 Joint Commenters Comments 052024.docx</vt:lpwstr>
      </vt:variant>
      <vt:variant>
        <vt:lpwstr/>
      </vt:variant>
      <vt:variant>
        <vt:i4>7471118</vt:i4>
      </vt:variant>
      <vt:variant>
        <vt:i4>6</vt:i4>
      </vt:variant>
      <vt:variant>
        <vt:i4>0</vt:i4>
      </vt:variant>
      <vt:variant>
        <vt:i4>5</vt:i4>
      </vt:variant>
      <vt:variant>
        <vt:lpwstr>https://www.ercot.com/files/docs/2020/02/06/KP1.5_012920_TAC_APPROVED.doc</vt:lpwstr>
      </vt:variant>
      <vt:variant>
        <vt:lpwstr/>
      </vt:variant>
      <vt:variant>
        <vt:i4>655467</vt:i4>
      </vt:variant>
      <vt:variant>
        <vt:i4>3</vt:i4>
      </vt:variant>
      <vt:variant>
        <vt:i4>0</vt:i4>
      </vt:variant>
      <vt:variant>
        <vt:i4>5</vt:i4>
      </vt:variant>
      <vt:variant>
        <vt:lpwstr>https://www.ercot.com/files/docs/2020/02/06/KP1.3_012920_TAC_APPROVED.docx</vt:lpwstr>
      </vt:variant>
      <vt:variant>
        <vt:lpwstr/>
      </vt:variant>
      <vt:variant>
        <vt:i4>655465</vt:i4>
      </vt:variant>
      <vt:variant>
        <vt:i4>0</vt:i4>
      </vt:variant>
      <vt:variant>
        <vt:i4>0</vt:i4>
      </vt:variant>
      <vt:variant>
        <vt:i4>5</vt:i4>
      </vt:variant>
      <vt:variant>
        <vt:lpwstr>https://www.ercot.com/files/docs/2020/02/06/KP1.1_012920_TAC_APPROVED.docx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2024-06-11T01:14:00Z</dcterms:created>
  <dcterms:modified xsi:type="dcterms:W3CDTF">2024-06-11T01:15:00Z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2024-06-10T04:49:33Z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3f3d34ff-3ba3-4a84-b72f-763de530e26b</vt:lpwstr>
  </property>
  <property fmtid="{D5CDD505-2E9C-101B-9397-08002B2CF9AE}" pid="8" name="MSIP_Label_dfe1a8d7-e404-4561-a6ce-09441972395c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2024-06-11T01:14:12Z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33d31275-2f9e-44b9-b987-277984413b4f</vt:lpwstr>
  </property>
  <property fmtid="{D5CDD505-2E9C-101B-9397-08002B2CF9AE}" pid="15" name="MSIP_Label_7084cbda-52b8-46fb-a7b7-cb5bd465ed85_ContentBits">
    <vt:lpwstr>0</vt:lpwstr>
  </property>
</Properties>
</file>