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C5630AE" w14:textId="77777777">
        <w:tc>
          <w:tcPr>
            <w:tcW w:w="1620" w:type="dxa"/>
            <w:tcBorders>
              <w:bottom w:val="single" w:sz="4" w:space="0" w:color="auto"/>
            </w:tcBorders>
            <w:shd w:val="clear" w:color="auto" w:fill="FFFFFF"/>
            <w:vAlign w:val="center"/>
          </w:tcPr>
          <w:p w14:paraId="33167742"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FE9F344" w14:textId="77777777" w:rsidR="00152993" w:rsidRDefault="00B128F9">
            <w:pPr>
              <w:pStyle w:val="Header"/>
            </w:pPr>
            <w:hyperlink r:id="rId8" w:history="1">
              <w:r w:rsidR="006E048F" w:rsidRPr="006A24B7">
                <w:rPr>
                  <w:rStyle w:val="Hyperlink"/>
                </w:rPr>
                <w:t>1224</w:t>
              </w:r>
            </w:hyperlink>
          </w:p>
        </w:tc>
        <w:tc>
          <w:tcPr>
            <w:tcW w:w="900" w:type="dxa"/>
            <w:tcBorders>
              <w:bottom w:val="single" w:sz="4" w:space="0" w:color="auto"/>
            </w:tcBorders>
            <w:shd w:val="clear" w:color="auto" w:fill="FFFFFF"/>
            <w:vAlign w:val="center"/>
          </w:tcPr>
          <w:p w14:paraId="4D26852B" w14:textId="77777777" w:rsidR="00152993" w:rsidRDefault="00EE6681">
            <w:pPr>
              <w:pStyle w:val="Header"/>
            </w:pPr>
            <w:r>
              <w:t>N</w:t>
            </w:r>
            <w:r w:rsidR="00152993">
              <w:t>PRR Title</w:t>
            </w:r>
          </w:p>
        </w:tc>
        <w:tc>
          <w:tcPr>
            <w:tcW w:w="6660" w:type="dxa"/>
            <w:tcBorders>
              <w:bottom w:val="single" w:sz="4" w:space="0" w:color="auto"/>
            </w:tcBorders>
            <w:vAlign w:val="center"/>
          </w:tcPr>
          <w:p w14:paraId="59CF9A10" w14:textId="77777777" w:rsidR="00152993" w:rsidRDefault="006E048F">
            <w:pPr>
              <w:pStyle w:val="Header"/>
            </w:pPr>
            <w:r w:rsidRPr="00BC63E1">
              <w:t>ECRS Manual Deployment Triggers</w:t>
            </w:r>
          </w:p>
        </w:tc>
      </w:tr>
      <w:tr w:rsidR="00152993" w14:paraId="006B993B" w14:textId="77777777">
        <w:trPr>
          <w:trHeight w:val="413"/>
        </w:trPr>
        <w:tc>
          <w:tcPr>
            <w:tcW w:w="2880" w:type="dxa"/>
            <w:gridSpan w:val="2"/>
            <w:tcBorders>
              <w:top w:val="nil"/>
              <w:left w:val="nil"/>
              <w:bottom w:val="single" w:sz="4" w:space="0" w:color="auto"/>
              <w:right w:val="nil"/>
            </w:tcBorders>
            <w:vAlign w:val="center"/>
          </w:tcPr>
          <w:p w14:paraId="6196470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D2F736A" w14:textId="77777777" w:rsidR="00152993" w:rsidRDefault="00152993">
            <w:pPr>
              <w:pStyle w:val="NormalArial"/>
            </w:pPr>
          </w:p>
        </w:tc>
      </w:tr>
      <w:tr w:rsidR="00152993" w14:paraId="084ADB0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AE2193E"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EF2AD5" w14:textId="4BDE8865" w:rsidR="00152993" w:rsidRDefault="002F6B25">
            <w:pPr>
              <w:pStyle w:val="NormalArial"/>
            </w:pPr>
            <w:r>
              <w:t>June</w:t>
            </w:r>
            <w:r w:rsidR="006E048F">
              <w:t xml:space="preserve"> </w:t>
            </w:r>
            <w:r w:rsidR="00BB0D4E">
              <w:t>10</w:t>
            </w:r>
            <w:r w:rsidR="006E048F">
              <w:t>, 2024</w:t>
            </w:r>
          </w:p>
        </w:tc>
      </w:tr>
      <w:tr w:rsidR="00152993" w14:paraId="168F4811" w14:textId="77777777">
        <w:trPr>
          <w:trHeight w:val="467"/>
        </w:trPr>
        <w:tc>
          <w:tcPr>
            <w:tcW w:w="2880" w:type="dxa"/>
            <w:gridSpan w:val="2"/>
            <w:tcBorders>
              <w:top w:val="single" w:sz="4" w:space="0" w:color="auto"/>
              <w:left w:val="nil"/>
              <w:bottom w:val="nil"/>
              <w:right w:val="nil"/>
            </w:tcBorders>
            <w:shd w:val="clear" w:color="auto" w:fill="FFFFFF"/>
            <w:vAlign w:val="center"/>
          </w:tcPr>
          <w:p w14:paraId="3AC0CD52" w14:textId="77777777" w:rsidR="00152993" w:rsidRDefault="00152993">
            <w:pPr>
              <w:pStyle w:val="NormalArial"/>
            </w:pPr>
          </w:p>
        </w:tc>
        <w:tc>
          <w:tcPr>
            <w:tcW w:w="7560" w:type="dxa"/>
            <w:gridSpan w:val="2"/>
            <w:tcBorders>
              <w:top w:val="nil"/>
              <w:left w:val="nil"/>
              <w:bottom w:val="nil"/>
              <w:right w:val="nil"/>
            </w:tcBorders>
            <w:vAlign w:val="center"/>
          </w:tcPr>
          <w:p w14:paraId="1191845B" w14:textId="77777777" w:rsidR="00152993" w:rsidRDefault="00152993">
            <w:pPr>
              <w:pStyle w:val="NormalArial"/>
            </w:pPr>
          </w:p>
        </w:tc>
      </w:tr>
      <w:tr w:rsidR="00152993" w14:paraId="6880910C" w14:textId="77777777">
        <w:trPr>
          <w:trHeight w:val="440"/>
        </w:trPr>
        <w:tc>
          <w:tcPr>
            <w:tcW w:w="10440" w:type="dxa"/>
            <w:gridSpan w:val="4"/>
            <w:tcBorders>
              <w:top w:val="single" w:sz="4" w:space="0" w:color="auto"/>
            </w:tcBorders>
            <w:shd w:val="clear" w:color="auto" w:fill="FFFFFF"/>
            <w:vAlign w:val="center"/>
          </w:tcPr>
          <w:p w14:paraId="11CC5FB6" w14:textId="77777777" w:rsidR="00152993" w:rsidRDefault="00152993">
            <w:pPr>
              <w:pStyle w:val="Header"/>
              <w:jc w:val="center"/>
            </w:pPr>
            <w:r>
              <w:t>Submitter’s Information</w:t>
            </w:r>
          </w:p>
        </w:tc>
      </w:tr>
      <w:tr w:rsidR="00152993" w14:paraId="17AFF1ED" w14:textId="77777777">
        <w:trPr>
          <w:trHeight w:val="350"/>
        </w:trPr>
        <w:tc>
          <w:tcPr>
            <w:tcW w:w="2880" w:type="dxa"/>
            <w:gridSpan w:val="2"/>
            <w:shd w:val="clear" w:color="auto" w:fill="FFFFFF"/>
            <w:vAlign w:val="center"/>
          </w:tcPr>
          <w:p w14:paraId="27496196" w14:textId="77777777" w:rsidR="00152993" w:rsidRPr="00EC55B3" w:rsidRDefault="00152993" w:rsidP="00EC55B3">
            <w:pPr>
              <w:pStyle w:val="Header"/>
            </w:pPr>
            <w:r w:rsidRPr="00EC55B3">
              <w:t>Name</w:t>
            </w:r>
          </w:p>
        </w:tc>
        <w:tc>
          <w:tcPr>
            <w:tcW w:w="7560" w:type="dxa"/>
            <w:gridSpan w:val="2"/>
            <w:vAlign w:val="center"/>
          </w:tcPr>
          <w:p w14:paraId="4531845E" w14:textId="29F66F10" w:rsidR="00152993" w:rsidRDefault="002F6B25" w:rsidP="00471FE3">
            <w:pPr>
              <w:pStyle w:val="NormalArial"/>
            </w:pPr>
            <w:r>
              <w:t>Katie Coleman</w:t>
            </w:r>
            <w:r w:rsidR="00471FE3">
              <w:t xml:space="preserve">, </w:t>
            </w:r>
            <w:r w:rsidR="00BE6740">
              <w:t>Courtney Hjaltman, Nab</w:t>
            </w:r>
            <w:r w:rsidR="00C0668C">
              <w:t>araj</w:t>
            </w:r>
            <w:r w:rsidR="00BE6740">
              <w:t xml:space="preserve"> Pokha</w:t>
            </w:r>
            <w:r w:rsidR="00732B86">
              <w:t>r</w:t>
            </w:r>
            <w:r w:rsidR="00BE6740">
              <w:t>el</w:t>
            </w:r>
            <w:r w:rsidR="00471FE3">
              <w:t>,</w:t>
            </w:r>
            <w:r w:rsidR="00BE6740">
              <w:t xml:space="preserve"> </w:t>
            </w:r>
            <w:r w:rsidR="00C0668C">
              <w:t>Eric Goff,</w:t>
            </w:r>
            <w:r w:rsidR="00471FE3">
              <w:t xml:space="preserve"> </w:t>
            </w:r>
            <w:r w:rsidR="00BE6740">
              <w:t>Mark Smith, Garett Ke</w:t>
            </w:r>
            <w:r w:rsidR="00471FE3">
              <w:t xml:space="preserve">nt, </w:t>
            </w:r>
            <w:r w:rsidR="00BE6740">
              <w:t>Mark Dreyfus</w:t>
            </w:r>
            <w:r w:rsidR="00471FE3">
              <w:t xml:space="preserve">, </w:t>
            </w:r>
            <w:r w:rsidR="00E31481">
              <w:t>Rick Arnett</w:t>
            </w:r>
            <w:r w:rsidR="00471FE3">
              <w:t xml:space="preserve">, </w:t>
            </w:r>
            <w:r w:rsidR="00BE6740">
              <w:t>Eric Schubert</w:t>
            </w:r>
          </w:p>
        </w:tc>
      </w:tr>
      <w:tr w:rsidR="00152993" w14:paraId="61B39D41" w14:textId="77777777">
        <w:trPr>
          <w:trHeight w:val="350"/>
        </w:trPr>
        <w:tc>
          <w:tcPr>
            <w:tcW w:w="2880" w:type="dxa"/>
            <w:gridSpan w:val="2"/>
            <w:shd w:val="clear" w:color="auto" w:fill="FFFFFF"/>
            <w:vAlign w:val="center"/>
          </w:tcPr>
          <w:p w14:paraId="53E0DA87" w14:textId="77777777" w:rsidR="00152993" w:rsidRPr="00EC55B3" w:rsidRDefault="00152993" w:rsidP="00EC55B3">
            <w:pPr>
              <w:pStyle w:val="Header"/>
            </w:pPr>
            <w:r w:rsidRPr="00EC55B3">
              <w:t>E-mail Address</w:t>
            </w:r>
          </w:p>
        </w:tc>
        <w:tc>
          <w:tcPr>
            <w:tcW w:w="7560" w:type="dxa"/>
            <w:gridSpan w:val="2"/>
            <w:vAlign w:val="center"/>
          </w:tcPr>
          <w:p w14:paraId="742C472E" w14:textId="09A612C6" w:rsidR="00CE4E03" w:rsidRDefault="00B128F9">
            <w:pPr>
              <w:pStyle w:val="NormalArial"/>
            </w:pPr>
            <w:hyperlink r:id="rId9" w:history="1">
              <w:r w:rsidR="00F52AED" w:rsidRPr="00061B9C">
                <w:rPr>
                  <w:rStyle w:val="Hyperlink"/>
                </w:rPr>
                <w:t>kcoleman@omm.com</w:t>
              </w:r>
            </w:hyperlink>
            <w:r w:rsidR="00471FE3">
              <w:t>,</w:t>
            </w:r>
            <w:r w:rsidR="00F52AED">
              <w:t xml:space="preserve"> </w:t>
            </w:r>
            <w:hyperlink r:id="rId10" w:history="1">
              <w:r w:rsidR="00F52AED" w:rsidRPr="00061B9C">
                <w:rPr>
                  <w:rStyle w:val="Hyperlink"/>
                </w:rPr>
                <w:t>Courtney.hjaltman@opuc.texas.gov</w:t>
              </w:r>
            </w:hyperlink>
            <w:r w:rsidR="00471FE3">
              <w:t xml:space="preserve">, </w:t>
            </w:r>
            <w:r w:rsidR="00F52AED">
              <w:t xml:space="preserve"> </w:t>
            </w:r>
            <w:hyperlink r:id="rId11" w:history="1">
              <w:r w:rsidR="002F7EA4" w:rsidRPr="00061B9C">
                <w:rPr>
                  <w:rStyle w:val="Hyperlink"/>
                </w:rPr>
                <w:t>eric@goffpolicy.com</w:t>
              </w:r>
            </w:hyperlink>
            <w:r w:rsidR="00471FE3">
              <w:t xml:space="preserve">, </w:t>
            </w:r>
            <w:hyperlink r:id="rId12" w:history="1">
              <w:r w:rsidR="002F7EA4" w:rsidRPr="00061B9C">
                <w:rPr>
                  <w:rStyle w:val="Hyperlink"/>
                </w:rPr>
                <w:t>Nabaraj.pokharel@opuc.texas.gov</w:t>
              </w:r>
            </w:hyperlink>
            <w:r w:rsidR="00471FE3">
              <w:t xml:space="preserve">, </w:t>
            </w:r>
            <w:r w:rsidR="00F52AED">
              <w:t xml:space="preserve"> </w:t>
            </w:r>
            <w:hyperlink r:id="rId13" w:history="1">
              <w:r w:rsidR="004508F5" w:rsidRPr="00061B9C">
                <w:rPr>
                  <w:rStyle w:val="Hyperlink"/>
                </w:rPr>
                <w:t>mark@marksmithlawllc.com</w:t>
              </w:r>
            </w:hyperlink>
            <w:r w:rsidR="00471FE3">
              <w:t xml:space="preserve">, </w:t>
            </w:r>
            <w:hyperlink r:id="rId14" w:history="1">
              <w:r w:rsidR="00E31481" w:rsidRPr="00061B9C">
                <w:rPr>
                  <w:rStyle w:val="Hyperlink"/>
                </w:rPr>
                <w:t>garret.kent@cmc.com</w:t>
              </w:r>
            </w:hyperlink>
            <w:r w:rsidR="00471FE3">
              <w:t xml:space="preserve">, </w:t>
            </w:r>
            <w:hyperlink r:id="rId15" w:history="1">
              <w:r w:rsidR="00E31481" w:rsidRPr="00061B9C">
                <w:rPr>
                  <w:rStyle w:val="Hyperlink"/>
                </w:rPr>
                <w:t>mark@mdenergyconsulting.com</w:t>
              </w:r>
            </w:hyperlink>
            <w:r w:rsidR="00471FE3">
              <w:t xml:space="preserve">, </w:t>
            </w:r>
            <w:hyperlink r:id="rId16" w:history="1">
              <w:r w:rsidR="007F260A" w:rsidRPr="00061B9C">
                <w:rPr>
                  <w:rStyle w:val="Hyperlink"/>
                </w:rPr>
                <w:t>rarnett@lglawfirm.com</w:t>
              </w:r>
            </w:hyperlink>
            <w:r w:rsidR="00471FE3">
              <w:t xml:space="preserve">, </w:t>
            </w:r>
            <w:hyperlink r:id="rId17" w:history="1">
              <w:r w:rsidR="00CE4E03" w:rsidRPr="00061B9C">
                <w:rPr>
                  <w:rStyle w:val="Hyperlink"/>
                </w:rPr>
                <w:t>eric.schubert@lyondellbasell.com</w:t>
              </w:r>
            </w:hyperlink>
          </w:p>
        </w:tc>
      </w:tr>
      <w:tr w:rsidR="00152993" w14:paraId="60C278AE" w14:textId="77777777">
        <w:trPr>
          <w:trHeight w:val="350"/>
        </w:trPr>
        <w:tc>
          <w:tcPr>
            <w:tcW w:w="2880" w:type="dxa"/>
            <w:gridSpan w:val="2"/>
            <w:shd w:val="clear" w:color="auto" w:fill="FFFFFF"/>
            <w:vAlign w:val="center"/>
          </w:tcPr>
          <w:p w14:paraId="42A4B5E2" w14:textId="77777777" w:rsidR="00152993" w:rsidRPr="00EC55B3" w:rsidRDefault="00152993" w:rsidP="00EC55B3">
            <w:pPr>
              <w:pStyle w:val="Header"/>
            </w:pPr>
            <w:r w:rsidRPr="00EC55B3">
              <w:t>Company</w:t>
            </w:r>
          </w:p>
        </w:tc>
        <w:tc>
          <w:tcPr>
            <w:tcW w:w="7560" w:type="dxa"/>
            <w:gridSpan w:val="2"/>
            <w:vAlign w:val="center"/>
          </w:tcPr>
          <w:p w14:paraId="43E26ED3" w14:textId="10DD4FB4" w:rsidR="00152993" w:rsidRDefault="00471FE3" w:rsidP="00977861">
            <w:pPr>
              <w:pStyle w:val="NormalArial"/>
              <w:spacing w:before="120" w:after="120"/>
            </w:pPr>
            <w:r>
              <w:t>Texas Industrial Energy Consumers</w:t>
            </w:r>
            <w:r>
              <w:t xml:space="preserve">, </w:t>
            </w:r>
            <w:r>
              <w:t>Office of Public Utility Counsel</w:t>
            </w:r>
            <w:r>
              <w:t xml:space="preserve">, </w:t>
            </w:r>
            <w:r>
              <w:t>Residential Consumer Segment at TAC</w:t>
            </w:r>
            <w:r>
              <w:t xml:space="preserve">, </w:t>
            </w:r>
            <w:r>
              <w:t>ERCOT Steel Mills, CMC Steel</w:t>
            </w:r>
            <w:r>
              <w:t xml:space="preserve">, </w:t>
            </w:r>
            <w:r>
              <w:t>City of Eastland</w:t>
            </w:r>
            <w:r>
              <w:t xml:space="preserve">, </w:t>
            </w:r>
            <w:r>
              <w:t>Lyondell Basell</w:t>
            </w:r>
            <w:r>
              <w:t xml:space="preserve"> (“Joint Consumers”)</w:t>
            </w:r>
          </w:p>
        </w:tc>
      </w:tr>
      <w:tr w:rsidR="00152993" w14:paraId="5AB06FA3" w14:textId="77777777">
        <w:trPr>
          <w:trHeight w:val="350"/>
        </w:trPr>
        <w:tc>
          <w:tcPr>
            <w:tcW w:w="2880" w:type="dxa"/>
            <w:gridSpan w:val="2"/>
            <w:tcBorders>
              <w:bottom w:val="single" w:sz="4" w:space="0" w:color="auto"/>
            </w:tcBorders>
            <w:shd w:val="clear" w:color="auto" w:fill="FFFFFF"/>
            <w:vAlign w:val="center"/>
          </w:tcPr>
          <w:p w14:paraId="1F9C97DC"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144B979" w14:textId="77777777" w:rsidR="00471FE3" w:rsidRDefault="00CE4E03">
            <w:pPr>
              <w:pStyle w:val="NormalArial"/>
            </w:pPr>
            <w:r>
              <w:t>(512) 773-0394 (K</w:t>
            </w:r>
            <w:r w:rsidR="00414ABE">
              <w:t>atie</w:t>
            </w:r>
            <w:r>
              <w:t xml:space="preserve"> Coleman)</w:t>
            </w:r>
            <w:r w:rsidR="00471FE3">
              <w:t>,</w:t>
            </w:r>
            <w:r w:rsidR="00471FE3">
              <w:t xml:space="preserve"> </w:t>
            </w:r>
            <w:r w:rsidR="00414ABE">
              <w:t xml:space="preserve">(512) </w:t>
            </w:r>
            <w:r w:rsidR="00DA034B">
              <w:t>936-7500 (OPUC)</w:t>
            </w:r>
            <w:r w:rsidR="00471FE3">
              <w:t>,</w:t>
            </w:r>
            <w:r w:rsidR="00471FE3">
              <w:t xml:space="preserve"> </w:t>
            </w:r>
          </w:p>
          <w:p w14:paraId="53DEC42A" w14:textId="77777777" w:rsidR="00471FE3" w:rsidRDefault="00241B96">
            <w:pPr>
              <w:pStyle w:val="NormalArial"/>
            </w:pPr>
            <w:r>
              <w:t>(512</w:t>
            </w:r>
            <w:r w:rsidR="00D87F63">
              <w:t>)</w:t>
            </w:r>
            <w:r>
              <w:t xml:space="preserve"> 632-5872 (Mark Dreyfus)</w:t>
            </w:r>
            <w:r w:rsidR="00471FE3">
              <w:t xml:space="preserve">, </w:t>
            </w:r>
            <w:r w:rsidR="00D87F63">
              <w:t>(512) 632-7013 (Eric Goff)</w:t>
            </w:r>
            <w:r w:rsidR="00471FE3">
              <w:t xml:space="preserve">, </w:t>
            </w:r>
          </w:p>
          <w:p w14:paraId="557A94EF" w14:textId="7BB5913D" w:rsidR="00187BA7" w:rsidRDefault="00977861" w:rsidP="00471FE3">
            <w:pPr>
              <w:pStyle w:val="NormalArial"/>
            </w:pPr>
            <w:r>
              <w:t>(512) 635-7930 (Mark Smith/Steel Mills)</w:t>
            </w:r>
            <w:r w:rsidR="00471FE3">
              <w:t xml:space="preserve">, </w:t>
            </w:r>
            <w:r>
              <w:t xml:space="preserve">(281) </w:t>
            </w:r>
            <w:r w:rsidRPr="00977861">
              <w:t>224</w:t>
            </w:r>
            <w:r>
              <w:t>-</w:t>
            </w:r>
            <w:r w:rsidRPr="00977861">
              <w:t>8941</w:t>
            </w:r>
            <w:r>
              <w:t xml:space="preserve"> (Eric Schubert)</w:t>
            </w:r>
          </w:p>
        </w:tc>
      </w:tr>
      <w:tr w:rsidR="00075A94" w14:paraId="1757B8DC" w14:textId="77777777">
        <w:trPr>
          <w:trHeight w:val="350"/>
        </w:trPr>
        <w:tc>
          <w:tcPr>
            <w:tcW w:w="2880" w:type="dxa"/>
            <w:gridSpan w:val="2"/>
            <w:tcBorders>
              <w:bottom w:val="single" w:sz="4" w:space="0" w:color="auto"/>
            </w:tcBorders>
            <w:shd w:val="clear" w:color="auto" w:fill="FFFFFF"/>
            <w:vAlign w:val="center"/>
          </w:tcPr>
          <w:p w14:paraId="174FFD49"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72B4A62B" w14:textId="3FE8E54D" w:rsidR="00075A94" w:rsidRDefault="00241B96">
            <w:pPr>
              <w:pStyle w:val="NormalArial"/>
            </w:pPr>
            <w:r>
              <w:t xml:space="preserve">Residential </w:t>
            </w:r>
            <w:r w:rsidR="00752D13">
              <w:t>Consumer</w:t>
            </w:r>
            <w:r>
              <w:t>, Small Commercial Consumer, Large Commercial Consumer, Industrial Consumer</w:t>
            </w:r>
          </w:p>
        </w:tc>
      </w:tr>
    </w:tbl>
    <w:p w14:paraId="203178B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28F9" w14:paraId="6876B8F6" w14:textId="77777777" w:rsidTr="00C944A6">
        <w:trPr>
          <w:trHeight w:val="350"/>
        </w:trPr>
        <w:tc>
          <w:tcPr>
            <w:tcW w:w="10440" w:type="dxa"/>
            <w:tcBorders>
              <w:bottom w:val="single" w:sz="4" w:space="0" w:color="auto"/>
            </w:tcBorders>
            <w:shd w:val="clear" w:color="auto" w:fill="FFFFFF"/>
            <w:vAlign w:val="center"/>
          </w:tcPr>
          <w:p w14:paraId="435D2C3B" w14:textId="7D651A04" w:rsidR="00B128F9" w:rsidRDefault="00B128F9" w:rsidP="00C944A6">
            <w:pPr>
              <w:pStyle w:val="Header"/>
              <w:jc w:val="center"/>
            </w:pPr>
            <w:r>
              <w:t>Comments</w:t>
            </w:r>
          </w:p>
        </w:tc>
      </w:tr>
    </w:tbl>
    <w:p w14:paraId="11BB310C" w14:textId="77777777" w:rsidR="00152993" w:rsidRDefault="00152993">
      <w:pPr>
        <w:pStyle w:val="NormalArial"/>
      </w:pPr>
    </w:p>
    <w:p w14:paraId="59983792" w14:textId="725A3E09" w:rsidR="00BD7258" w:rsidRDefault="00C0668C" w:rsidP="00BE6EF7">
      <w:pPr>
        <w:pStyle w:val="NormalArial"/>
        <w:jc w:val="both"/>
      </w:pPr>
      <w:r>
        <w:rPr>
          <w:rFonts w:eastAsia="Arial" w:cs="Arial"/>
          <w:color w:val="000000"/>
        </w:rPr>
        <w:t xml:space="preserve">Joint Consumers appreciate ERCOT’s efforts in developing Nodal Protocol Revision Request (NPRR) 1224, an add on to ERCOT Contingency Reserve Service (ECRS) operations that may reduce price excursions and reduce costs to consumers.  </w:t>
      </w:r>
      <w:r w:rsidR="00182297">
        <w:t xml:space="preserve">The Joint Consumers </w:t>
      </w:r>
      <w:r w:rsidR="002F7EA4">
        <w:t xml:space="preserve">respectfully submit these comments to ask the </w:t>
      </w:r>
      <w:r>
        <w:t xml:space="preserve">ERCOT </w:t>
      </w:r>
      <w:r w:rsidR="002F7EA4">
        <w:t>Board</w:t>
      </w:r>
      <w:r>
        <w:t xml:space="preserve"> (Board) </w:t>
      </w:r>
      <w:r w:rsidR="002F7EA4">
        <w:t xml:space="preserve">to reevaluate the </w:t>
      </w:r>
      <w:r>
        <w:t xml:space="preserve">Technical Advisory Committee (TAC) </w:t>
      </w:r>
      <w:r w:rsidR="002F7EA4">
        <w:t>recommendation on NPRR1224.</w:t>
      </w:r>
      <w:r w:rsidR="00EC0502">
        <w:t xml:space="preserve">  Specifically, the Joint Consumer</w:t>
      </w:r>
      <w:r w:rsidR="00BE6EF7">
        <w:t>s</w:t>
      </w:r>
      <w:r w:rsidR="00EC0502">
        <w:t xml:space="preserve"> ask the Board to consider a lower </w:t>
      </w:r>
      <w:r>
        <w:t xml:space="preserve">offer </w:t>
      </w:r>
      <w:r w:rsidR="00EC0502">
        <w:t xml:space="preserve">price floor </w:t>
      </w:r>
      <w:r w:rsidR="00862FB9">
        <w:t>than the $750/MW</w:t>
      </w:r>
      <w:r w:rsidR="00241B96">
        <w:t>h</w:t>
      </w:r>
      <w:r w:rsidR="00862FB9">
        <w:t xml:space="preserve"> </w:t>
      </w:r>
      <w:r w:rsidR="00BE6EF7">
        <w:t>recommended</w:t>
      </w:r>
      <w:r w:rsidR="00862FB9">
        <w:t xml:space="preserve"> by the </w:t>
      </w:r>
      <w:r>
        <w:t>TAC</w:t>
      </w:r>
      <w:r w:rsidR="00862FB9">
        <w:t>.</w:t>
      </w:r>
    </w:p>
    <w:p w14:paraId="257820B1" w14:textId="77777777" w:rsidR="002F7EA4" w:rsidRDefault="002F7EA4" w:rsidP="00BE6EF7">
      <w:pPr>
        <w:pStyle w:val="NormalArial"/>
        <w:jc w:val="both"/>
      </w:pPr>
    </w:p>
    <w:p w14:paraId="4B23FBAA" w14:textId="5601F3E9" w:rsidR="002F7EA4" w:rsidRDefault="002F7EA4" w:rsidP="00BE6EF7">
      <w:pPr>
        <w:pStyle w:val="NormalArial"/>
        <w:jc w:val="both"/>
      </w:pPr>
      <w:r>
        <w:t xml:space="preserve">As the Board is aware, there have been </w:t>
      </w:r>
      <w:r w:rsidR="00DB38BC">
        <w:t xml:space="preserve">concerns from the Independent Market Monitor (IMM) as well as </w:t>
      </w:r>
      <w:r w:rsidR="00862FB9">
        <w:t>policymakers</w:t>
      </w:r>
      <w:r w:rsidR="00DB38BC">
        <w:t xml:space="preserve"> and the media regarding the </w:t>
      </w:r>
      <w:r w:rsidR="00F807E4">
        <w:t xml:space="preserve">energy </w:t>
      </w:r>
      <w:r w:rsidR="00DB38BC">
        <w:t xml:space="preserve">price </w:t>
      </w:r>
      <w:r>
        <w:t>impact</w:t>
      </w:r>
      <w:r w:rsidR="00DB38BC">
        <w:t>s</w:t>
      </w:r>
      <w:r>
        <w:t xml:space="preserve"> of ECRS </w:t>
      </w:r>
      <w:r w:rsidR="00DB38BC">
        <w:t xml:space="preserve">last summer.  </w:t>
      </w:r>
      <w:r w:rsidR="00EC0502">
        <w:t xml:space="preserve">Specifically, ERCOT’s procurement and deployment practices for ECRS last summer resulted in relatively efficient generating units being withheld from the </w:t>
      </w:r>
      <w:r w:rsidR="00BE6EF7">
        <w:t xml:space="preserve">energy </w:t>
      </w:r>
      <w:r w:rsidR="00EC0502">
        <w:t>market</w:t>
      </w:r>
      <w:r w:rsidR="00BE6EF7">
        <w:t>, which substantially inflated Real-Time energy prices</w:t>
      </w:r>
      <w:r w:rsidR="00EC0502">
        <w:t>.</w:t>
      </w:r>
      <w:r w:rsidR="0015552D">
        <w:t xml:space="preserve">  </w:t>
      </w:r>
      <w:r w:rsidR="00241B96">
        <w:t xml:space="preserve">At its final meeting in 2023, the Board accepted the recommendation from consumers at the Technical Advisory Committee that ERCOT staff revisit its ECRS policies prior to the 2024 summer season.  </w:t>
      </w:r>
      <w:r w:rsidR="00EC0502">
        <w:t xml:space="preserve">ERCOT </w:t>
      </w:r>
      <w:r w:rsidR="00241B96">
        <w:t xml:space="preserve">subsequently </w:t>
      </w:r>
      <w:r w:rsidR="00EC0502">
        <w:t xml:space="preserve">filed </w:t>
      </w:r>
      <w:r w:rsidR="00874224">
        <w:t xml:space="preserve">NPRR1224 to mitigate </w:t>
      </w:r>
      <w:r w:rsidR="0015552D">
        <w:t>the</w:t>
      </w:r>
      <w:r w:rsidR="00874224">
        <w:t xml:space="preserve"> impact</w:t>
      </w:r>
      <w:r w:rsidR="00EC0502">
        <w:t>s</w:t>
      </w:r>
      <w:r w:rsidR="0015552D">
        <w:t xml:space="preserve"> of ECRS</w:t>
      </w:r>
      <w:r w:rsidR="00EC0502">
        <w:t xml:space="preserve"> going into the summer of 2024.  Notably, in the filed NPRR</w:t>
      </w:r>
      <w:r w:rsidR="0015552D">
        <w:t xml:space="preserve">, ERCOT proposed a methodology to make </w:t>
      </w:r>
      <w:r w:rsidR="0015552D">
        <w:lastRenderedPageBreak/>
        <w:t xml:space="preserve">the ECRS </w:t>
      </w:r>
      <w:r w:rsidR="00B128F9">
        <w:t>R</w:t>
      </w:r>
      <w:r w:rsidR="0015552D">
        <w:t xml:space="preserve">esources available to provide energy </w:t>
      </w:r>
      <w:r w:rsidR="00BE6EF7">
        <w:t xml:space="preserve">early (i.e., they would no longer be withheld) </w:t>
      </w:r>
      <w:r w:rsidR="0015552D">
        <w:t xml:space="preserve">through </w:t>
      </w:r>
      <w:r w:rsidR="00977861">
        <w:t xml:space="preserve">changes in </w:t>
      </w:r>
      <w:r w:rsidR="0015552D">
        <w:t>manual deployment</w:t>
      </w:r>
      <w:r w:rsidR="00977861">
        <w:t xml:space="preserve"> triggers</w:t>
      </w:r>
      <w:r w:rsidR="00BE6EF7">
        <w:t xml:space="preserve">.  This </w:t>
      </w:r>
      <w:r w:rsidR="0015552D">
        <w:t>alleviates</w:t>
      </w:r>
      <w:r w:rsidR="00BB0D4E">
        <w:t xml:space="preserve"> to some extent</w:t>
      </w:r>
      <w:r w:rsidR="00BE6EF7">
        <w:t>—but does not eliminate—</w:t>
      </w:r>
      <w:r w:rsidR="0015552D">
        <w:t xml:space="preserve">the “artificial scarcity” outcomes </w:t>
      </w:r>
      <w:r w:rsidR="00BB0D4E">
        <w:t xml:space="preserve">witnessed </w:t>
      </w:r>
      <w:r w:rsidR="00BE6EF7">
        <w:t>last summer</w:t>
      </w:r>
      <w:r w:rsidR="0015552D">
        <w:t xml:space="preserve">.  </w:t>
      </w:r>
      <w:r w:rsidR="00EC0502">
        <w:t xml:space="preserve">ERCOT </w:t>
      </w:r>
      <w:r w:rsidR="00EC0502" w:rsidRPr="0015552D">
        <w:t xml:space="preserve">did </w:t>
      </w:r>
      <w:r w:rsidR="00EC0502" w:rsidRPr="00BE6EF7">
        <w:rPr>
          <w:b/>
          <w:bCs/>
          <w:i/>
          <w:iCs/>
        </w:rPr>
        <w:t>not</w:t>
      </w:r>
      <w:r w:rsidR="00EC0502" w:rsidRPr="0015552D">
        <w:t xml:space="preserve"> propose</w:t>
      </w:r>
      <w:r w:rsidR="00EC0502">
        <w:t xml:space="preserve"> an offer floor for ECRS deployments</w:t>
      </w:r>
      <w:r w:rsidR="00BB0D4E">
        <w:t xml:space="preserve"> in NPRR1224.  Adding an offer floor</w:t>
      </w:r>
      <w:r w:rsidR="00EC0502">
        <w:t xml:space="preserve"> counteracts the </w:t>
      </w:r>
      <w:r w:rsidR="00BB0D4E">
        <w:t xml:space="preserve">fundamental </w:t>
      </w:r>
      <w:r w:rsidR="00EC0502">
        <w:t xml:space="preserve">goal of the NPRR in reducing inefficient scarcity pricing </w:t>
      </w:r>
      <w:r w:rsidR="00BB0D4E">
        <w:t xml:space="preserve">resulting </w:t>
      </w:r>
      <w:r w:rsidR="00EC0502">
        <w:t>from ECRS</w:t>
      </w:r>
      <w:r w:rsidR="00BB0D4E">
        <w:t xml:space="preserve"> manual deployments</w:t>
      </w:r>
      <w:r w:rsidR="00EC0502">
        <w:t xml:space="preserve">.  </w:t>
      </w:r>
      <w:r w:rsidR="00874224">
        <w:t xml:space="preserve"> </w:t>
      </w:r>
    </w:p>
    <w:p w14:paraId="7DE5C5D7" w14:textId="77777777" w:rsidR="00C4352F" w:rsidRDefault="00C4352F" w:rsidP="00BE6EF7">
      <w:pPr>
        <w:pStyle w:val="NormalArial"/>
        <w:jc w:val="both"/>
      </w:pPr>
    </w:p>
    <w:p w14:paraId="1C94780A" w14:textId="1D312FDC" w:rsidR="0015552D" w:rsidRDefault="0015552D" w:rsidP="00BE6EF7">
      <w:pPr>
        <w:pStyle w:val="NormalArial"/>
        <w:jc w:val="both"/>
      </w:pPr>
      <w:r>
        <w:t xml:space="preserve">During the stakeholder process, </w:t>
      </w:r>
      <w:r w:rsidR="0071021B">
        <w:t xml:space="preserve">Independent Generators filed comments inserting a price floor that </w:t>
      </w:r>
      <w:r w:rsidR="00BB0D4E">
        <w:t>effectively</w:t>
      </w:r>
      <w:r w:rsidR="0071021B">
        <w:t xml:space="preserve"> counteract</w:t>
      </w:r>
      <w:r w:rsidR="00BB0D4E">
        <w:t>s</w:t>
      </w:r>
      <w:r w:rsidR="0071021B">
        <w:t xml:space="preserve"> the </w:t>
      </w:r>
      <w:r w:rsidR="00BB0D4E">
        <w:t xml:space="preserve">financial benefit </w:t>
      </w:r>
      <w:r w:rsidR="0071021B">
        <w:t>of NPRR1224</w:t>
      </w:r>
      <w:r w:rsidR="00BB0D4E">
        <w:t>, at least in part</w:t>
      </w:r>
      <w:r w:rsidR="00BE6EF7">
        <w:t>.  This feature sets</w:t>
      </w:r>
      <w:r w:rsidR="0071021B">
        <w:t xml:space="preserve"> a minimum price when ECRS </w:t>
      </w:r>
      <w:r w:rsidR="00BE6EF7">
        <w:t>is</w:t>
      </w:r>
      <w:r w:rsidR="0071021B">
        <w:t xml:space="preserve"> released </w:t>
      </w:r>
      <w:r w:rsidR="00BE6EF7">
        <w:t>to Security</w:t>
      </w:r>
      <w:r w:rsidR="00B128F9">
        <w:t>-</w:t>
      </w:r>
      <w:r w:rsidR="00BE6EF7">
        <w:t>Constrained Economic Dispatch (SCED) for energy</w:t>
      </w:r>
      <w:r w:rsidR="0071021B">
        <w:t xml:space="preserve">.  The </w:t>
      </w:r>
      <w:r w:rsidR="00BB0D4E">
        <w:t xml:space="preserve">offer </w:t>
      </w:r>
      <w:r w:rsidR="0071021B">
        <w:t xml:space="preserve">price floor approved by the Technical Advisory Committee was $750/MWh, which is reflected in the version of the NPRR before the Board for approval. </w:t>
      </w:r>
    </w:p>
    <w:p w14:paraId="00E9B5CD" w14:textId="77777777" w:rsidR="0071021B" w:rsidRDefault="0071021B" w:rsidP="00BE6EF7">
      <w:pPr>
        <w:pStyle w:val="NormalArial"/>
        <w:jc w:val="both"/>
      </w:pPr>
    </w:p>
    <w:p w14:paraId="3198B341" w14:textId="16DAF97E" w:rsidR="005A5A19" w:rsidRDefault="0071021B" w:rsidP="00BE6EF7">
      <w:pPr>
        <w:pStyle w:val="NormalArial"/>
        <w:jc w:val="both"/>
      </w:pPr>
      <w:r>
        <w:t>The Joint Consumers do not believe that a price floor is appropriate</w:t>
      </w:r>
      <w:r w:rsidR="00BE6EF7">
        <w:t xml:space="preserve"> at all</w:t>
      </w:r>
      <w:r>
        <w:t xml:space="preserve">, </w:t>
      </w:r>
      <w:r w:rsidR="00BE6EF7">
        <w:t>since</w:t>
      </w:r>
      <w:r w:rsidR="00652CFB">
        <w:t xml:space="preserve"> the manual deployment in NPRR1224 </w:t>
      </w:r>
      <w:r w:rsidR="00BE6EF7">
        <w:t>only partially mitigates—and does</w:t>
      </w:r>
      <w:r w:rsidR="00652CFB">
        <w:t xml:space="preserve"> not eliminate</w:t>
      </w:r>
      <w:r w:rsidR="00BE6EF7">
        <w:t>—</w:t>
      </w:r>
      <w:r w:rsidR="00652CFB">
        <w:t>the “</w:t>
      </w:r>
      <w:r w:rsidR="00BE6EF7">
        <w:t>inflation</w:t>
      </w:r>
      <w:r w:rsidR="00652CFB">
        <w:t>” in energy pricing associated with ECRS withholding</w:t>
      </w:r>
      <w:r w:rsidR="00BE6EF7">
        <w:t xml:space="preserve">.  </w:t>
      </w:r>
      <w:r w:rsidR="00241B96">
        <w:t>In the TAC discussion on NPRR1224</w:t>
      </w:r>
      <w:r w:rsidR="00BB0D4E">
        <w:t xml:space="preserve"> and in subsequent comments to the Board</w:t>
      </w:r>
      <w:r w:rsidR="00241B96">
        <w:t>, t</w:t>
      </w:r>
      <w:r w:rsidR="00652CFB">
        <w:t>he IMM</w:t>
      </w:r>
      <w:r w:rsidR="00BE6EF7">
        <w:t xml:space="preserve">, an independent economist </w:t>
      </w:r>
      <w:r w:rsidR="00241B96">
        <w:t xml:space="preserve">engaged by the Public Utility Commission </w:t>
      </w:r>
      <w:r w:rsidR="00B128F9">
        <w:t xml:space="preserve">of Texas (PUCT) </w:t>
      </w:r>
      <w:r w:rsidR="00BE6EF7">
        <w:t>with no financial interest in the outcome of this issue,</w:t>
      </w:r>
      <w:r w:rsidR="00652CFB">
        <w:t xml:space="preserve"> has opposed a price floor as well</w:t>
      </w:r>
      <w:r w:rsidR="00BE6EF7">
        <w:t xml:space="preserve"> because it perpetuates the artificial scarcity pricing seen last summer.</w:t>
      </w:r>
      <w:r w:rsidR="00BB0D4E">
        <w:t xml:space="preserve">  In comments to the Board, the IMM proposed an offer price floor no greater than $100, which preserves the ranking of </w:t>
      </w:r>
      <w:r w:rsidR="00B128F9">
        <w:t>Non-Spinning Reserve (</w:t>
      </w:r>
      <w:r w:rsidR="00BB0D4E">
        <w:t>Non-</w:t>
      </w:r>
      <w:r w:rsidR="00B128F9">
        <w:t>S</w:t>
      </w:r>
      <w:r w:rsidR="00BB0D4E">
        <w:t>pin</w:t>
      </w:r>
      <w:r w:rsidR="00B128F9">
        <w:t>)</w:t>
      </w:r>
      <w:r w:rsidR="00BB0D4E">
        <w:t xml:space="preserve"> and ECRS.</w:t>
      </w:r>
      <w:r w:rsidR="00BB0D4E">
        <w:rPr>
          <w:rStyle w:val="FootnoteReference"/>
        </w:rPr>
        <w:footnoteReference w:id="1"/>
      </w:r>
    </w:p>
    <w:p w14:paraId="02958A2F" w14:textId="77777777" w:rsidR="005A5A19" w:rsidRDefault="005A5A19" w:rsidP="00BE6EF7">
      <w:pPr>
        <w:pStyle w:val="NormalArial"/>
        <w:jc w:val="both"/>
      </w:pPr>
    </w:p>
    <w:p w14:paraId="38BFBA8A" w14:textId="205A4CA3" w:rsidR="0071021B" w:rsidRDefault="00BB0D4E" w:rsidP="00BE6EF7">
      <w:pPr>
        <w:pStyle w:val="NormalArial"/>
        <w:jc w:val="both"/>
      </w:pPr>
      <w:r>
        <w:t>Consistent with the comments of the IMM</w:t>
      </w:r>
      <w:r w:rsidR="00BE6EF7">
        <w:t>, the Joint Consumers propose a middle ground.  I</w:t>
      </w:r>
      <w:r w:rsidR="00BD221D">
        <w:t xml:space="preserve">f a price floor is to be included, the ECRS quantities should be released </w:t>
      </w:r>
      <w:r w:rsidR="00BD221D" w:rsidRPr="00BE6EF7">
        <w:rPr>
          <w:b/>
          <w:bCs/>
          <w:i/>
          <w:iCs/>
        </w:rPr>
        <w:t>after</w:t>
      </w:r>
      <w:r w:rsidR="00BD221D">
        <w:t xml:space="preserve"> Non-Spin</w:t>
      </w:r>
      <w:r w:rsidR="005A5A19">
        <w:t xml:space="preserve">, but </w:t>
      </w:r>
      <w:r w:rsidR="00BE6EF7">
        <w:rPr>
          <w:b/>
          <w:bCs/>
          <w:i/>
          <w:iCs/>
        </w:rPr>
        <w:t>before</w:t>
      </w:r>
      <w:r w:rsidR="005A5A19">
        <w:t xml:space="preserve"> any </w:t>
      </w:r>
      <w:r w:rsidR="00BE6EF7">
        <w:t xml:space="preserve">units committed through Reliability Unit Commitment (RUC), </w:t>
      </w:r>
      <w:r w:rsidR="00241B96">
        <w:t>a process undertaken by ERCOT outside of the energy and Ancillary Services markets.</w:t>
      </w:r>
      <w:r w:rsidR="005A5A19">
        <w:t xml:space="preserve">  The current N</w:t>
      </w:r>
      <w:r w:rsidR="00B128F9">
        <w:t>on-Spin</w:t>
      </w:r>
      <w:r w:rsidR="005A5A19">
        <w:t xml:space="preserve"> floor of $75/MWh was </w:t>
      </w:r>
      <w:r w:rsidR="00BE6EF7">
        <w:t>meant</w:t>
      </w:r>
      <w:r w:rsidR="005A5A19">
        <w:t xml:space="preserve"> to approximate the level where N</w:t>
      </w:r>
      <w:r w:rsidR="00B128F9">
        <w:t>on-Spin</w:t>
      </w:r>
      <w:r w:rsidR="005A5A19">
        <w:t xml:space="preserve"> units would have self-deployed, had they not been procured for </w:t>
      </w:r>
      <w:r w:rsidR="00B128F9">
        <w:t>Non-Spin</w:t>
      </w:r>
      <w:r w:rsidR="005A5A19">
        <w:t xml:space="preserve">.  The floor was designed to insulate the market from the adverse effects of these units receiving an </w:t>
      </w:r>
      <w:r w:rsidR="00B128F9">
        <w:t>A</w:t>
      </w:r>
      <w:r w:rsidR="005A5A19">
        <w:t xml:space="preserve">ncillary </w:t>
      </w:r>
      <w:r w:rsidR="00B128F9">
        <w:t>S</w:t>
      </w:r>
      <w:r w:rsidR="005A5A19">
        <w:t xml:space="preserve">ervices payment Day-Ahead, which could arguably support a below-market </w:t>
      </w:r>
      <w:r w:rsidR="00B128F9">
        <w:t>R</w:t>
      </w:r>
      <w:r w:rsidR="005A5A19">
        <w:t>eal-</w:t>
      </w:r>
      <w:r w:rsidR="00B128F9">
        <w:t>T</w:t>
      </w:r>
      <w:r w:rsidR="005A5A19">
        <w:t xml:space="preserve">ime energy offer.  Similarly, </w:t>
      </w:r>
      <w:r w:rsidR="002B1CEB">
        <w:t>the $250/MWh floor on RUC units was designed to place those units reasonably behind other market units, at a price level that approximates where the units would have self-committed.</w:t>
      </w:r>
    </w:p>
    <w:p w14:paraId="5092F54C" w14:textId="77777777" w:rsidR="002B1CEB" w:rsidRDefault="002B1CEB" w:rsidP="00BE6EF7">
      <w:pPr>
        <w:pStyle w:val="NormalArial"/>
        <w:jc w:val="both"/>
      </w:pPr>
    </w:p>
    <w:p w14:paraId="1C9ECC86" w14:textId="07207D9B" w:rsidR="002B1CEB" w:rsidRDefault="002B1CEB" w:rsidP="00BE6EF7">
      <w:pPr>
        <w:pStyle w:val="NormalArial"/>
        <w:jc w:val="both"/>
      </w:pPr>
      <w:r>
        <w:t>The Joint Consumers believe that ECRS</w:t>
      </w:r>
      <w:r w:rsidR="00815D32">
        <w:t xml:space="preserve"> units</w:t>
      </w:r>
      <w:r>
        <w:t xml:space="preserve"> </w:t>
      </w:r>
      <w:r w:rsidR="00815D32">
        <w:t>are</w:t>
      </w:r>
      <w:r>
        <w:t xml:space="preserve"> more valuable than </w:t>
      </w:r>
      <w:r w:rsidR="00B128F9">
        <w:t>Non-Spin</w:t>
      </w:r>
      <w:r>
        <w:t xml:space="preserve">, </w:t>
      </w:r>
      <w:r w:rsidR="00D67E5D">
        <w:t>which is also reflected in deployment practices, so it is reasonable to set an ECRS off</w:t>
      </w:r>
      <w:r w:rsidR="00BB0D4E">
        <w:t>er</w:t>
      </w:r>
      <w:r w:rsidR="00D67E5D">
        <w:t xml:space="preserve"> floor that is higher than the </w:t>
      </w:r>
      <w:r w:rsidR="00B128F9">
        <w:t>Non-Spin</w:t>
      </w:r>
      <w:r w:rsidR="00D67E5D">
        <w:t xml:space="preserve"> floor as a compromise.  However, the</w:t>
      </w:r>
      <w:r w:rsidR="00BE6EF7">
        <w:t xml:space="preserve"> ECRS units should be available </w:t>
      </w:r>
      <w:r w:rsidR="00D67E5D">
        <w:t xml:space="preserve">to the market </w:t>
      </w:r>
      <w:r w:rsidR="00BE6EF7">
        <w:t>ahead of “out-of-market” units that are deployed through RUC.  Accordingly, the Joint Consumers propose a middle ground price floor of $</w:t>
      </w:r>
      <w:r w:rsidR="00BB0D4E">
        <w:t>100</w:t>
      </w:r>
      <w:r w:rsidR="00BE6EF7">
        <w:t xml:space="preserve">/MWh for ECRS.  </w:t>
      </w:r>
    </w:p>
    <w:p w14:paraId="7770221C" w14:textId="77777777" w:rsidR="00D67E5D" w:rsidRDefault="00D67E5D" w:rsidP="00BE6EF7">
      <w:pPr>
        <w:pStyle w:val="NormalArial"/>
        <w:jc w:val="both"/>
      </w:pPr>
    </w:p>
    <w:p w14:paraId="2C3F9121" w14:textId="577DE1F5" w:rsidR="00D67E5D" w:rsidRDefault="00D67E5D" w:rsidP="00BE6EF7">
      <w:pPr>
        <w:pStyle w:val="NormalArial"/>
        <w:jc w:val="both"/>
      </w:pPr>
      <w:r>
        <w:t xml:space="preserve">The Independent Generators advocating for the $750/MWh price floor referenced the Ancillary Service Demand Curves (ASDCs) that will be implemented for </w:t>
      </w:r>
      <w:r w:rsidR="00B128F9">
        <w:t>Re</w:t>
      </w:r>
      <w:r>
        <w:t>al-</w:t>
      </w:r>
      <w:r w:rsidR="00B128F9">
        <w:t>T</w:t>
      </w:r>
      <w:r>
        <w:t xml:space="preserve">ime </w:t>
      </w:r>
      <w:r w:rsidR="00B128F9">
        <w:t>C</w:t>
      </w:r>
      <w:r>
        <w:t>o</w:t>
      </w:r>
      <w:r w:rsidR="00093A2E">
        <w:t>-</w:t>
      </w:r>
      <w:r>
        <w:lastRenderedPageBreak/>
        <w:t>optimization</w:t>
      </w:r>
      <w:r w:rsidR="00B128F9">
        <w:t xml:space="preserve"> (RTC)</w:t>
      </w:r>
      <w:r>
        <w:t xml:space="preserve"> as the basis for their proposal.  The Joint Consumers note that when RTC+B is </w:t>
      </w:r>
      <w:proofErr w:type="gramStart"/>
      <w:r>
        <w:t>actually implemented</w:t>
      </w:r>
      <w:proofErr w:type="gramEnd"/>
      <w:r>
        <w:t xml:space="preserve">, there will be offsetting efficiencies and savings for consumers to support the proposed demand curves that do not exist today.  As a result, reference to the RTC+B outcomes is not an appropriate benchmark for setting any price floors in the current market.  </w:t>
      </w:r>
    </w:p>
    <w:p w14:paraId="174BD575" w14:textId="77777777" w:rsidR="00C0668C" w:rsidRDefault="00C0668C" w:rsidP="00BE6EF7">
      <w:pPr>
        <w:pStyle w:val="NormalArial"/>
        <w:jc w:val="both"/>
        <w:rPr>
          <w:rFonts w:eastAsia="Arial" w:cs="Arial"/>
          <w:color w:val="000000"/>
        </w:rPr>
      </w:pPr>
    </w:p>
    <w:p w14:paraId="61D645B6" w14:textId="3A1373BC" w:rsidR="00D67E5D" w:rsidRDefault="00C0668C" w:rsidP="00BE6EF7">
      <w:pPr>
        <w:pStyle w:val="NormalArial"/>
        <w:jc w:val="both"/>
      </w:pPr>
      <w:r>
        <w:rPr>
          <w:rFonts w:eastAsia="Arial" w:cs="Arial"/>
          <w:color w:val="000000"/>
        </w:rPr>
        <w:t xml:space="preserve">Since the beginning of organized energy markets in ERCOT, now well over two decades ago, consumers have stood for efficient market outcomes.  Efficient markets achieve reliability targets at lowest cost, which directly benefits all consumers in ERCOT.  </w:t>
      </w:r>
      <w:r w:rsidR="00D67E5D">
        <w:t xml:space="preserve">Joint Consumers appreciate the Board’s attention to this issue and will have a representative available at the Board meeting to provide comments and to answer any questions.  </w:t>
      </w:r>
    </w:p>
    <w:p w14:paraId="25CEA2F8" w14:textId="77777777" w:rsidR="00C4352F" w:rsidRDefault="00C4352F"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16F1FEF" w14:textId="77777777" w:rsidTr="00B5080A">
        <w:trPr>
          <w:trHeight w:val="350"/>
        </w:trPr>
        <w:tc>
          <w:tcPr>
            <w:tcW w:w="10440" w:type="dxa"/>
            <w:tcBorders>
              <w:bottom w:val="single" w:sz="4" w:space="0" w:color="auto"/>
            </w:tcBorders>
            <w:shd w:val="clear" w:color="auto" w:fill="FFFFFF"/>
            <w:vAlign w:val="center"/>
          </w:tcPr>
          <w:p w14:paraId="3F98BBF3" w14:textId="77777777" w:rsidR="00BD7258" w:rsidRDefault="00BD7258" w:rsidP="00B5080A">
            <w:pPr>
              <w:pStyle w:val="Header"/>
              <w:jc w:val="center"/>
            </w:pPr>
            <w:r>
              <w:t>Revised Cover Page Language</w:t>
            </w:r>
          </w:p>
        </w:tc>
      </w:tr>
    </w:tbl>
    <w:p w14:paraId="1F3FD19F" w14:textId="109292BE" w:rsidR="00BD7258" w:rsidRDefault="006E048F" w:rsidP="000417B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CC98BEB" w14:textId="77777777">
        <w:trPr>
          <w:trHeight w:val="350"/>
        </w:trPr>
        <w:tc>
          <w:tcPr>
            <w:tcW w:w="10440" w:type="dxa"/>
            <w:tcBorders>
              <w:bottom w:val="single" w:sz="4" w:space="0" w:color="auto"/>
            </w:tcBorders>
            <w:shd w:val="clear" w:color="auto" w:fill="FFFFFF"/>
            <w:vAlign w:val="center"/>
          </w:tcPr>
          <w:p w14:paraId="6E598ED6" w14:textId="77777777" w:rsidR="00152993" w:rsidRDefault="00152993">
            <w:pPr>
              <w:pStyle w:val="Header"/>
              <w:jc w:val="center"/>
            </w:pPr>
            <w:r>
              <w:t>Revised Proposed Protocol Language</w:t>
            </w:r>
          </w:p>
        </w:tc>
      </w:tr>
    </w:tbl>
    <w:p w14:paraId="5B09B107" w14:textId="189A9AF8" w:rsidR="00152993" w:rsidRPr="000417B1" w:rsidRDefault="000417B1" w:rsidP="000417B1">
      <w:pPr>
        <w:pStyle w:val="NormalArial"/>
        <w:spacing w:before="120" w:after="120"/>
      </w:pPr>
      <w:r>
        <w:t>None</w:t>
      </w:r>
    </w:p>
    <w:sectPr w:rsidR="00152993" w:rsidRPr="000417B1" w:rsidSect="0074209E">
      <w:headerReference w:type="default" r:id="rId1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CC84" w14:textId="77777777" w:rsidR="00AB6C0C" w:rsidRDefault="00AB6C0C">
      <w:r>
        <w:separator/>
      </w:r>
    </w:p>
  </w:endnote>
  <w:endnote w:type="continuationSeparator" w:id="0">
    <w:p w14:paraId="0590EDAA" w14:textId="77777777" w:rsidR="00AB6C0C" w:rsidRDefault="00AB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576C" w14:textId="4C47C156" w:rsidR="00EE6681" w:rsidRDefault="009778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1224NPRR-17 Joint Consumer Comments 061024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437E9862" w14:textId="3EAACEE5" w:rsidR="00EE6681" w:rsidRDefault="00B0164B"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8BF6" w14:textId="77777777" w:rsidR="00AB6C0C" w:rsidRDefault="00AB6C0C">
      <w:r>
        <w:separator/>
      </w:r>
    </w:p>
  </w:footnote>
  <w:footnote w:type="continuationSeparator" w:id="0">
    <w:p w14:paraId="23A6F93E" w14:textId="77777777" w:rsidR="00AB6C0C" w:rsidRDefault="00AB6C0C">
      <w:r>
        <w:continuationSeparator/>
      </w:r>
    </w:p>
  </w:footnote>
  <w:footnote w:id="1">
    <w:p w14:paraId="79FC90B9" w14:textId="6D4980DE" w:rsidR="00BB0D4E" w:rsidRDefault="00BB0D4E">
      <w:pPr>
        <w:pStyle w:val="FootnoteText"/>
      </w:pPr>
      <w:r>
        <w:rPr>
          <w:rStyle w:val="FootnoteReference"/>
        </w:rPr>
        <w:footnoteRef/>
      </w:r>
      <w:r>
        <w:t xml:space="preserve"> NPRR 1224 ECRS Manual Deployment Triggers, comments of Jeff McDonald, June 4,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E482" w14:textId="3269FDE4" w:rsidR="00EE6681" w:rsidRPr="00B0164B" w:rsidRDefault="00EE6681" w:rsidP="00B0164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C4733"/>
    <w:multiLevelType w:val="hybridMultilevel"/>
    <w:tmpl w:val="509A7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1224762">
    <w:abstractNumId w:val="0"/>
  </w:num>
  <w:num w:numId="2" w16cid:durableId="1798378208">
    <w:abstractNumId w:val="2"/>
  </w:num>
  <w:num w:numId="3" w16cid:durableId="51780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25CCD"/>
    <w:rsid w:val="00037668"/>
    <w:rsid w:val="000417B1"/>
    <w:rsid w:val="00071497"/>
    <w:rsid w:val="00075A94"/>
    <w:rsid w:val="00093A2E"/>
    <w:rsid w:val="000D0DED"/>
    <w:rsid w:val="000F1CD6"/>
    <w:rsid w:val="00132855"/>
    <w:rsid w:val="00146910"/>
    <w:rsid w:val="00152993"/>
    <w:rsid w:val="0015552D"/>
    <w:rsid w:val="00170297"/>
    <w:rsid w:val="00182297"/>
    <w:rsid w:val="00187BA7"/>
    <w:rsid w:val="001A227D"/>
    <w:rsid w:val="001A7995"/>
    <w:rsid w:val="001B62F4"/>
    <w:rsid w:val="001E2032"/>
    <w:rsid w:val="001E3610"/>
    <w:rsid w:val="00241B96"/>
    <w:rsid w:val="00266061"/>
    <w:rsid w:val="002B1CEB"/>
    <w:rsid w:val="002E3556"/>
    <w:rsid w:val="002F6B25"/>
    <w:rsid w:val="002F7EA4"/>
    <w:rsid w:val="003010C0"/>
    <w:rsid w:val="00332A97"/>
    <w:rsid w:val="0034476C"/>
    <w:rsid w:val="00350C00"/>
    <w:rsid w:val="00366113"/>
    <w:rsid w:val="00372C19"/>
    <w:rsid w:val="003C270C"/>
    <w:rsid w:val="003D0994"/>
    <w:rsid w:val="00414ABE"/>
    <w:rsid w:val="00422D04"/>
    <w:rsid w:val="00423824"/>
    <w:rsid w:val="0043567D"/>
    <w:rsid w:val="00441AEB"/>
    <w:rsid w:val="004508F5"/>
    <w:rsid w:val="0045296D"/>
    <w:rsid w:val="0046326E"/>
    <w:rsid w:val="00471FE3"/>
    <w:rsid w:val="00474FEB"/>
    <w:rsid w:val="004B7B90"/>
    <w:rsid w:val="004C42FF"/>
    <w:rsid w:val="004C4FD1"/>
    <w:rsid w:val="004E2C19"/>
    <w:rsid w:val="00534F7D"/>
    <w:rsid w:val="00547EBD"/>
    <w:rsid w:val="005A5308"/>
    <w:rsid w:val="005A5A19"/>
    <w:rsid w:val="005D284C"/>
    <w:rsid w:val="005D37DD"/>
    <w:rsid w:val="005F140F"/>
    <w:rsid w:val="00604512"/>
    <w:rsid w:val="00630FD8"/>
    <w:rsid w:val="00633E23"/>
    <w:rsid w:val="00652CFB"/>
    <w:rsid w:val="00673B94"/>
    <w:rsid w:val="00680AC6"/>
    <w:rsid w:val="006835D8"/>
    <w:rsid w:val="006A2BA8"/>
    <w:rsid w:val="006C316E"/>
    <w:rsid w:val="006D0ACB"/>
    <w:rsid w:val="006D0F7C"/>
    <w:rsid w:val="006D5609"/>
    <w:rsid w:val="006E048F"/>
    <w:rsid w:val="0071021B"/>
    <w:rsid w:val="0071680C"/>
    <w:rsid w:val="007269C4"/>
    <w:rsid w:val="00732B86"/>
    <w:rsid w:val="0074209E"/>
    <w:rsid w:val="00750BB1"/>
    <w:rsid w:val="00752D13"/>
    <w:rsid w:val="00753D36"/>
    <w:rsid w:val="00797020"/>
    <w:rsid w:val="007F260A"/>
    <w:rsid w:val="007F2CA8"/>
    <w:rsid w:val="007F520B"/>
    <w:rsid w:val="007F7161"/>
    <w:rsid w:val="00815D32"/>
    <w:rsid w:val="00852586"/>
    <w:rsid w:val="00853125"/>
    <w:rsid w:val="0085559E"/>
    <w:rsid w:val="00862FB9"/>
    <w:rsid w:val="00874224"/>
    <w:rsid w:val="00896B1B"/>
    <w:rsid w:val="008E559E"/>
    <w:rsid w:val="008F3C8D"/>
    <w:rsid w:val="00916080"/>
    <w:rsid w:val="00921A68"/>
    <w:rsid w:val="00977861"/>
    <w:rsid w:val="00985098"/>
    <w:rsid w:val="009F4E81"/>
    <w:rsid w:val="00A015C4"/>
    <w:rsid w:val="00A1331D"/>
    <w:rsid w:val="00A15172"/>
    <w:rsid w:val="00AB472B"/>
    <w:rsid w:val="00AB6C0C"/>
    <w:rsid w:val="00AD3E83"/>
    <w:rsid w:val="00B0164B"/>
    <w:rsid w:val="00B128F9"/>
    <w:rsid w:val="00B5080A"/>
    <w:rsid w:val="00B943AE"/>
    <w:rsid w:val="00BB0D4E"/>
    <w:rsid w:val="00BB32FC"/>
    <w:rsid w:val="00BB41AC"/>
    <w:rsid w:val="00BD221D"/>
    <w:rsid w:val="00BD3E7B"/>
    <w:rsid w:val="00BD7258"/>
    <w:rsid w:val="00BE6740"/>
    <w:rsid w:val="00BE6EF7"/>
    <w:rsid w:val="00C0598D"/>
    <w:rsid w:val="00C0668C"/>
    <w:rsid w:val="00C079F7"/>
    <w:rsid w:val="00C11956"/>
    <w:rsid w:val="00C16D09"/>
    <w:rsid w:val="00C4352F"/>
    <w:rsid w:val="00C602E5"/>
    <w:rsid w:val="00C72DF2"/>
    <w:rsid w:val="00C748FD"/>
    <w:rsid w:val="00C85664"/>
    <w:rsid w:val="00CD7CB7"/>
    <w:rsid w:val="00CE4B03"/>
    <w:rsid w:val="00CE4E03"/>
    <w:rsid w:val="00D4046E"/>
    <w:rsid w:val="00D4362F"/>
    <w:rsid w:val="00D54664"/>
    <w:rsid w:val="00D67E5D"/>
    <w:rsid w:val="00D8441D"/>
    <w:rsid w:val="00D87F63"/>
    <w:rsid w:val="00DA034B"/>
    <w:rsid w:val="00DB0CF5"/>
    <w:rsid w:val="00DB38BC"/>
    <w:rsid w:val="00DB62B2"/>
    <w:rsid w:val="00DD4739"/>
    <w:rsid w:val="00DE5F33"/>
    <w:rsid w:val="00E07B54"/>
    <w:rsid w:val="00E11F78"/>
    <w:rsid w:val="00E147AF"/>
    <w:rsid w:val="00E31481"/>
    <w:rsid w:val="00E621E1"/>
    <w:rsid w:val="00E71EF6"/>
    <w:rsid w:val="00E72770"/>
    <w:rsid w:val="00E93353"/>
    <w:rsid w:val="00EC0502"/>
    <w:rsid w:val="00EC1A35"/>
    <w:rsid w:val="00EC55B3"/>
    <w:rsid w:val="00EC589F"/>
    <w:rsid w:val="00EE0279"/>
    <w:rsid w:val="00EE6681"/>
    <w:rsid w:val="00F10EF1"/>
    <w:rsid w:val="00F16D9B"/>
    <w:rsid w:val="00F17794"/>
    <w:rsid w:val="00F3188E"/>
    <w:rsid w:val="00F504C9"/>
    <w:rsid w:val="00F52AED"/>
    <w:rsid w:val="00F807E4"/>
    <w:rsid w:val="00F93580"/>
    <w:rsid w:val="00F96FB2"/>
    <w:rsid w:val="00FB51D8"/>
    <w:rsid w:val="00FD08E8"/>
    <w:rsid w:val="00FF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70BE"/>
  <w15:chartTrackingRefBased/>
  <w15:docId w15:val="{B829E210-5492-B246-8C0B-A01B2E35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A7995"/>
    <w:rPr>
      <w:sz w:val="20"/>
      <w:szCs w:val="20"/>
    </w:rPr>
  </w:style>
  <w:style w:type="character" w:customStyle="1" w:styleId="FootnoteTextChar">
    <w:name w:val="Footnote Text Char"/>
    <w:basedOn w:val="DefaultParagraphFont"/>
    <w:link w:val="FootnoteText"/>
    <w:rsid w:val="001A7995"/>
  </w:style>
  <w:style w:type="character" w:styleId="FootnoteReference">
    <w:name w:val="footnote reference"/>
    <w:rsid w:val="001A7995"/>
    <w:rPr>
      <w:vertAlign w:val="superscript"/>
    </w:rPr>
  </w:style>
  <w:style w:type="character" w:styleId="UnresolvedMention">
    <w:name w:val="Unresolved Mention"/>
    <w:uiPriority w:val="99"/>
    <w:semiHidden/>
    <w:unhideWhenUsed/>
    <w:rsid w:val="001A7995"/>
    <w:rPr>
      <w:color w:val="605E5C"/>
      <w:shd w:val="clear" w:color="auto" w:fill="E1DFDD"/>
    </w:rPr>
  </w:style>
  <w:style w:type="paragraph" w:styleId="Revision">
    <w:name w:val="Revision"/>
    <w:hidden/>
    <w:uiPriority w:val="99"/>
    <w:semiHidden/>
    <w:rsid w:val="00C72D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hyperlink" Target="mailto:mark@marksmithlawllc.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raj.pokharel@opuc.texas.gov" TargetMode="External"/><Relationship Id="rId17" Type="http://schemas.openxmlformats.org/officeDocument/2006/relationships/hyperlink" Target="mailto:eric.schubert@lyondellbasell.com" TargetMode="External"/><Relationship Id="rId2" Type="http://schemas.openxmlformats.org/officeDocument/2006/relationships/numbering" Target="numbering.xml"/><Relationship Id="rId16" Type="http://schemas.openxmlformats.org/officeDocument/2006/relationships/hyperlink" Target="mailto:rarnett@lglawfirm.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goffpolicy.com" TargetMode="External"/><Relationship Id="rId5" Type="http://schemas.openxmlformats.org/officeDocument/2006/relationships/webSettings" Target="webSettings.xml"/><Relationship Id="rId15" Type="http://schemas.openxmlformats.org/officeDocument/2006/relationships/hyperlink" Target="mailto:mark@mdenergyconsulting.com" TargetMode="External"/><Relationship Id="rId10" Type="http://schemas.openxmlformats.org/officeDocument/2006/relationships/hyperlink" Target="mailto:Courtney.hjaltman@opuc.texa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coleman@omm.com" TargetMode="External"/><Relationship Id="rId14" Type="http://schemas.openxmlformats.org/officeDocument/2006/relationships/hyperlink" Target="mailto:garret.kent@c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A6BC-C79C-485F-BD02-6B6076CCCCBD}">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924</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6854</CharactersWithSpaces>
  <SharedDoc>false</SharedDoc>
  <HLinks>
    <vt:vector size="12" baseType="variant">
      <vt:variant>
        <vt:i4>6881392</vt:i4>
      </vt:variant>
      <vt:variant>
        <vt:i4>0</vt:i4>
      </vt:variant>
      <vt:variant>
        <vt:i4>0</vt:i4>
      </vt:variant>
      <vt:variant>
        <vt:i4>5</vt:i4>
      </vt:variant>
      <vt:variant>
        <vt:lpwstr>https://www.ercot.com/mktrules/issues/NPRR1224</vt:lpwstr>
      </vt:variant>
      <vt:variant>
        <vt:lpwstr/>
      </vt:variant>
      <vt:variant>
        <vt:i4>7798833</vt:i4>
      </vt:variant>
      <vt:variant>
        <vt:i4>0</vt:i4>
      </vt:variant>
      <vt:variant>
        <vt:i4>0</vt:i4>
      </vt:variant>
      <vt:variant>
        <vt:i4>5</vt:i4>
      </vt:variant>
      <vt:variant>
        <vt:lpwstr>https://www.ercot.com/files/docs/2024/02/13/ASDC Overview - RTCBTF - 02212024.pptx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2024-05-20T15:07:00Z</cp:lastPrinted>
  <dcterms:created xsi:type="dcterms:W3CDTF">2024-06-10T19:59:00Z</dcterms:created>
  <dcterms:modified xsi:type="dcterms:W3CDTF">2024-06-10T20:04:00Z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2024-05-20T21:46:43Z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1d70db85-510c-423b-939b-e3cc231251eb</vt:lpwstr>
  </property>
  <property fmtid="{D5CDD505-2E9C-101B-9397-08002B2CF9AE}" pid="8" name="MSIP_Label_7084cbda-52b8-46fb-a7b7-cb5bd465ed85_ContentBits">
    <vt:lpwstr>0</vt:lpwstr>
  </property>
</Properties>
</file>