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GridTable1Light-Accent1"/>
        <w:tblW w:w="0" w:type="auto"/>
        <w:tblLook w:val="04A0" w:firstRow="1" w:lastRow="0" w:firstColumn="1" w:lastColumn="0" w:noHBand="0" w:noVBand="1"/>
      </w:tblPr>
      <w:tblGrid>
        <w:gridCol w:w="535"/>
        <w:gridCol w:w="3205"/>
        <w:gridCol w:w="3527"/>
        <w:gridCol w:w="1008"/>
        <w:gridCol w:w="1075"/>
      </w:tblGrid>
      <w:tr w:rsidR="00CC27D7" w14:paraId="74D578F8" w14:textId="77777777" w:rsidTr="00CC27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 w:type="dxa"/>
          </w:tcPr>
          <w:p w14:paraId="1BAC540B" w14:textId="77777777" w:rsidR="00CC27D7" w:rsidRDefault="00CC27D7"/>
        </w:tc>
        <w:tc>
          <w:tcPr>
            <w:tcW w:w="3205" w:type="dxa"/>
          </w:tcPr>
          <w:p w14:paraId="3D20ED35" w14:textId="0ABA7BBF" w:rsidR="00CC27D7" w:rsidRDefault="00CC27D7">
            <w:pPr>
              <w:cnfStyle w:val="100000000000" w:firstRow="1" w:lastRow="0" w:firstColumn="0" w:lastColumn="0" w:oddVBand="0" w:evenVBand="0" w:oddHBand="0" w:evenHBand="0" w:firstRowFirstColumn="0" w:firstRowLastColumn="0" w:lastRowFirstColumn="0" w:lastRowLastColumn="0"/>
            </w:pPr>
            <w:r>
              <w:t>Issue</w:t>
            </w:r>
          </w:p>
        </w:tc>
        <w:tc>
          <w:tcPr>
            <w:tcW w:w="3527" w:type="dxa"/>
          </w:tcPr>
          <w:p w14:paraId="3338E179" w14:textId="3F7EEE17" w:rsidR="00CC27D7" w:rsidRDefault="00CC27D7">
            <w:pPr>
              <w:cnfStyle w:val="100000000000" w:firstRow="1" w:lastRow="0" w:firstColumn="0" w:lastColumn="0" w:oddVBand="0" w:evenVBand="0" w:oddHBand="0" w:evenHBand="0" w:firstRowFirstColumn="0" w:firstRowLastColumn="0" w:lastRowFirstColumn="0" w:lastRowLastColumn="0"/>
            </w:pPr>
            <w:r>
              <w:t>Lesson Learned</w:t>
            </w:r>
          </w:p>
        </w:tc>
        <w:tc>
          <w:tcPr>
            <w:tcW w:w="1008" w:type="dxa"/>
          </w:tcPr>
          <w:p w14:paraId="282EA2EB" w14:textId="49FC3E9D" w:rsidR="00CC27D7" w:rsidRDefault="00CC27D7">
            <w:pPr>
              <w:cnfStyle w:val="100000000000" w:firstRow="1" w:lastRow="0" w:firstColumn="0" w:lastColumn="0" w:oddVBand="0" w:evenVBand="0" w:oddHBand="0" w:evenHBand="0" w:firstRowFirstColumn="0" w:firstRowLastColumn="0" w:lastRowFirstColumn="0" w:lastRowLastColumn="0"/>
            </w:pPr>
            <w:r>
              <w:t>Internal</w:t>
            </w:r>
          </w:p>
        </w:tc>
        <w:tc>
          <w:tcPr>
            <w:tcW w:w="1075" w:type="dxa"/>
          </w:tcPr>
          <w:p w14:paraId="202CE18C" w14:textId="6B1C711C" w:rsidR="00CC27D7" w:rsidRDefault="00CC27D7">
            <w:pPr>
              <w:cnfStyle w:val="100000000000" w:firstRow="1" w:lastRow="0" w:firstColumn="0" w:lastColumn="0" w:oddVBand="0" w:evenVBand="0" w:oddHBand="0" w:evenHBand="0" w:firstRowFirstColumn="0" w:firstRowLastColumn="0" w:lastRowFirstColumn="0" w:lastRowLastColumn="0"/>
            </w:pPr>
            <w:r>
              <w:t>External</w:t>
            </w:r>
          </w:p>
        </w:tc>
      </w:tr>
      <w:tr w:rsidR="00CC27D7" w14:paraId="484EFFC1"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C8EBC61" w14:textId="1FE82F90" w:rsidR="00CC27D7" w:rsidRDefault="00CC27D7">
            <w:r>
              <w:t>1</w:t>
            </w:r>
          </w:p>
        </w:tc>
        <w:tc>
          <w:tcPr>
            <w:tcW w:w="3205" w:type="dxa"/>
          </w:tcPr>
          <w:p w14:paraId="4ADD997F" w14:textId="45F9E757"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Customers with Multiple Meters and DREP Process</w:t>
            </w:r>
          </w:p>
        </w:tc>
        <w:tc>
          <w:tcPr>
            <w:tcW w:w="3527" w:type="dxa"/>
          </w:tcPr>
          <w:p w14:paraId="3256892F" w14:textId="0986AA16"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find a way to compare before defaulting</w:t>
            </w:r>
            <w:r>
              <w:rPr>
                <w:rFonts w:ascii="Times New Roman" w:hAnsi="Times New Roman" w:cs="Times New Roman"/>
                <w:color w:val="000000"/>
                <w:sz w:val="24"/>
                <w:szCs w:val="24"/>
              </w:rPr>
              <w:t xml:space="preserve"> – possibly providing customers with ESIs </w:t>
            </w:r>
          </w:p>
        </w:tc>
        <w:tc>
          <w:tcPr>
            <w:tcW w:w="1008" w:type="dxa"/>
          </w:tcPr>
          <w:p w14:paraId="3CD9A711"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04EB0C99"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24DBF46C"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19B67578" w14:textId="2975608F" w:rsidR="00CC27D7" w:rsidRDefault="00CC27D7">
            <w:r>
              <w:t>2</w:t>
            </w:r>
          </w:p>
        </w:tc>
        <w:tc>
          <w:tcPr>
            <w:tcW w:w="3205" w:type="dxa"/>
          </w:tcPr>
          <w:p w14:paraId="07C534B8" w14:textId="0305B739"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TXSET Guides need updating</w:t>
            </w:r>
          </w:p>
        </w:tc>
        <w:tc>
          <w:tcPr>
            <w:tcW w:w="3527" w:type="dxa"/>
          </w:tcPr>
          <w:p w14:paraId="0B35522B" w14:textId="0D1DC322" w:rsidR="00CC27D7" w:rsidRDefault="00CC27D7" w:rsidP="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we need to take some time and make sure we've captured the areas that need to be changed</w:t>
            </w:r>
            <w:r w:rsidR="00D356BF">
              <w:rPr>
                <w:rFonts w:ascii="Times New Roman" w:hAnsi="Times New Roman" w:cs="Times New Roman"/>
                <w:color w:val="000000"/>
                <w:sz w:val="24"/>
                <w:szCs w:val="24"/>
              </w:rPr>
              <w:t xml:space="preserve"> – ‘</w:t>
            </w:r>
            <w:proofErr w:type="gramStart"/>
            <w:r w:rsidR="00D356BF">
              <w:rPr>
                <w:rFonts w:ascii="Times New Roman" w:hAnsi="Times New Roman" w:cs="Times New Roman"/>
                <w:color w:val="000000"/>
                <w:sz w:val="24"/>
                <w:szCs w:val="24"/>
              </w:rPr>
              <w:t>combo</w:t>
            </w:r>
            <w:proofErr w:type="gramEnd"/>
            <w:r w:rsidR="00D356BF">
              <w:rPr>
                <w:rFonts w:ascii="Times New Roman" w:hAnsi="Times New Roman" w:cs="Times New Roman"/>
                <w:color w:val="000000"/>
                <w:sz w:val="24"/>
                <w:szCs w:val="24"/>
              </w:rPr>
              <w:t xml:space="preserve">’ </w:t>
            </w:r>
          </w:p>
          <w:p w14:paraId="33842C32"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08" w:type="dxa"/>
          </w:tcPr>
          <w:p w14:paraId="70A03A3A"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4DE6A886"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167106C8"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253CA19D" w14:textId="17061F19" w:rsidR="00CC27D7" w:rsidRDefault="00CC27D7">
            <w:r>
              <w:t>3</w:t>
            </w:r>
          </w:p>
        </w:tc>
        <w:tc>
          <w:tcPr>
            <w:tcW w:w="3205" w:type="dxa"/>
          </w:tcPr>
          <w:p w14:paraId="2210B75D" w14:textId="709F7B8E"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Need Regulatory/Legal decisions at beginning of project</w:t>
            </w:r>
          </w:p>
        </w:tc>
        <w:tc>
          <w:tcPr>
            <w:tcW w:w="3527" w:type="dxa"/>
          </w:tcPr>
          <w:p w14:paraId="76572E84" w14:textId="4307CE03"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Full awareness of any impacting legislation </w:t>
            </w:r>
          </w:p>
        </w:tc>
        <w:tc>
          <w:tcPr>
            <w:tcW w:w="1008" w:type="dxa"/>
          </w:tcPr>
          <w:p w14:paraId="09A085F4"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6E3F88D3"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5BED694A"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091DF183" w14:textId="60E3D10E" w:rsidR="00CC27D7" w:rsidRDefault="00CC27D7">
            <w:r>
              <w:t>4</w:t>
            </w:r>
          </w:p>
        </w:tc>
        <w:tc>
          <w:tcPr>
            <w:tcW w:w="3205" w:type="dxa"/>
          </w:tcPr>
          <w:p w14:paraId="5CC6F3AC" w14:textId="7A30CE33"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 xml:space="preserve">Impact of Cycle Dates locked down and True Move </w:t>
            </w:r>
            <w:proofErr w:type="gramStart"/>
            <w:r>
              <w:rPr>
                <w:rFonts w:ascii="Times New Roman" w:hAnsi="Times New Roman" w:cs="Times New Roman"/>
                <w:color w:val="000000"/>
                <w:sz w:val="24"/>
                <w:szCs w:val="24"/>
              </w:rPr>
              <w:t>In</w:t>
            </w:r>
            <w:proofErr w:type="gramEnd"/>
            <w:r>
              <w:rPr>
                <w:rFonts w:ascii="Times New Roman" w:hAnsi="Times New Roman" w:cs="Times New Roman"/>
                <w:color w:val="000000"/>
                <w:sz w:val="24"/>
                <w:szCs w:val="24"/>
              </w:rPr>
              <w:t xml:space="preserve"> Situations</w:t>
            </w:r>
          </w:p>
        </w:tc>
        <w:tc>
          <w:tcPr>
            <w:tcW w:w="3527" w:type="dxa"/>
          </w:tcPr>
          <w:p w14:paraId="577EF974" w14:textId="441DDC4B"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Impacts stacking logic at go live</w:t>
            </w:r>
          </w:p>
        </w:tc>
        <w:tc>
          <w:tcPr>
            <w:tcW w:w="1008" w:type="dxa"/>
          </w:tcPr>
          <w:p w14:paraId="3D34CD87"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2DBD8D95"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100C9AFF"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DED25C2" w14:textId="1ED7F129" w:rsidR="00CC27D7" w:rsidRDefault="00CC27D7">
            <w:r>
              <w:t>5</w:t>
            </w:r>
          </w:p>
        </w:tc>
        <w:tc>
          <w:tcPr>
            <w:tcW w:w="3205" w:type="dxa"/>
          </w:tcPr>
          <w:p w14:paraId="4DCE5034" w14:textId="39C39B8F"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Phone number formats Country Code issue</w:t>
            </w:r>
          </w:p>
        </w:tc>
        <w:tc>
          <w:tcPr>
            <w:tcW w:w="3527" w:type="dxa"/>
          </w:tcPr>
          <w:p w14:paraId="7EE7B4BA" w14:textId="6414F805"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Update TXSET guide</w:t>
            </w:r>
          </w:p>
        </w:tc>
        <w:tc>
          <w:tcPr>
            <w:tcW w:w="1008" w:type="dxa"/>
          </w:tcPr>
          <w:p w14:paraId="1A0D3B9C"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08B482DA"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41F8F5D5"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4EA2EC26" w14:textId="5D4B7B06" w:rsidR="00CC27D7" w:rsidRDefault="00CC27D7">
            <w:r>
              <w:t>6</w:t>
            </w:r>
          </w:p>
        </w:tc>
        <w:tc>
          <w:tcPr>
            <w:tcW w:w="3205" w:type="dxa"/>
          </w:tcPr>
          <w:p w14:paraId="5B4A3A88" w14:textId="798422BA"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Clean Data for ESI ID Creation</w:t>
            </w:r>
          </w:p>
        </w:tc>
        <w:tc>
          <w:tcPr>
            <w:tcW w:w="3527" w:type="dxa"/>
          </w:tcPr>
          <w:p w14:paraId="49B44D3F" w14:textId="0F2F0CC9"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Avoid creation of “bad” ESIs only to have to retire </w:t>
            </w:r>
          </w:p>
        </w:tc>
        <w:tc>
          <w:tcPr>
            <w:tcW w:w="1008" w:type="dxa"/>
          </w:tcPr>
          <w:p w14:paraId="25043B8F"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2E6DB657"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046CECBD"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06FBB823" w14:textId="33BB79CF" w:rsidR="00CC27D7" w:rsidRDefault="00CC27D7">
            <w:r>
              <w:t>7</w:t>
            </w:r>
          </w:p>
        </w:tc>
        <w:tc>
          <w:tcPr>
            <w:tcW w:w="3205" w:type="dxa"/>
          </w:tcPr>
          <w:p w14:paraId="01D3BC55" w14:textId="41E31F6E"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Addresses without description</w:t>
            </w:r>
          </w:p>
        </w:tc>
        <w:tc>
          <w:tcPr>
            <w:tcW w:w="3527" w:type="dxa"/>
          </w:tcPr>
          <w:p w14:paraId="32ECC366" w14:textId="3BE61469"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System should be able to use secondary address fields to help avoid inadvertent gain situations</w:t>
            </w:r>
          </w:p>
        </w:tc>
        <w:tc>
          <w:tcPr>
            <w:tcW w:w="1008" w:type="dxa"/>
          </w:tcPr>
          <w:p w14:paraId="4010F494"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6583980C"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6706D877"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39104ED" w14:textId="3A3CD1DE" w:rsidR="00CC27D7" w:rsidRDefault="00CC27D7">
            <w:r>
              <w:t>8</w:t>
            </w:r>
          </w:p>
        </w:tc>
        <w:tc>
          <w:tcPr>
            <w:tcW w:w="3205" w:type="dxa"/>
          </w:tcPr>
          <w:p w14:paraId="5D76B4DD" w14:textId="4B51C695"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Decimals in Meter Reads</w:t>
            </w:r>
          </w:p>
        </w:tc>
        <w:tc>
          <w:tcPr>
            <w:tcW w:w="3527" w:type="dxa"/>
          </w:tcPr>
          <w:p w14:paraId="2E05680A" w14:textId="6CB01808"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With AMI being the normal meter type, this is an opportunity to allow decimals in meter reads.  We are already using them in IDR situations</w:t>
            </w:r>
          </w:p>
        </w:tc>
        <w:tc>
          <w:tcPr>
            <w:tcW w:w="1008" w:type="dxa"/>
          </w:tcPr>
          <w:p w14:paraId="207514BC"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46A9469D"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48534FE4"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0CAB287F" w14:textId="4A4BF90E" w:rsidR="00CC27D7" w:rsidRDefault="00CC27D7">
            <w:r>
              <w:t>9</w:t>
            </w:r>
          </w:p>
        </w:tc>
        <w:tc>
          <w:tcPr>
            <w:tcW w:w="3205" w:type="dxa"/>
          </w:tcPr>
          <w:p w14:paraId="1D3D4CC2" w14:textId="119691E4"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Priority Codes for MVIs and Reconnects</w:t>
            </w:r>
          </w:p>
        </w:tc>
        <w:tc>
          <w:tcPr>
            <w:tcW w:w="3527" w:type="dxa"/>
          </w:tcPr>
          <w:p w14:paraId="53B65FEE" w14:textId="5F775697"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should be included in RMG along with other priority codes (Service Orders)</w:t>
            </w:r>
          </w:p>
        </w:tc>
        <w:tc>
          <w:tcPr>
            <w:tcW w:w="1008" w:type="dxa"/>
          </w:tcPr>
          <w:p w14:paraId="168B02CF"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6DF76E67"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5908BAE3"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F2CBC03" w14:textId="5B9E19EA" w:rsidR="00CC27D7" w:rsidRDefault="00CC27D7">
            <w:r>
              <w:t>10</w:t>
            </w:r>
          </w:p>
        </w:tc>
        <w:tc>
          <w:tcPr>
            <w:tcW w:w="3205" w:type="dxa"/>
          </w:tcPr>
          <w:p w14:paraId="3235A54B" w14:textId="72B726F9"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TDSP Matrices in one location</w:t>
            </w:r>
          </w:p>
        </w:tc>
        <w:tc>
          <w:tcPr>
            <w:tcW w:w="3527" w:type="dxa"/>
          </w:tcPr>
          <w:p w14:paraId="4F12FECB" w14:textId="00C3F020"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one place</w:t>
            </w:r>
          </w:p>
        </w:tc>
        <w:tc>
          <w:tcPr>
            <w:tcW w:w="1008" w:type="dxa"/>
          </w:tcPr>
          <w:p w14:paraId="26C595B4"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050CD9B5"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08314C8C"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EF670E7" w14:textId="689A05F9" w:rsidR="00CC27D7" w:rsidRDefault="00CC27D7">
            <w:r>
              <w:t>11</w:t>
            </w:r>
          </w:p>
        </w:tc>
        <w:tc>
          <w:tcPr>
            <w:tcW w:w="3205" w:type="dxa"/>
          </w:tcPr>
          <w:p w14:paraId="0F5630FA" w14:textId="21DFF14F"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online enrollments - what options for more than one ESI ID?</w:t>
            </w:r>
          </w:p>
        </w:tc>
        <w:tc>
          <w:tcPr>
            <w:tcW w:w="3527" w:type="dxa"/>
          </w:tcPr>
          <w:p w14:paraId="78A19F3D" w14:textId="3CA4ABF5"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better customer experience if more than 1 ESI ID to enroll</w:t>
            </w:r>
          </w:p>
        </w:tc>
        <w:tc>
          <w:tcPr>
            <w:tcW w:w="1008" w:type="dxa"/>
          </w:tcPr>
          <w:p w14:paraId="6B66DEBE"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647C1B54"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08A74352"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665240F8" w14:textId="04961176" w:rsidR="00CC27D7" w:rsidRDefault="00CC27D7">
            <w:r>
              <w:t>12</w:t>
            </w:r>
          </w:p>
        </w:tc>
        <w:tc>
          <w:tcPr>
            <w:tcW w:w="3205" w:type="dxa"/>
          </w:tcPr>
          <w:p w14:paraId="7C934714" w14:textId="0234974C" w:rsidR="00CC27D7" w:rsidRDefault="00CC27D7">
            <w:pPr>
              <w:cnfStyle w:val="000000000000" w:firstRow="0" w:lastRow="0" w:firstColumn="0" w:lastColumn="0" w:oddVBand="0" w:evenVBand="0" w:oddHBand="0" w:evenHBand="0" w:firstRowFirstColumn="0" w:firstRowLastColumn="0" w:lastRowFirstColumn="0" w:lastRowLastColumn="0"/>
            </w:pPr>
            <w:r>
              <w:rPr>
                <w:rFonts w:ascii="Times New Roman" w:hAnsi="Times New Roman" w:cs="Times New Roman"/>
                <w:color w:val="000000"/>
                <w:sz w:val="24"/>
                <w:szCs w:val="24"/>
              </w:rPr>
              <w:t>Cancel/Rebill timing and LSE files</w:t>
            </w:r>
          </w:p>
        </w:tc>
        <w:tc>
          <w:tcPr>
            <w:tcW w:w="3527" w:type="dxa"/>
          </w:tcPr>
          <w:p w14:paraId="391AB411" w14:textId="34098C63"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color w:val="000000"/>
                <w:sz w:val="24"/>
                <w:szCs w:val="24"/>
              </w:rPr>
              <w:t>This information is not captured in any Protocols or Guides at ERCOT…it's more of an ERCOT business process that affects the Utilities process.  How can we capture that for the next new entrant?</w:t>
            </w:r>
          </w:p>
        </w:tc>
        <w:tc>
          <w:tcPr>
            <w:tcW w:w="1008" w:type="dxa"/>
          </w:tcPr>
          <w:p w14:paraId="507AB5EF"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0EA26FCA"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386772E7"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13CE5757" w14:textId="09C283A5" w:rsidR="00CC27D7" w:rsidRDefault="00CC27D7">
            <w:r>
              <w:t>13</w:t>
            </w:r>
          </w:p>
        </w:tc>
        <w:tc>
          <w:tcPr>
            <w:tcW w:w="3205" w:type="dxa"/>
          </w:tcPr>
          <w:p w14:paraId="6DF96112" w14:textId="63AB0FCF"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Full testing</w:t>
            </w:r>
          </w:p>
        </w:tc>
        <w:tc>
          <w:tcPr>
            <w:tcW w:w="3527" w:type="dxa"/>
          </w:tcPr>
          <w:p w14:paraId="130DDFC9" w14:textId="7E6B54C0"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End to end testing with ‘real’ data</w:t>
            </w:r>
          </w:p>
        </w:tc>
        <w:tc>
          <w:tcPr>
            <w:tcW w:w="1008" w:type="dxa"/>
          </w:tcPr>
          <w:p w14:paraId="164ED965"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5" w:type="dxa"/>
          </w:tcPr>
          <w:p w14:paraId="69F6B415"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C27D7" w14:paraId="0A19EEBB" w14:textId="77777777" w:rsidTr="00CC27D7">
        <w:trPr>
          <w:trHeight w:val="116"/>
        </w:trPr>
        <w:tc>
          <w:tcPr>
            <w:cnfStyle w:val="001000000000" w:firstRow="0" w:lastRow="0" w:firstColumn="1" w:lastColumn="0" w:oddVBand="0" w:evenVBand="0" w:oddHBand="0" w:evenHBand="0" w:firstRowFirstColumn="0" w:firstRowLastColumn="0" w:lastRowFirstColumn="0" w:lastRowLastColumn="0"/>
            <w:tcW w:w="535" w:type="dxa"/>
          </w:tcPr>
          <w:p w14:paraId="73AFE99F" w14:textId="09E870CD" w:rsidR="00CC27D7" w:rsidRDefault="00CC27D7">
            <w:r>
              <w:t>14</w:t>
            </w:r>
          </w:p>
        </w:tc>
        <w:tc>
          <w:tcPr>
            <w:tcW w:w="3205" w:type="dxa"/>
          </w:tcPr>
          <w:p w14:paraId="3EA27392" w14:textId="73B34EE5"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Awareness of all files and extracts on ERCOT MIS</w:t>
            </w:r>
          </w:p>
        </w:tc>
        <w:tc>
          <w:tcPr>
            <w:tcW w:w="3527" w:type="dxa"/>
          </w:tcPr>
          <w:p w14:paraId="793876C9" w14:textId="517D70A0" w:rsidR="00CC27D7" w:rsidRPr="00CC27D7" w:rsidRDefault="006469E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Understanding of extracts available and purpose of data</w:t>
            </w:r>
          </w:p>
        </w:tc>
        <w:tc>
          <w:tcPr>
            <w:tcW w:w="1008" w:type="dxa"/>
          </w:tcPr>
          <w:p w14:paraId="0631F98E"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5" w:type="dxa"/>
          </w:tcPr>
          <w:p w14:paraId="463F6BDE"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C27D7" w14:paraId="1AFC7B8B"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637EB7F" w14:textId="1BF7D65C" w:rsidR="00CC27D7" w:rsidRDefault="00CC27D7">
            <w:r>
              <w:t>15</w:t>
            </w:r>
          </w:p>
        </w:tc>
        <w:tc>
          <w:tcPr>
            <w:tcW w:w="3205" w:type="dxa"/>
          </w:tcPr>
          <w:p w14:paraId="1A524938" w14:textId="751E092E" w:rsidR="00CC27D7" w:rsidRPr="00CC27D7" w:rsidRDefault="00D356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Shopping Fairs </w:t>
            </w:r>
          </w:p>
        </w:tc>
        <w:tc>
          <w:tcPr>
            <w:tcW w:w="3527" w:type="dxa"/>
          </w:tcPr>
          <w:p w14:paraId="61CFBA44" w14:textId="1F72A872" w:rsidR="00CC27D7" w:rsidRPr="00CC27D7" w:rsidRDefault="00D356B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WIN!  Having a media market in a condensed geographical area </w:t>
            </w:r>
            <w:r>
              <w:rPr>
                <w:rFonts w:ascii="Times New Roman" w:hAnsi="Times New Roman" w:cs="Times New Roman"/>
                <w:sz w:val="24"/>
                <w:szCs w:val="24"/>
              </w:rPr>
              <w:lastRenderedPageBreak/>
              <w:t xml:space="preserve">resulted in effective communications to the residents </w:t>
            </w:r>
          </w:p>
        </w:tc>
        <w:tc>
          <w:tcPr>
            <w:tcW w:w="1008" w:type="dxa"/>
          </w:tcPr>
          <w:p w14:paraId="7929A322"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5" w:type="dxa"/>
          </w:tcPr>
          <w:p w14:paraId="4D6446C9"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C27D7" w14:paraId="54B6FE5C"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631C33E6" w14:textId="77777777" w:rsidR="00CC27D7" w:rsidRDefault="00CC27D7"/>
        </w:tc>
        <w:tc>
          <w:tcPr>
            <w:tcW w:w="3205" w:type="dxa"/>
          </w:tcPr>
          <w:p w14:paraId="4BFFE56E"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527" w:type="dxa"/>
          </w:tcPr>
          <w:p w14:paraId="331195DD"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08" w:type="dxa"/>
          </w:tcPr>
          <w:p w14:paraId="44AEFE26"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75" w:type="dxa"/>
          </w:tcPr>
          <w:p w14:paraId="0858E0DC" w14:textId="77777777" w:rsidR="00CC27D7" w:rsidRPr="00CC27D7" w:rsidRDefault="00CC27D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CC27D7" w14:paraId="36DC4A34"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0B48F03C" w14:textId="77777777" w:rsidR="00CC27D7" w:rsidRDefault="00CC27D7"/>
        </w:tc>
        <w:tc>
          <w:tcPr>
            <w:tcW w:w="3205" w:type="dxa"/>
          </w:tcPr>
          <w:p w14:paraId="0834D4FD"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3527" w:type="dxa"/>
          </w:tcPr>
          <w:p w14:paraId="6DDBA14F"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08" w:type="dxa"/>
          </w:tcPr>
          <w:p w14:paraId="1DC844C5"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2702F0CA"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542A345A"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3C17780B" w14:textId="77777777" w:rsidR="00CC27D7" w:rsidRDefault="00CC27D7"/>
        </w:tc>
        <w:tc>
          <w:tcPr>
            <w:tcW w:w="3205" w:type="dxa"/>
          </w:tcPr>
          <w:p w14:paraId="6B651EF3"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3527" w:type="dxa"/>
          </w:tcPr>
          <w:p w14:paraId="21615221"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08" w:type="dxa"/>
          </w:tcPr>
          <w:p w14:paraId="2D988D96"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507C85EA"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r w:rsidR="00CC27D7" w14:paraId="27817145" w14:textId="77777777" w:rsidTr="00CC27D7">
        <w:tc>
          <w:tcPr>
            <w:cnfStyle w:val="001000000000" w:firstRow="0" w:lastRow="0" w:firstColumn="1" w:lastColumn="0" w:oddVBand="0" w:evenVBand="0" w:oddHBand="0" w:evenHBand="0" w:firstRowFirstColumn="0" w:firstRowLastColumn="0" w:lastRowFirstColumn="0" w:lastRowLastColumn="0"/>
            <w:tcW w:w="535" w:type="dxa"/>
          </w:tcPr>
          <w:p w14:paraId="7227526F" w14:textId="77777777" w:rsidR="00CC27D7" w:rsidRDefault="00CC27D7"/>
        </w:tc>
        <w:tc>
          <w:tcPr>
            <w:tcW w:w="3205" w:type="dxa"/>
          </w:tcPr>
          <w:p w14:paraId="6992622F"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3527" w:type="dxa"/>
          </w:tcPr>
          <w:p w14:paraId="2FCD9AA3"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08" w:type="dxa"/>
          </w:tcPr>
          <w:p w14:paraId="7DB238D3"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c>
          <w:tcPr>
            <w:tcW w:w="1075" w:type="dxa"/>
          </w:tcPr>
          <w:p w14:paraId="393B0026" w14:textId="77777777" w:rsidR="00CC27D7" w:rsidRDefault="00CC27D7">
            <w:pPr>
              <w:cnfStyle w:val="000000000000" w:firstRow="0" w:lastRow="0" w:firstColumn="0" w:lastColumn="0" w:oddVBand="0" w:evenVBand="0" w:oddHBand="0" w:evenHBand="0" w:firstRowFirstColumn="0" w:firstRowLastColumn="0" w:lastRowFirstColumn="0" w:lastRowLastColumn="0"/>
            </w:pPr>
          </w:p>
        </w:tc>
      </w:tr>
    </w:tbl>
    <w:p w14:paraId="0975F686" w14:textId="77777777" w:rsidR="002F4727" w:rsidRDefault="002F4727"/>
    <w:sectPr w:rsidR="002F47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7D7"/>
    <w:rsid w:val="002F4727"/>
    <w:rsid w:val="006469E5"/>
    <w:rsid w:val="00A97B43"/>
    <w:rsid w:val="00B34898"/>
    <w:rsid w:val="00CC27D7"/>
    <w:rsid w:val="00D35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03E96"/>
  <w15:chartTrackingRefBased/>
  <w15:docId w15:val="{8C29C17C-547D-4BFF-9DF2-46088AA17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line="72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27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27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27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27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27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27D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27D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27D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27D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27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27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27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27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27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27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27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27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27D7"/>
    <w:rPr>
      <w:rFonts w:eastAsiaTheme="majorEastAsia" w:cstheme="majorBidi"/>
      <w:color w:val="272727" w:themeColor="text1" w:themeTint="D8"/>
    </w:rPr>
  </w:style>
  <w:style w:type="paragraph" w:styleId="Title">
    <w:name w:val="Title"/>
    <w:basedOn w:val="Normal"/>
    <w:next w:val="Normal"/>
    <w:link w:val="TitleChar"/>
    <w:uiPriority w:val="10"/>
    <w:qFormat/>
    <w:rsid w:val="00CC27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27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27D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27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27D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C27D7"/>
    <w:rPr>
      <w:i/>
      <w:iCs/>
      <w:color w:val="404040" w:themeColor="text1" w:themeTint="BF"/>
    </w:rPr>
  </w:style>
  <w:style w:type="paragraph" w:styleId="ListParagraph">
    <w:name w:val="List Paragraph"/>
    <w:basedOn w:val="Normal"/>
    <w:uiPriority w:val="34"/>
    <w:qFormat/>
    <w:rsid w:val="00CC27D7"/>
    <w:pPr>
      <w:ind w:left="720"/>
      <w:contextualSpacing/>
    </w:pPr>
  </w:style>
  <w:style w:type="character" w:styleId="IntenseEmphasis">
    <w:name w:val="Intense Emphasis"/>
    <w:basedOn w:val="DefaultParagraphFont"/>
    <w:uiPriority w:val="21"/>
    <w:qFormat/>
    <w:rsid w:val="00CC27D7"/>
    <w:rPr>
      <w:i/>
      <w:iCs/>
      <w:color w:val="0F4761" w:themeColor="accent1" w:themeShade="BF"/>
    </w:rPr>
  </w:style>
  <w:style w:type="paragraph" w:styleId="IntenseQuote">
    <w:name w:val="Intense Quote"/>
    <w:basedOn w:val="Normal"/>
    <w:next w:val="Normal"/>
    <w:link w:val="IntenseQuoteChar"/>
    <w:uiPriority w:val="30"/>
    <w:qFormat/>
    <w:rsid w:val="00CC27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27D7"/>
    <w:rPr>
      <w:i/>
      <w:iCs/>
      <w:color w:val="0F4761" w:themeColor="accent1" w:themeShade="BF"/>
    </w:rPr>
  </w:style>
  <w:style w:type="character" w:styleId="IntenseReference">
    <w:name w:val="Intense Reference"/>
    <w:basedOn w:val="DefaultParagraphFont"/>
    <w:uiPriority w:val="32"/>
    <w:qFormat/>
    <w:rsid w:val="00CC27D7"/>
    <w:rPr>
      <w:b/>
      <w:bCs/>
      <w:smallCaps/>
      <w:color w:val="0F4761" w:themeColor="accent1" w:themeShade="BF"/>
      <w:spacing w:val="5"/>
    </w:rPr>
  </w:style>
  <w:style w:type="table" w:styleId="TableGrid">
    <w:name w:val="Table Grid"/>
    <w:basedOn w:val="TableNormal"/>
    <w:uiPriority w:val="39"/>
    <w:rsid w:val="00CC27D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C27D7"/>
    <w:pPr>
      <w:spacing w:line="240" w:lineRule="auto"/>
    </w:pPr>
    <w:tblPr>
      <w:tblStyleRowBandSize w:val="1"/>
      <w:tblStyleColBandSize w:val="1"/>
      <w:tblBorders>
        <w:top w:val="single" w:sz="4" w:space="0" w:color="83CAEB" w:themeColor="accent1" w:themeTint="66"/>
        <w:left w:val="single" w:sz="4" w:space="0" w:color="83CAEB" w:themeColor="accent1" w:themeTint="66"/>
        <w:bottom w:val="single" w:sz="4" w:space="0" w:color="83CAEB" w:themeColor="accent1" w:themeTint="66"/>
        <w:right w:val="single" w:sz="4" w:space="0" w:color="83CAEB" w:themeColor="accent1" w:themeTint="66"/>
        <w:insideH w:val="single" w:sz="4" w:space="0" w:color="83CAEB" w:themeColor="accent1" w:themeTint="66"/>
        <w:insideV w:val="single" w:sz="4" w:space="0" w:color="83CAEB" w:themeColor="accent1" w:themeTint="66"/>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2" w:space="0" w:color="45B0E1"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603273">
      <w:bodyDiv w:val="1"/>
      <w:marLeft w:val="0"/>
      <w:marRight w:val="0"/>
      <w:marTop w:val="0"/>
      <w:marBottom w:val="0"/>
      <w:divBdr>
        <w:top w:val="none" w:sz="0" w:space="0" w:color="auto"/>
        <w:left w:val="none" w:sz="0" w:space="0" w:color="auto"/>
        <w:bottom w:val="none" w:sz="0" w:space="0" w:color="auto"/>
        <w:right w:val="none" w:sz="0" w:space="0" w:color="auto"/>
      </w:divBdr>
    </w:div>
    <w:div w:id="80612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1</cp:revision>
  <dcterms:created xsi:type="dcterms:W3CDTF">2024-05-28T20:34:00Z</dcterms:created>
  <dcterms:modified xsi:type="dcterms:W3CDTF">2024-05-28T23:19:00Z</dcterms:modified>
</cp:coreProperties>
</file>