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0B482B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0B482B" w:rsidRDefault="000B482B" w:rsidP="000B482B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4EEFCCE1" w:rsidR="000B482B" w:rsidRPr="00595DDC" w:rsidRDefault="007C4DC8" w:rsidP="000B482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0B482B" w:rsidRPr="001F468F">
                <w:rPr>
                  <w:rStyle w:val="Hyperlink"/>
                  <w:bCs w:val="0"/>
                </w:rPr>
                <w:t>1235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1CB335B9" w:rsidR="000B482B" w:rsidRDefault="000B482B" w:rsidP="000B482B">
            <w:pPr>
              <w:pStyle w:val="Header"/>
            </w:pPr>
            <w:r w:rsidRPr="004577E3">
              <w:rPr>
                <w:bCs w:val="0"/>
              </w:rP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5EE9D3BF" w:rsidR="000B482B" w:rsidRPr="009F3D0E" w:rsidRDefault="000B482B" w:rsidP="000B482B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4107EB">
              <w:rPr>
                <w:bCs w:val="0"/>
              </w:rPr>
              <w:t>Dispatchable Reliability Reserve Service as a Stand-Alone Ancillary Service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5BA7BCB3" w:rsidR="00FC0BDC" w:rsidRPr="009F3D0E" w:rsidRDefault="000B482B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29, 2024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E5138FA" w14:textId="1B771F90" w:rsidR="00124420" w:rsidRDefault="000E79E6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E79E6">
              <w:rPr>
                <w:rFonts w:ascii="Arial" w:hAnsi="Arial" w:cs="Arial"/>
              </w:rPr>
              <w:t xml:space="preserve">Between </w:t>
            </w:r>
            <w:r w:rsidR="00DE7AB4">
              <w:rPr>
                <w:rFonts w:ascii="Arial" w:hAnsi="Arial" w:cs="Arial"/>
              </w:rPr>
              <w:t>$3.0M</w:t>
            </w:r>
            <w:r w:rsidRPr="000E79E6">
              <w:rPr>
                <w:rFonts w:ascii="Arial" w:hAnsi="Arial" w:cs="Arial"/>
              </w:rPr>
              <w:t xml:space="preserve"> and $5.0M</w:t>
            </w:r>
          </w:p>
          <w:p w14:paraId="649B203D" w14:textId="6B365097" w:rsidR="00DE7AB4" w:rsidRPr="002D68CF" w:rsidRDefault="00DE7AB4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See Comments.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0BC7C556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0E79E6">
              <w:rPr>
                <w:rFonts w:cs="Arial"/>
              </w:rPr>
              <w:t>16</w:t>
            </w:r>
            <w:r w:rsidRPr="0026620F">
              <w:rPr>
                <w:rFonts w:cs="Arial"/>
              </w:rPr>
              <w:t xml:space="preserve"> to </w:t>
            </w:r>
            <w:r w:rsidR="000E79E6">
              <w:rPr>
                <w:rFonts w:cs="Arial"/>
              </w:rPr>
              <w:t>24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525D1662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0E79E6">
              <w:t>71</w:t>
            </w:r>
            <w:r w:rsidR="00CB2C65" w:rsidRPr="00CB2C65">
              <w:t xml:space="preserve">% ERCOT; </w:t>
            </w:r>
            <w:r w:rsidR="000E79E6">
              <w:t>29</w:t>
            </w:r>
            <w:r w:rsidR="00CB2C65" w:rsidRPr="00CB2C65">
              <w:t>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07234566" w14:textId="02EAEA02" w:rsidR="004B1BFC" w:rsidRPr="000E79E6" w:rsidRDefault="000E79E6" w:rsidP="000E79E6">
            <w:pPr>
              <w:pStyle w:val="NormalArial"/>
              <w:numPr>
                <w:ilvl w:val="0"/>
                <w:numId w:val="7"/>
              </w:numPr>
            </w:pPr>
            <w:r w:rsidRPr="000E79E6">
              <w:t>Market Operation Systems</w:t>
            </w:r>
            <w:r>
              <w:t xml:space="preserve">                       51%</w:t>
            </w:r>
          </w:p>
          <w:p w14:paraId="6338B9E3" w14:textId="6AAA3BA5" w:rsidR="000E79E6" w:rsidRPr="000E79E6" w:rsidRDefault="000E79E6" w:rsidP="000E79E6">
            <w:pPr>
              <w:pStyle w:val="NormalArial"/>
              <w:numPr>
                <w:ilvl w:val="0"/>
                <w:numId w:val="7"/>
              </w:numPr>
            </w:pPr>
            <w:r w:rsidRPr="000E79E6">
              <w:t>Data Management &amp; Analytic Systems</w:t>
            </w:r>
            <w:r>
              <w:t xml:space="preserve">    28%</w:t>
            </w:r>
          </w:p>
          <w:p w14:paraId="53D30383" w14:textId="1FBF2493" w:rsidR="000E79E6" w:rsidRPr="000E79E6" w:rsidRDefault="000E79E6" w:rsidP="000E79E6">
            <w:pPr>
              <w:pStyle w:val="NormalArial"/>
              <w:numPr>
                <w:ilvl w:val="0"/>
                <w:numId w:val="7"/>
              </w:numPr>
            </w:pPr>
            <w:r w:rsidRPr="000E79E6">
              <w:t>Settlements &amp; Billing Systems</w:t>
            </w:r>
            <w:r>
              <w:t xml:space="preserve">                  13%</w:t>
            </w:r>
          </w:p>
          <w:p w14:paraId="49CBEFA3" w14:textId="3ADA7AEA" w:rsidR="000E79E6" w:rsidRPr="000E79E6" w:rsidRDefault="000E79E6" w:rsidP="000E79E6">
            <w:pPr>
              <w:pStyle w:val="NormalArial"/>
              <w:numPr>
                <w:ilvl w:val="0"/>
                <w:numId w:val="7"/>
              </w:numPr>
            </w:pPr>
            <w:r w:rsidRPr="000E79E6">
              <w:t>Energy Management Systems</w:t>
            </w:r>
            <w:r>
              <w:t xml:space="preserve">                   3%</w:t>
            </w:r>
          </w:p>
          <w:p w14:paraId="03F7CBF3" w14:textId="295DD4F5" w:rsidR="000E79E6" w:rsidRPr="000E79E6" w:rsidRDefault="000E79E6" w:rsidP="000E79E6">
            <w:pPr>
              <w:pStyle w:val="NormalArial"/>
              <w:numPr>
                <w:ilvl w:val="0"/>
                <w:numId w:val="7"/>
              </w:numPr>
            </w:pPr>
            <w:r w:rsidRPr="000E79E6">
              <w:t>Credit</w:t>
            </w:r>
            <w:r>
              <w:t xml:space="preserve">                                                          2%</w:t>
            </w:r>
          </w:p>
          <w:p w14:paraId="3B59BCDB" w14:textId="0FBF8E65" w:rsidR="000E79E6" w:rsidRPr="000E79E6" w:rsidRDefault="000E79E6" w:rsidP="000E79E6">
            <w:pPr>
              <w:pStyle w:val="NormalArial"/>
              <w:numPr>
                <w:ilvl w:val="0"/>
                <w:numId w:val="7"/>
              </w:numPr>
            </w:pPr>
            <w:r w:rsidRPr="000E79E6">
              <w:t>Grid Decision Support Systems</w:t>
            </w:r>
            <w:r>
              <w:t xml:space="preserve">                  1%</w:t>
            </w:r>
          </w:p>
          <w:p w14:paraId="00E71E87" w14:textId="42C6634A" w:rsidR="000E79E6" w:rsidRPr="000E79E6" w:rsidRDefault="000E79E6" w:rsidP="000E79E6">
            <w:pPr>
              <w:pStyle w:val="NormalArial"/>
              <w:numPr>
                <w:ilvl w:val="0"/>
                <w:numId w:val="7"/>
              </w:numPr>
            </w:pPr>
            <w:r w:rsidRPr="000E79E6">
              <w:t>CRM &amp; Registration Systems</w:t>
            </w:r>
            <w:r>
              <w:t xml:space="preserve">                      1%</w:t>
            </w:r>
          </w:p>
          <w:p w14:paraId="6F01D423" w14:textId="4FDBDE9E" w:rsidR="000E79E6" w:rsidRPr="000E79E6" w:rsidRDefault="000E79E6" w:rsidP="000E79E6">
            <w:pPr>
              <w:pStyle w:val="NormalArial"/>
              <w:numPr>
                <w:ilvl w:val="0"/>
                <w:numId w:val="7"/>
              </w:numPr>
            </w:pPr>
            <w:r w:rsidRPr="000E79E6">
              <w:t>Integration Systems</w:t>
            </w:r>
            <w:r>
              <w:t xml:space="preserve">                                     1%</w:t>
            </w:r>
          </w:p>
          <w:p w14:paraId="3F868CC6" w14:textId="23C8CC2F" w:rsidR="000E79E6" w:rsidRPr="00FE71C0" w:rsidRDefault="000E79E6" w:rsidP="000E79E6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 w:rsidTr="007C4DC8">
        <w:trPr>
          <w:trHeight w:val="503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3BB98E4B" w:rsidR="0027002F" w:rsidRPr="00A36BDB" w:rsidRDefault="00F822A9" w:rsidP="000B482B">
            <w:pPr>
              <w:pStyle w:val="NormalArial"/>
              <w:spacing w:before="120" w:after="120"/>
            </w:pPr>
            <w:r>
              <w:t xml:space="preserve">ERCOT </w:t>
            </w:r>
            <w:r w:rsidR="00810C22">
              <w:t xml:space="preserve">is </w:t>
            </w:r>
            <w:r w:rsidR="00194144">
              <w:t xml:space="preserve">providing a </w:t>
            </w:r>
            <w:r w:rsidR="00810C22">
              <w:t xml:space="preserve">Preliminary Impact Analysis </w:t>
            </w:r>
            <w:proofErr w:type="gramStart"/>
            <w:r w:rsidR="00194144">
              <w:t>in order to</w:t>
            </w:r>
            <w:proofErr w:type="gramEnd"/>
            <w:r w:rsidR="00194144">
              <w:t xml:space="preserve"> </w:t>
            </w:r>
            <w:r w:rsidR="00810C22">
              <w:t xml:space="preserve">expedite </w:t>
            </w:r>
            <w:r w:rsidR="00194144">
              <w:t>NPRR</w:t>
            </w:r>
            <w:r w:rsidR="000B482B">
              <w:t>1235</w:t>
            </w:r>
            <w:r w:rsidR="00194144">
              <w:t xml:space="preserve"> consideration in the </w:t>
            </w:r>
            <w:r w:rsidR="00513966">
              <w:t>stakeholder process.</w:t>
            </w:r>
            <w:r w:rsidR="00B3205D">
              <w:t xml:space="preserve">  Additional work is required to refine </w:t>
            </w:r>
            <w:r w:rsidR="004E1D97">
              <w:t>ERCOT staff and vendor labor</w:t>
            </w:r>
            <w:r w:rsidR="00194144">
              <w:t xml:space="preserve"> hours</w:t>
            </w:r>
            <w:r w:rsidR="00ED4D63">
              <w:t xml:space="preserve">, as well as </w:t>
            </w:r>
            <w:r w:rsidR="00194144">
              <w:t>other considerations</w:t>
            </w:r>
            <w:r w:rsidR="00ED4D63">
              <w:t xml:space="preserve"> required to deliver this functionality.  A</w:t>
            </w:r>
            <w:r w:rsidR="00194144">
              <w:t>n Impact Analysis</w:t>
            </w:r>
            <w:r w:rsidR="00ED4D63">
              <w:t xml:space="preserve"> will be </w:t>
            </w:r>
            <w:r w:rsidR="00194144">
              <w:t xml:space="preserve">provided </w:t>
            </w:r>
            <w:r w:rsidR="00D72A9A">
              <w:t xml:space="preserve">after </w:t>
            </w:r>
            <w:r w:rsidR="00194144">
              <w:t xml:space="preserve">PRS recommends language for approval.  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23D8943A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442F52">
      <w:rPr>
        <w:rFonts w:ascii="Arial" w:hAnsi="Arial"/>
        <w:noProof/>
        <w:sz w:val="18"/>
      </w:rPr>
      <w:t>1235NPRR-02 Impact Analysis 052924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18CB3B64" w:rsidR="006B0C5E" w:rsidRDefault="006B0C5E">
    <w:pPr>
      <w:pStyle w:val="Header"/>
      <w:jc w:val="center"/>
      <w:rPr>
        <w:sz w:val="30"/>
      </w:rPr>
    </w:pPr>
    <w:r>
      <w:rPr>
        <w:sz w:val="30"/>
      </w:rPr>
      <w:t xml:space="preserve">ERCOT </w:t>
    </w:r>
    <w:r w:rsidR="000E79E6">
      <w:rPr>
        <w:sz w:val="30"/>
      </w:rPr>
      <w:t xml:space="preserve">Preliminary </w:t>
    </w:r>
    <w:r>
      <w:rPr>
        <w:sz w:val="30"/>
      </w:rPr>
      <w:t>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240B00"/>
    <w:multiLevelType w:val="hybridMultilevel"/>
    <w:tmpl w:val="7482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2016648">
    <w:abstractNumId w:val="0"/>
  </w:num>
  <w:num w:numId="2" w16cid:durableId="766849414">
    <w:abstractNumId w:val="6"/>
  </w:num>
  <w:num w:numId="3" w16cid:durableId="716704753">
    <w:abstractNumId w:val="3"/>
  </w:num>
  <w:num w:numId="4" w16cid:durableId="1545366021">
    <w:abstractNumId w:val="2"/>
  </w:num>
  <w:num w:numId="5" w16cid:durableId="1157263081">
    <w:abstractNumId w:val="1"/>
  </w:num>
  <w:num w:numId="6" w16cid:durableId="1611935683">
    <w:abstractNumId w:val="5"/>
  </w:num>
  <w:num w:numId="7" w16cid:durableId="700015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B482B"/>
    <w:rsid w:val="000E735D"/>
    <w:rsid w:val="000E79E6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94144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02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42F52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1D97"/>
    <w:rsid w:val="004E7041"/>
    <w:rsid w:val="005059AD"/>
    <w:rsid w:val="00510D3C"/>
    <w:rsid w:val="00511748"/>
    <w:rsid w:val="00512FC8"/>
    <w:rsid w:val="00513966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D7C91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C4DC8"/>
    <w:rsid w:val="007D3E51"/>
    <w:rsid w:val="007E5F62"/>
    <w:rsid w:val="007E77E9"/>
    <w:rsid w:val="007F094A"/>
    <w:rsid w:val="007F3E6D"/>
    <w:rsid w:val="007F68BE"/>
    <w:rsid w:val="008013FA"/>
    <w:rsid w:val="0080426E"/>
    <w:rsid w:val="00810C22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0121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08BC"/>
    <w:rsid w:val="00B242E5"/>
    <w:rsid w:val="00B3205D"/>
    <w:rsid w:val="00B3262B"/>
    <w:rsid w:val="00B3605A"/>
    <w:rsid w:val="00B43584"/>
    <w:rsid w:val="00B44FF3"/>
    <w:rsid w:val="00B50D29"/>
    <w:rsid w:val="00B61793"/>
    <w:rsid w:val="00B67F3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2813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72A9A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DE7AB4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9045D"/>
    <w:rsid w:val="00EA367F"/>
    <w:rsid w:val="00EA7C34"/>
    <w:rsid w:val="00EB322E"/>
    <w:rsid w:val="00EB5291"/>
    <w:rsid w:val="00EC0CEF"/>
    <w:rsid w:val="00ED0FCB"/>
    <w:rsid w:val="00ED4D63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22A9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3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1774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052924</cp:lastModifiedBy>
  <cp:revision>4</cp:revision>
  <cp:lastPrinted>2007-01-12T13:31:00Z</cp:lastPrinted>
  <dcterms:created xsi:type="dcterms:W3CDTF">2024-05-29T13:26:00Z</dcterms:created>
  <dcterms:modified xsi:type="dcterms:W3CDTF">2024-05-29T15:16:00Z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2024-05-28T13:33:54Z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51c52a8c-a813-4fe1-bb13-369d1e9b0570</vt:lpwstr>
  </property>
  <property fmtid="{D5CDD505-2E9C-101B-9397-08002B2CF9AE}" pid="9" name="MSIP_Label_7084cbda-52b8-46fb-a7b7-cb5bd465ed85_ContentBits">
    <vt:lpwstr>0</vt:lpwstr>
  </property>
</Properties>
</file>