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7192D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7192D" w:rsidRDefault="00C7192D" w:rsidP="00C7192D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65AD16B8" w:rsidR="00C7192D" w:rsidRPr="00595DDC" w:rsidRDefault="00C7192D" w:rsidP="00C7192D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833828">
                <w:rPr>
                  <w:rStyle w:val="Hyperlink"/>
                </w:rPr>
                <w:t>1232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5CDF607" w:rsidR="00C7192D" w:rsidRDefault="00C7192D" w:rsidP="00C7192D">
            <w:pPr>
              <w:pStyle w:val="Header"/>
            </w:pPr>
            <w:r w:rsidRPr="00FE25A3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218FCF9A" w:rsidR="00C7192D" w:rsidRPr="009F3D0E" w:rsidRDefault="00C7192D" w:rsidP="00C7192D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4A6332">
              <w:t>Standing Deployment of ECRS in the Operating Hour for a Portion of ECRS that is Provided from SCED</w:t>
            </w:r>
            <w:r>
              <w:rPr>
                <w:b w:val="0"/>
                <w:bCs w:val="0"/>
              </w:rPr>
              <w:t>-</w:t>
            </w:r>
            <w:r w:rsidRPr="004A6332">
              <w:t>Dispatchable Resources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569B65FC" w:rsidR="00FC0BDC" w:rsidRPr="009F3D0E" w:rsidRDefault="00C7192D" w:rsidP="00D017E3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28, 2024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D017E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D017E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D017E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D017E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67F3E3F8" w:rsidR="004D252E" w:rsidRPr="009266AD" w:rsidRDefault="007B17FB" w:rsidP="00D017E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75A15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017E3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6E5F" w14:textId="77777777" w:rsidR="00EE7B77" w:rsidRDefault="00EE7B77">
      <w:r>
        <w:separator/>
      </w:r>
    </w:p>
  </w:endnote>
  <w:endnote w:type="continuationSeparator" w:id="0">
    <w:p w14:paraId="468248F2" w14:textId="77777777" w:rsidR="00EE7B77" w:rsidRDefault="00EE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A72" w14:textId="141DC704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7D3658">
      <w:rPr>
        <w:rFonts w:ascii="Arial" w:hAnsi="Arial"/>
        <w:noProof/>
        <w:sz w:val="18"/>
      </w:rPr>
      <w:t>1232NPRR-02 Impact Analysis 052824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517F" w14:textId="77777777" w:rsidR="00EE7B77" w:rsidRDefault="00EE7B77">
      <w:r>
        <w:separator/>
      </w:r>
    </w:p>
  </w:footnote>
  <w:footnote w:type="continuationSeparator" w:id="0">
    <w:p w14:paraId="5097751B" w14:textId="77777777" w:rsidR="00EE7B77" w:rsidRDefault="00EE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3DFC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2590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467E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4514B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17FB"/>
    <w:rsid w:val="007B2C06"/>
    <w:rsid w:val="007C5E7B"/>
    <w:rsid w:val="007D3658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216B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192D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E7A9A"/>
    <w:rsid w:val="00CF1A2F"/>
    <w:rsid w:val="00D017E3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E7B77"/>
    <w:rsid w:val="00EF25A3"/>
    <w:rsid w:val="00F01F3F"/>
    <w:rsid w:val="00F05C3D"/>
    <w:rsid w:val="00F06004"/>
    <w:rsid w:val="00F067E1"/>
    <w:rsid w:val="00F12163"/>
    <w:rsid w:val="00F12B35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3B4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23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3</cp:revision>
  <cp:lastPrinted>2007-01-12T13:31:00Z</cp:lastPrinted>
  <dcterms:created xsi:type="dcterms:W3CDTF">2024-05-28T17:38:00Z</dcterms:created>
  <dcterms:modified xsi:type="dcterms:W3CDTF">2024-05-28T17:38:00Z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2024-02-16T18:48:57Z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b1682cd6-ef45-4a89-a477-86432ac3c322</vt:lpwstr>
  </property>
  <property fmtid="{D5CDD505-2E9C-101B-9397-08002B2CF9AE}" pid="9" name="MSIP_Label_7084cbda-52b8-46fb-a7b7-cb5bd465ed85_ContentBits">
    <vt:lpwstr>0</vt:lpwstr>
  </property>
</Properties>
</file>