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73C1" w14:textId="01665514" w:rsidR="001C768C" w:rsidRPr="00160E6A" w:rsidRDefault="001C768C" w:rsidP="001C768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1</w:t>
      </w:r>
      <w:r w:rsidRPr="00160E6A">
        <w:rPr>
          <w:rFonts w:ascii="Times New Roman" w:hAnsi="Times New Roman"/>
          <w:b/>
          <w:u w:val="single"/>
        </w:rPr>
        <w:t>:</w:t>
      </w:r>
    </w:p>
    <w:p w14:paraId="5F681CE8" w14:textId="677D333F" w:rsidR="001C768C" w:rsidRPr="00160E6A" w:rsidRDefault="001C768C" w:rsidP="001C768C">
      <w:pPr>
        <w:pStyle w:val="PRRHeader"/>
        <w:widowControl w:val="0"/>
        <w:spacing w:after="100" w:afterAutospacing="1"/>
        <w:ind w:left="720" w:firstLine="0"/>
      </w:pPr>
      <w:r w:rsidRPr="00160E6A">
        <w:rPr>
          <w:lang w:val="en-US"/>
        </w:rPr>
        <w:t>NPRR</w:t>
      </w:r>
      <w:r>
        <w:rPr>
          <w:lang w:val="en-US"/>
        </w:rPr>
        <w:t>1199</w:t>
      </w:r>
      <w:r w:rsidRPr="00160E6A">
        <w:rPr>
          <w:lang w:val="en-US"/>
        </w:rPr>
        <w:t xml:space="preserve"> – </w:t>
      </w:r>
      <w:r w:rsidRPr="003707CF">
        <w:t>Implementation of Lone Star Infrastructure Protection Act (LSIPA) Requirements</w:t>
      </w:r>
    </w:p>
    <w:p w14:paraId="3829DD74" w14:textId="70FB6A17" w:rsidR="001C768C" w:rsidRPr="00160E6A" w:rsidRDefault="001C768C" w:rsidP="001C768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1C768C">
        <w:rPr>
          <w:b w:val="0"/>
          <w:lang w:val="en-US"/>
        </w:rPr>
        <w:t>revises the Protocols to reflect new requirements added to the LSIPA as part of Senate Bill (SB) 2013 during the 88th regular legislative session.</w:t>
      </w:r>
    </w:p>
    <w:p w14:paraId="39217791" w14:textId="7F022F8B" w:rsidR="001C768C" w:rsidRDefault="001C768C" w:rsidP="001C768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1.3.2.1</w:t>
      </w:r>
    </w:p>
    <w:p w14:paraId="185A1F8B" w14:textId="3B55867B" w:rsidR="00ED5151" w:rsidRPr="00160E6A" w:rsidRDefault="00ED5151" w:rsidP="00ED5151">
      <w:pPr>
        <w:pStyle w:val="PRRHeader"/>
        <w:widowControl w:val="0"/>
        <w:spacing w:after="100" w:afterAutospacing="1"/>
        <w:ind w:left="720" w:firstLine="0"/>
      </w:pPr>
      <w:r w:rsidRPr="00160E6A">
        <w:rPr>
          <w:lang w:val="en-US"/>
        </w:rPr>
        <w:t>NPRR</w:t>
      </w:r>
      <w:r>
        <w:rPr>
          <w:lang w:val="en-US"/>
        </w:rPr>
        <w:t>1207</w:t>
      </w:r>
      <w:r w:rsidRPr="00160E6A">
        <w:rPr>
          <w:lang w:val="en-US"/>
        </w:rPr>
        <w:t xml:space="preserve"> – </w:t>
      </w:r>
      <w:r w:rsidRPr="00623E21">
        <w:t>Incidental Disclosure of Protected Information and ECEII During ERCOT Control Room Tours</w:t>
      </w:r>
    </w:p>
    <w:p w14:paraId="5478C607" w14:textId="7690C37A" w:rsidR="00ED5151" w:rsidRPr="00160E6A" w:rsidRDefault="00ED5151" w:rsidP="00ED5151">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ED5151">
        <w:rPr>
          <w:b w:val="0"/>
          <w:lang w:val="en-US"/>
        </w:rPr>
        <w:t xml:space="preserve">permits the incidental disclosure of Protected Information and ERCOT Critical Energy Infrastructure Information (ECEII) as part of a tour or overlook viewing of the ERCOT control room provided to eligible persons who, prior to accessing the control room, have signed nondisclosure agreements (“NDAs”) and complied with screening and other requirements provided in a policy adopted by ERCOT security.  The policy includes a prohibition on taking photographs and recordings of Protected Information and ECEII.  This NPRR also exempts ERCOT from the requirement to provide notice of disclosure when ECEII or Protected Information is incidentally disclosed as part of a Control Room tour or overlook viewing, consistent with the conditions described above.  This exception does not apply to a person who is a director, officer, employee, agent, representative, contractor, or consultant of a Market Participant that is registered with ERCOT as a Resource Entity, Qualified Scheduling Entity (QSE), Load Serving Entity (LSE), or Congestion Revenue Right (CRR) Account Holder.  </w:t>
      </w:r>
    </w:p>
    <w:p w14:paraId="537DB373" w14:textId="560EE9B9" w:rsidR="00ED5151" w:rsidRPr="00ED5151"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Pr>
          <w:lang w:val="en-US"/>
        </w:rPr>
        <w:t>s</w:t>
      </w:r>
      <w:r w:rsidRPr="00160E6A">
        <w:t>:</w:t>
      </w:r>
      <w:r w:rsidRPr="00160E6A">
        <w:rPr>
          <w:lang w:val="en-US"/>
        </w:rPr>
        <w:t xml:space="preserve">  </w:t>
      </w:r>
      <w:r w:rsidRPr="00ED5151">
        <w:rPr>
          <w:lang w:val="en-US"/>
        </w:rPr>
        <w:t>1.3.5 and 1.3.6</w:t>
      </w:r>
    </w:p>
    <w:p w14:paraId="4E7F6AF6" w14:textId="191ECD97" w:rsidR="00EC2299" w:rsidRPr="00160E6A" w:rsidRDefault="00EC2299" w:rsidP="00EC2299">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sidR="00DB659C">
        <w:rPr>
          <w:rFonts w:ascii="Times New Roman" w:hAnsi="Times New Roman"/>
          <w:b/>
          <w:u w:val="single"/>
        </w:rPr>
        <w:t>2</w:t>
      </w:r>
      <w:r w:rsidRPr="00160E6A">
        <w:rPr>
          <w:rFonts w:ascii="Times New Roman" w:hAnsi="Times New Roman"/>
          <w:b/>
          <w:u w:val="single"/>
        </w:rPr>
        <w:t>:</w:t>
      </w:r>
    </w:p>
    <w:p w14:paraId="0C2C7ECA" w14:textId="4302D9A2" w:rsidR="005327F0" w:rsidRPr="00160E6A" w:rsidRDefault="005327F0" w:rsidP="005327F0">
      <w:pPr>
        <w:pStyle w:val="PRRHeader"/>
        <w:widowControl w:val="0"/>
        <w:spacing w:after="100" w:afterAutospacing="1"/>
        <w:ind w:left="720" w:firstLine="0"/>
      </w:pPr>
      <w:r w:rsidRPr="00160E6A">
        <w:rPr>
          <w:lang w:val="en-US"/>
        </w:rPr>
        <w:t>NPRR</w:t>
      </w:r>
      <w:r w:rsidR="001C768C">
        <w:rPr>
          <w:lang w:val="en-US"/>
        </w:rPr>
        <w:t>1186</w:t>
      </w:r>
      <w:r w:rsidRPr="00160E6A">
        <w:rPr>
          <w:lang w:val="en-US"/>
        </w:rPr>
        <w:t xml:space="preserve"> – </w:t>
      </w:r>
      <w:r w:rsidR="001C768C" w:rsidRPr="001C768C">
        <w:rPr>
          <w:lang w:val="en-US"/>
        </w:rPr>
        <w:t>Improvements Prior to the RTC+B Project for Better ESR State of Charge Awareness, Accounting, and Monitoring</w:t>
      </w:r>
    </w:p>
    <w:p w14:paraId="2208C24F" w14:textId="36CF46F7" w:rsidR="005327F0" w:rsidRPr="00160E6A" w:rsidRDefault="005327F0" w:rsidP="005327F0">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001C768C" w:rsidRPr="001C768C">
        <w:rPr>
          <w:b w:val="0"/>
          <w:lang w:val="en-US"/>
        </w:rPr>
        <w:t xml:space="preserve">improves the awareness, accounting, and monitoring of the State of Charge (SOC) for an Energy Storage Resource (ESR).  This NPRR is for the interim period which is described as the </w:t>
      </w:r>
      <w:proofErr w:type="gramStart"/>
      <w:r w:rsidR="001C768C" w:rsidRPr="001C768C">
        <w:rPr>
          <w:b w:val="0"/>
          <w:lang w:val="en-US"/>
        </w:rPr>
        <w:t>time period</w:t>
      </w:r>
      <w:proofErr w:type="gramEnd"/>
      <w:r w:rsidR="001C768C" w:rsidRPr="001C768C">
        <w:rPr>
          <w:b w:val="0"/>
          <w:lang w:val="en-US"/>
        </w:rPr>
        <w:t xml:space="preserve"> before the Real-Time Co-</w:t>
      </w:r>
      <w:r w:rsidR="00CF2382">
        <w:rPr>
          <w:b w:val="0"/>
          <w:lang w:val="en-US"/>
        </w:rPr>
        <w:t>O</w:t>
      </w:r>
      <w:r w:rsidR="00CF2382" w:rsidRPr="001C768C">
        <w:rPr>
          <w:b w:val="0"/>
          <w:lang w:val="en-US"/>
        </w:rPr>
        <w:t xml:space="preserve">ptimization </w:t>
      </w:r>
      <w:r w:rsidR="001C768C" w:rsidRPr="001C768C">
        <w:rPr>
          <w:b w:val="0"/>
          <w:lang w:val="en-US"/>
        </w:rPr>
        <w:t>(RTC) &amp; Single-Model ESR (“RTC+B”) project goes live</w:t>
      </w:r>
      <w:r w:rsidR="004F6A04">
        <w:rPr>
          <w:b w:val="0"/>
          <w:lang w:val="en-US"/>
        </w:rPr>
        <w:t xml:space="preserve">; and is </w:t>
      </w:r>
      <w:r w:rsidR="001C768C" w:rsidRPr="001C768C">
        <w:rPr>
          <w:b w:val="0"/>
          <w:lang w:val="en-US"/>
        </w:rPr>
        <w:t>aimed to strategically improve SOC awareness, accounting, and monitoring with minimal system changes so that the improvements can be in place while the RTC+B project is completed.</w:t>
      </w:r>
    </w:p>
    <w:p w14:paraId="451309A5" w14:textId="3E021D32" w:rsidR="005327F0" w:rsidRPr="00160E6A" w:rsidRDefault="005327F0" w:rsidP="005327F0">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001C768C">
        <w:rPr>
          <w:lang w:val="en-US"/>
        </w:rPr>
        <w:t>s</w:t>
      </w:r>
      <w:r w:rsidRPr="00160E6A">
        <w:t>:</w:t>
      </w:r>
      <w:r w:rsidRPr="00160E6A">
        <w:rPr>
          <w:lang w:val="en-US"/>
        </w:rPr>
        <w:t xml:space="preserve">  </w:t>
      </w:r>
      <w:r w:rsidR="00DB659C">
        <w:rPr>
          <w:lang w:val="en-US"/>
        </w:rPr>
        <w:t>2.1</w:t>
      </w:r>
      <w:r w:rsidR="001C768C">
        <w:rPr>
          <w:lang w:val="en-US"/>
        </w:rPr>
        <w:t xml:space="preserve"> [effective upon system implementation] and 2.2 </w:t>
      </w:r>
    </w:p>
    <w:p w14:paraId="24172567" w14:textId="77777777" w:rsidR="00ED5151" w:rsidRPr="00160E6A" w:rsidRDefault="00ED5151" w:rsidP="00ED5151">
      <w:pPr>
        <w:pStyle w:val="PRRHeader"/>
        <w:widowControl w:val="0"/>
        <w:spacing w:after="100" w:afterAutospacing="1"/>
        <w:ind w:left="720" w:firstLine="0"/>
      </w:pPr>
      <w:r w:rsidRPr="00160E6A">
        <w:rPr>
          <w:lang w:val="en-US"/>
        </w:rPr>
        <w:t>NPRR</w:t>
      </w:r>
      <w:r>
        <w:rPr>
          <w:lang w:val="en-US"/>
        </w:rPr>
        <w:t>1199</w:t>
      </w:r>
      <w:r w:rsidRPr="00160E6A">
        <w:rPr>
          <w:lang w:val="en-US"/>
        </w:rPr>
        <w:t xml:space="preserve"> – </w:t>
      </w:r>
      <w:r w:rsidRPr="003707CF">
        <w:t xml:space="preserve">Implementation of Lone Star Infrastructure Protection Act (LSIPA) </w:t>
      </w:r>
      <w:r w:rsidRPr="003707CF">
        <w:lastRenderedPageBreak/>
        <w:t>Requirements</w:t>
      </w:r>
    </w:p>
    <w:p w14:paraId="52E9D196" w14:textId="31B056DC"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1</w:t>
      </w:r>
      <w:r w:rsidRPr="00160E6A">
        <w:rPr>
          <w:b w:val="0"/>
          <w:i/>
          <w:lang w:val="en-US"/>
        </w:rPr>
        <w:t xml:space="preserve"> above.</w:t>
      </w:r>
    </w:p>
    <w:p w14:paraId="6F1A3EDB" w14:textId="653CB986" w:rsidR="00ED5151" w:rsidRPr="00ED5151" w:rsidRDefault="00ED5151" w:rsidP="00ED5151">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Pr>
          <w:lang w:val="en-US"/>
        </w:rPr>
        <w:t>2.1 and 2.2</w:t>
      </w:r>
    </w:p>
    <w:p w14:paraId="6AAE2EAA" w14:textId="2C33886F" w:rsidR="00ED5151" w:rsidRPr="00160E6A" w:rsidRDefault="00ED5151" w:rsidP="00ED5151">
      <w:pPr>
        <w:pStyle w:val="PRRHeader"/>
        <w:widowControl w:val="0"/>
        <w:spacing w:after="100" w:afterAutospacing="1"/>
        <w:ind w:left="720" w:firstLine="0"/>
      </w:pPr>
      <w:r w:rsidRPr="00160E6A">
        <w:rPr>
          <w:lang w:val="en-US"/>
        </w:rPr>
        <w:t>NPRR</w:t>
      </w:r>
      <w:r>
        <w:rPr>
          <w:lang w:val="en-US"/>
        </w:rPr>
        <w:t>1206</w:t>
      </w:r>
      <w:r w:rsidRPr="00160E6A">
        <w:rPr>
          <w:lang w:val="en-US"/>
        </w:rPr>
        <w:t xml:space="preserve"> – </w:t>
      </w:r>
      <w:r w:rsidRPr="009D2FE6">
        <w:t>Revisions to QSE Operations and Termination Requirements, and Elimination of Providing Certain Market Participant Principal Information</w:t>
      </w:r>
    </w:p>
    <w:p w14:paraId="37412432" w14:textId="259D8C6D" w:rsidR="00ED5151" w:rsidRPr="00160E6A" w:rsidRDefault="00ED5151" w:rsidP="00ED5151">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ED5151">
        <w:rPr>
          <w:b w:val="0"/>
          <w:lang w:val="en-US"/>
        </w:rPr>
        <w:t>clarifies the types of Qualified Scheduling Entities (QSEs) required to have a Hotline and a 24-hour, seven-day-per-week (24x7) control or operations center.  This NPRR also reconciles: (1) the deadline by which QSEs representing Resource Entities that own or control Resources must provide notice that they are terminating their representation; and (2) the deadline for Resource Entities that own or control Resources to change QSEs by proposing a 45-day timeline by which a QSE representing a Resource must give notice of the effective Termination Date, and clarifies that the Resource Entity’s change in QSE designation takes 45 days to become effective in the Network Operations Model.  In addition, this NPRR also eliminates the requirement to provide certain unnecessary Market Participant Principal information.  Finally, this NPRR delet</w:t>
      </w:r>
      <w:r>
        <w:rPr>
          <w:b w:val="0"/>
          <w:lang w:val="en-US"/>
        </w:rPr>
        <w:t>es</w:t>
      </w:r>
      <w:r w:rsidRPr="00ED5151">
        <w:rPr>
          <w:b w:val="0"/>
          <w:lang w:val="en-US"/>
        </w:rPr>
        <w:t xml:space="preserve"> duplicative language concerning the authority of a registered Data Agent-Only QSE, and further phases out acceptance of paper checks and the use of communication via fax.</w:t>
      </w:r>
    </w:p>
    <w:p w14:paraId="59167658" w14:textId="64F62817" w:rsidR="00ED5151" w:rsidRPr="00160E6A"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 xml:space="preserve">2.1 </w:t>
      </w:r>
    </w:p>
    <w:p w14:paraId="736F010C" w14:textId="5E42CC8C" w:rsidR="000D26EB" w:rsidRPr="007B7D95" w:rsidRDefault="000D26EB" w:rsidP="000D26EB">
      <w:pPr>
        <w:pStyle w:val="NormalArial"/>
        <w:widowControl w:val="0"/>
        <w:spacing w:after="100" w:afterAutospacing="1"/>
        <w:outlineLvl w:val="0"/>
        <w:rPr>
          <w:rFonts w:ascii="Times New Roman" w:hAnsi="Times New Roman"/>
          <w:b/>
          <w:u w:val="single"/>
        </w:rPr>
      </w:pPr>
      <w:r w:rsidRPr="007B7D95">
        <w:rPr>
          <w:rFonts w:ascii="Times New Roman" w:hAnsi="Times New Roman"/>
          <w:b/>
          <w:u w:val="single"/>
        </w:rPr>
        <w:t xml:space="preserve">Section </w:t>
      </w:r>
      <w:r w:rsidR="00DB659C">
        <w:rPr>
          <w:rFonts w:ascii="Times New Roman" w:hAnsi="Times New Roman"/>
          <w:b/>
          <w:u w:val="single"/>
        </w:rPr>
        <w:t>3</w:t>
      </w:r>
      <w:r w:rsidRPr="007B7D95">
        <w:rPr>
          <w:rFonts w:ascii="Times New Roman" w:hAnsi="Times New Roman"/>
          <w:b/>
          <w:u w:val="single"/>
        </w:rPr>
        <w:t>:</w:t>
      </w:r>
    </w:p>
    <w:p w14:paraId="580F9613" w14:textId="77777777" w:rsidR="001C768C" w:rsidRPr="00160E6A" w:rsidRDefault="001C768C" w:rsidP="001C768C">
      <w:pPr>
        <w:pStyle w:val="PRRHeader"/>
        <w:widowControl w:val="0"/>
        <w:spacing w:after="100" w:afterAutospacing="1"/>
        <w:ind w:left="720" w:firstLine="0"/>
      </w:pPr>
      <w:r w:rsidRPr="00160E6A">
        <w:rPr>
          <w:lang w:val="en-US"/>
        </w:rPr>
        <w:t>NPRR</w:t>
      </w:r>
      <w:r>
        <w:rPr>
          <w:lang w:val="en-US"/>
        </w:rPr>
        <w:t>1170</w:t>
      </w:r>
      <w:r w:rsidRPr="00160E6A">
        <w:rPr>
          <w:lang w:val="en-US"/>
        </w:rPr>
        <w:t xml:space="preserve"> – </w:t>
      </w:r>
      <w:r w:rsidRPr="008F0E5E">
        <w:t>Submission of Gas Supply Disruption</w:t>
      </w:r>
    </w:p>
    <w:p w14:paraId="68FD4E43" w14:textId="77777777" w:rsidR="001C768C" w:rsidRPr="00160E6A" w:rsidRDefault="001C768C" w:rsidP="001C768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1C768C">
        <w:rPr>
          <w:b w:val="0"/>
          <w:lang w:val="en-US"/>
        </w:rPr>
        <w:t>defines the instances in which a Qualified Scheduling Entity (QSE) that represents a Generation Resource that relies on natural gas as the primary fuel source should notify ERCOT about disruptions to the Resource’s gas supply.</w:t>
      </w:r>
    </w:p>
    <w:p w14:paraId="58B047BD" w14:textId="76333BE2" w:rsidR="001C768C" w:rsidRPr="00160E6A" w:rsidRDefault="001C768C" w:rsidP="001C768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3.2</w:t>
      </w:r>
      <w:r w:rsidR="005037A4">
        <w:rPr>
          <w:lang w:val="en-US"/>
        </w:rPr>
        <w:t>5</w:t>
      </w:r>
      <w:r>
        <w:rPr>
          <w:lang w:val="en-US"/>
        </w:rPr>
        <w:t xml:space="preserve"> (new)</w:t>
      </w:r>
    </w:p>
    <w:p w14:paraId="1DD45A62" w14:textId="77777777" w:rsidR="001C768C" w:rsidRPr="00160E6A" w:rsidRDefault="001C768C" w:rsidP="001C768C">
      <w:pPr>
        <w:pStyle w:val="PRRHeader"/>
        <w:widowControl w:val="0"/>
        <w:spacing w:after="100" w:afterAutospacing="1"/>
        <w:ind w:left="720" w:firstLine="0"/>
      </w:pPr>
      <w:r w:rsidRPr="00160E6A">
        <w:rPr>
          <w:lang w:val="en-US"/>
        </w:rPr>
        <w:t>NPRR</w:t>
      </w:r>
      <w:r>
        <w:rPr>
          <w:lang w:val="en-US"/>
        </w:rPr>
        <w:t>1186</w:t>
      </w:r>
      <w:r w:rsidRPr="00160E6A">
        <w:rPr>
          <w:lang w:val="en-US"/>
        </w:rPr>
        <w:t xml:space="preserve"> – </w:t>
      </w:r>
      <w:r w:rsidRPr="001C768C">
        <w:rPr>
          <w:lang w:val="en-US"/>
        </w:rPr>
        <w:t>Improvements Prior to the RTC+B Project for Better ESR State of Charge Awareness, Accounting, and Monitoring</w:t>
      </w:r>
    </w:p>
    <w:p w14:paraId="4C406CA8" w14:textId="59694237" w:rsidR="00DB659C" w:rsidRPr="00160E6A" w:rsidRDefault="00DB659C" w:rsidP="00DB659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5E953D8C" w14:textId="3D1B5F5B" w:rsidR="00DB659C" w:rsidRDefault="00DB659C" w:rsidP="00DB659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sidR="001C768C" w:rsidRPr="001C768C">
        <w:t xml:space="preserve">3.8.1 and 3.9.1 </w:t>
      </w:r>
      <w:r w:rsidR="001C768C">
        <w:rPr>
          <w:lang w:val="en-US"/>
        </w:rPr>
        <w:t>[effective upon system implementation]</w:t>
      </w:r>
    </w:p>
    <w:p w14:paraId="18E63696" w14:textId="7DF869A9" w:rsidR="00ED5151" w:rsidRPr="00160E6A" w:rsidRDefault="00ED5151" w:rsidP="00ED5151">
      <w:pPr>
        <w:pStyle w:val="PRRHeader"/>
        <w:widowControl w:val="0"/>
        <w:spacing w:after="100" w:afterAutospacing="1"/>
        <w:ind w:left="720" w:firstLine="0"/>
      </w:pPr>
      <w:r w:rsidRPr="00160E6A">
        <w:rPr>
          <w:lang w:val="en-US"/>
        </w:rPr>
        <w:t>NPRR</w:t>
      </w:r>
      <w:r>
        <w:rPr>
          <w:lang w:val="en-US"/>
        </w:rPr>
        <w:t>1</w:t>
      </w:r>
      <w:r w:rsidR="00B74024">
        <w:rPr>
          <w:lang w:val="en-US"/>
        </w:rPr>
        <w:t>213</w:t>
      </w:r>
      <w:r w:rsidRPr="00160E6A">
        <w:rPr>
          <w:lang w:val="en-US"/>
        </w:rPr>
        <w:t xml:space="preserve"> – </w:t>
      </w:r>
      <w:r w:rsidR="00B74024" w:rsidRPr="00D531A4">
        <w:t>Allow DGRs and DESRs on Circuits Subject to Load Shed to Provide ECRS and Clarify Language Regarding DGRs and DESRs Providing Non-Spin</w:t>
      </w:r>
    </w:p>
    <w:p w14:paraId="52C8C633" w14:textId="70904E7D" w:rsidR="00ED5151" w:rsidRPr="00160E6A" w:rsidRDefault="00ED5151" w:rsidP="00ED5151">
      <w:pPr>
        <w:pStyle w:val="PRRHeader"/>
        <w:widowControl w:val="0"/>
        <w:spacing w:after="100" w:afterAutospacing="1"/>
        <w:ind w:left="1152" w:firstLine="0"/>
        <w:rPr>
          <w:b w:val="0"/>
          <w:lang w:val="en-US"/>
        </w:rPr>
      </w:pPr>
      <w:r w:rsidRPr="00160E6A">
        <w:rPr>
          <w:b w:val="0"/>
          <w:lang w:val="en-US"/>
        </w:rPr>
        <w:lastRenderedPageBreak/>
        <w:t xml:space="preserve">This Nodal Protocol Revision Request (NPRR) </w:t>
      </w:r>
      <w:r w:rsidR="00B74024" w:rsidRPr="00B74024">
        <w:rPr>
          <w:b w:val="0"/>
          <w:lang w:val="en-US"/>
        </w:rPr>
        <w:t>amends requirements for Distribution Generation Resources (DGRs) and Distribution Energy Storage Resources (DESRs) that are seeking qualification to provide ERCOT Contingency Reserve Service (ECRS), as follows: Paragraph (1)(c) of Section 3.8.6</w:t>
      </w:r>
      <w:r w:rsidR="00BD0C86">
        <w:rPr>
          <w:b w:val="0"/>
          <w:lang w:val="en-US"/>
        </w:rPr>
        <w:t xml:space="preserve">, </w:t>
      </w:r>
      <w:r w:rsidR="00BD0C86" w:rsidRPr="00BD0C86">
        <w:rPr>
          <w:b w:val="0"/>
          <w:lang w:val="en-US"/>
        </w:rPr>
        <w:t>Distribution Generation Resources (DGRs) and Distribution Energy Storage Resources (DESRs)</w:t>
      </w:r>
      <w:r w:rsidR="00BD0C86">
        <w:rPr>
          <w:b w:val="0"/>
          <w:lang w:val="en-US"/>
        </w:rPr>
        <w:t>,</w:t>
      </w:r>
      <w:r w:rsidR="00B74024" w:rsidRPr="00B74024">
        <w:rPr>
          <w:b w:val="0"/>
          <w:lang w:val="en-US"/>
        </w:rPr>
        <w:t xml:space="preserve"> allows for DGRs and DESRs on circuits subject to disconnection during Load shed events to provide ECRS; and Section 3.16</w:t>
      </w:r>
      <w:r w:rsidR="00521545">
        <w:rPr>
          <w:b w:val="0"/>
          <w:lang w:val="en-US"/>
        </w:rPr>
        <w:t xml:space="preserve">, </w:t>
      </w:r>
      <w:r w:rsidR="00521545" w:rsidRPr="00521545">
        <w:rPr>
          <w:b w:val="0"/>
          <w:lang w:val="en-US"/>
        </w:rPr>
        <w:t>Standards for Determining Ancillary Service Quantities</w:t>
      </w:r>
      <w:r w:rsidR="00521545">
        <w:rPr>
          <w:b w:val="0"/>
          <w:lang w:val="en-US"/>
        </w:rPr>
        <w:t>,</w:t>
      </w:r>
      <w:r w:rsidR="00B74024" w:rsidRPr="00B74024">
        <w:rPr>
          <w:b w:val="0"/>
          <w:lang w:val="en-US"/>
        </w:rPr>
        <w:t xml:space="preserve"> recognizes that ERCOT will establish limits on ECRS, which may be provided by DGRs and DESRs on circuits subject to disconnection during Load shed events.  This NPRR also modifies requirements for Ancillary Service self-arrangement and Ancillary Service Trades for DGRs and DESRs on circuits subject to Load shed that provide Non-Spinning Reserve (Non-Spin).</w:t>
      </w:r>
    </w:p>
    <w:p w14:paraId="7B6864B8" w14:textId="0B0C3E65" w:rsidR="00ED5151" w:rsidRPr="00ED5151"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Subsectio</w:t>
      </w:r>
      <w:r>
        <w:rPr>
          <w:lang w:val="en-US"/>
        </w:rPr>
        <w:t>ns:  3.8.6 and 3.16 [</w:t>
      </w:r>
      <w:r w:rsidRPr="00ED5151">
        <w:rPr>
          <w:lang w:val="en-US"/>
        </w:rPr>
        <w:t>effective upon system implementation and upon system implementation of NPRR1171</w:t>
      </w:r>
      <w:r>
        <w:rPr>
          <w:lang w:val="en-US"/>
        </w:rPr>
        <w:t>]</w:t>
      </w:r>
    </w:p>
    <w:p w14:paraId="4DDA8FB2" w14:textId="1C176F94" w:rsidR="001C768C" w:rsidRPr="00160E6A" w:rsidRDefault="001C768C" w:rsidP="001C768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4</w:t>
      </w:r>
      <w:r w:rsidRPr="00160E6A">
        <w:rPr>
          <w:rFonts w:ascii="Times New Roman" w:hAnsi="Times New Roman"/>
          <w:b/>
          <w:u w:val="single"/>
        </w:rPr>
        <w:t>:</w:t>
      </w:r>
    </w:p>
    <w:p w14:paraId="467E27EC" w14:textId="60263998" w:rsidR="00ED5151" w:rsidRPr="00160E6A" w:rsidRDefault="00ED5151" w:rsidP="00ED5151">
      <w:pPr>
        <w:pStyle w:val="PRRHeader"/>
        <w:widowControl w:val="0"/>
        <w:spacing w:after="100" w:afterAutospacing="1"/>
        <w:ind w:left="720" w:firstLine="0"/>
      </w:pPr>
      <w:r w:rsidRPr="00160E6A">
        <w:rPr>
          <w:lang w:val="en-US"/>
        </w:rPr>
        <w:t>NPRR</w:t>
      </w:r>
      <w:r>
        <w:rPr>
          <w:lang w:val="en-US"/>
        </w:rPr>
        <w:t>1211</w:t>
      </w:r>
      <w:r w:rsidRPr="00160E6A">
        <w:rPr>
          <w:lang w:val="en-US"/>
        </w:rPr>
        <w:t xml:space="preserve"> – </w:t>
      </w:r>
      <w:r w:rsidRPr="00D531A4">
        <w:t>Move OBD to Section 22 – Methodology for Setting Maximum Shadow Prices for Network and Power Balance Constraints</w:t>
      </w:r>
    </w:p>
    <w:p w14:paraId="70CE6E7C" w14:textId="438745DD" w:rsidR="00ED5151" w:rsidRPr="00160E6A" w:rsidRDefault="00ED5151" w:rsidP="00ED5151">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ED5151">
        <w:rPr>
          <w:b w:val="0"/>
          <w:lang w:val="en-US"/>
        </w:rPr>
        <w:t>incorporates the Other Binding Document “Methodology for Setting Maximum Shadow Prices for Network and Power Balance Constraints” into the Protocols.</w:t>
      </w:r>
    </w:p>
    <w:p w14:paraId="3A717E83" w14:textId="4D591F2C" w:rsidR="00ED5151" w:rsidRPr="00160E6A"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4.5.1</w:t>
      </w:r>
    </w:p>
    <w:p w14:paraId="39D81AA9" w14:textId="77777777" w:rsidR="00B74024" w:rsidRPr="00160E6A" w:rsidRDefault="00B74024" w:rsidP="00B74024">
      <w:pPr>
        <w:pStyle w:val="PRRHeader"/>
        <w:widowControl w:val="0"/>
        <w:spacing w:after="100" w:afterAutospacing="1"/>
        <w:ind w:left="720" w:firstLine="0"/>
      </w:pPr>
      <w:r w:rsidRPr="00160E6A">
        <w:rPr>
          <w:lang w:val="en-US"/>
        </w:rPr>
        <w:t>NPRR</w:t>
      </w:r>
      <w:r>
        <w:rPr>
          <w:lang w:val="en-US"/>
        </w:rPr>
        <w:t>1213</w:t>
      </w:r>
      <w:r w:rsidRPr="00160E6A">
        <w:rPr>
          <w:lang w:val="en-US"/>
        </w:rPr>
        <w:t xml:space="preserve"> – </w:t>
      </w:r>
      <w:r w:rsidRPr="00D531A4">
        <w:t>Allow DGRs and DESRs on Circuits Subject to Load Shed to Provide ECRS and Clarify Language Regarding DGRs and DESRs Providing Non-Spin</w:t>
      </w:r>
    </w:p>
    <w:p w14:paraId="1AF35A60" w14:textId="74E391E5" w:rsidR="00B74024" w:rsidRPr="00160E6A" w:rsidRDefault="00B74024" w:rsidP="00B74024">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3</w:t>
      </w:r>
      <w:r w:rsidRPr="00160E6A">
        <w:rPr>
          <w:b w:val="0"/>
          <w:i/>
          <w:lang w:val="en-US"/>
        </w:rPr>
        <w:t xml:space="preserve"> above.</w:t>
      </w:r>
    </w:p>
    <w:p w14:paraId="7CFF63CC" w14:textId="30D5A5FC" w:rsidR="00B74024" w:rsidRPr="00ED5151" w:rsidRDefault="00B74024" w:rsidP="00B74024">
      <w:pPr>
        <w:pStyle w:val="PRRHeader"/>
        <w:widowControl w:val="0"/>
        <w:spacing w:after="100" w:afterAutospacing="1"/>
        <w:ind w:left="720" w:firstLine="0"/>
        <w:rPr>
          <w:lang w:val="en-US"/>
        </w:rPr>
      </w:pPr>
      <w:r w:rsidRPr="00160E6A">
        <w:rPr>
          <w:rFonts w:cs="Arial"/>
          <w:bCs w:val="0"/>
          <w:szCs w:val="20"/>
        </w:rPr>
        <w:t>Revised</w:t>
      </w:r>
      <w:r w:rsidRPr="00160E6A">
        <w:t xml:space="preserve"> Subsectio</w:t>
      </w:r>
      <w:r>
        <w:rPr>
          <w:lang w:val="en-US"/>
        </w:rPr>
        <w:t xml:space="preserve">ns:  </w:t>
      </w:r>
      <w:r>
        <w:t>4.4.7.1, 4.4.7.1.1, 4.4.7.3, and 4.4.7.3.1</w:t>
      </w:r>
      <w:r>
        <w:rPr>
          <w:lang w:val="en-US"/>
        </w:rPr>
        <w:t xml:space="preserve"> [</w:t>
      </w:r>
      <w:r w:rsidRPr="00ED5151">
        <w:rPr>
          <w:lang w:val="en-US"/>
        </w:rPr>
        <w:t>effective upon system implementation and upon system implementation of NPRR1171</w:t>
      </w:r>
      <w:r>
        <w:rPr>
          <w:lang w:val="en-US"/>
        </w:rPr>
        <w:t>]</w:t>
      </w:r>
    </w:p>
    <w:p w14:paraId="54C778AE" w14:textId="516415FA" w:rsidR="001C768C" w:rsidRPr="00160E6A" w:rsidRDefault="001C768C" w:rsidP="001C768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5</w:t>
      </w:r>
      <w:r w:rsidRPr="00160E6A">
        <w:rPr>
          <w:rFonts w:ascii="Times New Roman" w:hAnsi="Times New Roman"/>
          <w:b/>
          <w:u w:val="single"/>
        </w:rPr>
        <w:t>:</w:t>
      </w:r>
    </w:p>
    <w:p w14:paraId="17E1CA27" w14:textId="77777777" w:rsidR="001C768C" w:rsidRPr="00160E6A" w:rsidRDefault="001C768C" w:rsidP="001C768C">
      <w:pPr>
        <w:pStyle w:val="PRRHeader"/>
        <w:widowControl w:val="0"/>
        <w:spacing w:after="100" w:afterAutospacing="1"/>
        <w:ind w:left="720" w:firstLine="0"/>
      </w:pPr>
      <w:r w:rsidRPr="00160E6A">
        <w:rPr>
          <w:lang w:val="en-US"/>
        </w:rPr>
        <w:t>NPRR</w:t>
      </w:r>
      <w:r>
        <w:rPr>
          <w:lang w:val="en-US"/>
        </w:rPr>
        <w:t>1186</w:t>
      </w:r>
      <w:r w:rsidRPr="00160E6A">
        <w:rPr>
          <w:lang w:val="en-US"/>
        </w:rPr>
        <w:t xml:space="preserve"> – </w:t>
      </w:r>
      <w:r w:rsidRPr="001C768C">
        <w:rPr>
          <w:lang w:val="en-US"/>
        </w:rPr>
        <w:t>Improvements Prior to the RTC+B Project for Better ESR State of Charge Awareness, Accounting, and Monitoring</w:t>
      </w:r>
    </w:p>
    <w:p w14:paraId="4C14F24A" w14:textId="77777777" w:rsidR="001C768C" w:rsidRPr="00160E6A" w:rsidRDefault="001C768C" w:rsidP="001C768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5A9FDC98" w14:textId="6F0D26E3" w:rsidR="001C768C" w:rsidRDefault="001C768C" w:rsidP="001C768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sidRPr="00BB0B44">
        <w:t>:</w:t>
      </w:r>
      <w:r w:rsidRPr="00BB0B44">
        <w:rPr>
          <w:lang w:val="en-US"/>
        </w:rPr>
        <w:t xml:space="preserve">  </w:t>
      </w:r>
      <w:r>
        <w:rPr>
          <w:lang w:val="en-US"/>
        </w:rPr>
        <w:t>5.5.2</w:t>
      </w:r>
      <w:r w:rsidRPr="001C768C">
        <w:t xml:space="preserve"> </w:t>
      </w:r>
      <w:r>
        <w:rPr>
          <w:lang w:val="en-US"/>
        </w:rPr>
        <w:t>[effective upon system implementation]</w:t>
      </w:r>
    </w:p>
    <w:p w14:paraId="24929299" w14:textId="3CAFDBC8" w:rsidR="00DB659C" w:rsidRPr="007B7D95" w:rsidRDefault="00DB659C" w:rsidP="00DB659C">
      <w:pPr>
        <w:pStyle w:val="NormalArial"/>
        <w:widowControl w:val="0"/>
        <w:spacing w:after="100" w:afterAutospacing="1"/>
        <w:outlineLvl w:val="0"/>
        <w:rPr>
          <w:rFonts w:ascii="Times New Roman" w:hAnsi="Times New Roman"/>
          <w:b/>
          <w:u w:val="single"/>
        </w:rPr>
      </w:pPr>
      <w:r w:rsidRPr="007B7D95">
        <w:rPr>
          <w:rFonts w:ascii="Times New Roman" w:hAnsi="Times New Roman"/>
          <w:b/>
          <w:u w:val="single"/>
        </w:rPr>
        <w:t xml:space="preserve">Section </w:t>
      </w:r>
      <w:r>
        <w:rPr>
          <w:rFonts w:ascii="Times New Roman" w:hAnsi="Times New Roman"/>
          <w:b/>
          <w:u w:val="single"/>
        </w:rPr>
        <w:t>6</w:t>
      </w:r>
      <w:r w:rsidRPr="007B7D95">
        <w:rPr>
          <w:rFonts w:ascii="Times New Roman" w:hAnsi="Times New Roman"/>
          <w:b/>
          <w:u w:val="single"/>
        </w:rPr>
        <w:t>:</w:t>
      </w:r>
    </w:p>
    <w:p w14:paraId="41DE99A5" w14:textId="77777777" w:rsidR="001C768C" w:rsidRPr="00160E6A" w:rsidRDefault="001C768C" w:rsidP="001C768C">
      <w:pPr>
        <w:pStyle w:val="PRRHeader"/>
        <w:widowControl w:val="0"/>
        <w:spacing w:after="100" w:afterAutospacing="1"/>
        <w:ind w:left="720" w:firstLine="0"/>
      </w:pPr>
      <w:r w:rsidRPr="00160E6A">
        <w:rPr>
          <w:lang w:val="en-US"/>
        </w:rPr>
        <w:t>NPRR</w:t>
      </w:r>
      <w:r>
        <w:rPr>
          <w:lang w:val="en-US"/>
        </w:rPr>
        <w:t>1186</w:t>
      </w:r>
      <w:r w:rsidRPr="00160E6A">
        <w:rPr>
          <w:lang w:val="en-US"/>
        </w:rPr>
        <w:t xml:space="preserve"> – </w:t>
      </w:r>
      <w:r w:rsidRPr="001C768C">
        <w:rPr>
          <w:lang w:val="en-US"/>
        </w:rPr>
        <w:t xml:space="preserve">Improvements Prior to the RTC+B Project for Better ESR State of </w:t>
      </w:r>
      <w:r w:rsidRPr="001C768C">
        <w:rPr>
          <w:lang w:val="en-US"/>
        </w:rPr>
        <w:lastRenderedPageBreak/>
        <w:t>Charge Awareness, Accounting, and Monitoring</w:t>
      </w:r>
    </w:p>
    <w:p w14:paraId="13B93466" w14:textId="77777777" w:rsidR="001C768C" w:rsidRPr="00160E6A" w:rsidRDefault="001C768C" w:rsidP="001C768C">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431BDE48" w14:textId="43E50A8E" w:rsidR="001C768C" w:rsidRDefault="001C768C" w:rsidP="001C768C">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sidRPr="001C768C">
        <w:t xml:space="preserve">6.3.2, 6.5.5.2, and 6.5.7.2 </w:t>
      </w:r>
      <w:r>
        <w:rPr>
          <w:lang w:val="en-US"/>
        </w:rPr>
        <w:t>[effective upon system implementation]</w:t>
      </w:r>
    </w:p>
    <w:p w14:paraId="4EBEA361" w14:textId="77777777" w:rsidR="00ED5151" w:rsidRPr="00160E6A" w:rsidRDefault="00ED5151" w:rsidP="00ED5151">
      <w:pPr>
        <w:pStyle w:val="PRRHeader"/>
        <w:widowControl w:val="0"/>
        <w:spacing w:after="100" w:afterAutospacing="1"/>
        <w:ind w:left="720" w:firstLine="0"/>
      </w:pPr>
      <w:r w:rsidRPr="00160E6A">
        <w:rPr>
          <w:lang w:val="en-US"/>
        </w:rPr>
        <w:t>NPRR</w:t>
      </w:r>
      <w:r>
        <w:rPr>
          <w:lang w:val="en-US"/>
        </w:rPr>
        <w:t>1211</w:t>
      </w:r>
      <w:r w:rsidRPr="00160E6A">
        <w:rPr>
          <w:lang w:val="en-US"/>
        </w:rPr>
        <w:t xml:space="preserve"> – </w:t>
      </w:r>
      <w:r w:rsidRPr="00D531A4">
        <w:t>Move OBD to Section 22 – Methodology for Setting Maximum Shadow Prices for Network and Power Balance Constraints</w:t>
      </w:r>
    </w:p>
    <w:p w14:paraId="4D709D8C" w14:textId="10748B3F"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4</w:t>
      </w:r>
      <w:r w:rsidRPr="00160E6A">
        <w:rPr>
          <w:b w:val="0"/>
          <w:i/>
          <w:lang w:val="en-US"/>
        </w:rPr>
        <w:t xml:space="preserve"> above.</w:t>
      </w:r>
    </w:p>
    <w:p w14:paraId="35F8A913" w14:textId="73AA0E8E" w:rsidR="00ED5151" w:rsidRPr="00160E6A"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Pr>
          <w:lang w:val="en-US"/>
        </w:rPr>
        <w:t>s</w:t>
      </w:r>
      <w:r w:rsidRPr="00160E6A">
        <w:t>:</w:t>
      </w:r>
      <w:r w:rsidRPr="00160E6A">
        <w:rPr>
          <w:lang w:val="en-US"/>
        </w:rPr>
        <w:t xml:space="preserve">  </w:t>
      </w:r>
      <w:r>
        <w:t>6.4.9.2.2 and 6.5.7.1.11</w:t>
      </w:r>
    </w:p>
    <w:p w14:paraId="01F5FAC2" w14:textId="27707126" w:rsidR="00DB659C" w:rsidRPr="007B7D95" w:rsidRDefault="00DB659C" w:rsidP="00DB659C">
      <w:pPr>
        <w:pStyle w:val="NormalArial"/>
        <w:widowControl w:val="0"/>
        <w:spacing w:after="100" w:afterAutospacing="1"/>
        <w:outlineLvl w:val="0"/>
        <w:rPr>
          <w:rFonts w:ascii="Times New Roman" w:hAnsi="Times New Roman"/>
          <w:b/>
          <w:u w:val="single"/>
        </w:rPr>
      </w:pPr>
      <w:r w:rsidRPr="007B7D95">
        <w:rPr>
          <w:rFonts w:ascii="Times New Roman" w:hAnsi="Times New Roman"/>
          <w:b/>
          <w:u w:val="single"/>
        </w:rPr>
        <w:t xml:space="preserve">Section </w:t>
      </w:r>
      <w:r>
        <w:rPr>
          <w:rFonts w:ascii="Times New Roman" w:hAnsi="Times New Roman"/>
          <w:b/>
          <w:u w:val="single"/>
        </w:rPr>
        <w:t>8</w:t>
      </w:r>
      <w:r w:rsidRPr="007B7D95">
        <w:rPr>
          <w:rFonts w:ascii="Times New Roman" w:hAnsi="Times New Roman"/>
          <w:b/>
          <w:u w:val="single"/>
        </w:rPr>
        <w:t>:</w:t>
      </w:r>
    </w:p>
    <w:p w14:paraId="4C7C9400" w14:textId="07847D23" w:rsidR="00ED5151" w:rsidRPr="00160E6A" w:rsidRDefault="00ED5151" w:rsidP="00ED5151">
      <w:pPr>
        <w:pStyle w:val="PRRHeader"/>
        <w:widowControl w:val="0"/>
        <w:spacing w:after="100" w:afterAutospacing="1"/>
        <w:ind w:left="720" w:firstLine="0"/>
      </w:pPr>
      <w:r w:rsidRPr="00160E6A">
        <w:rPr>
          <w:lang w:val="en-US"/>
        </w:rPr>
        <w:t>NPRR</w:t>
      </w:r>
      <w:r>
        <w:rPr>
          <w:lang w:val="en-US"/>
        </w:rPr>
        <w:t>1210</w:t>
      </w:r>
      <w:r w:rsidRPr="00160E6A">
        <w:rPr>
          <w:lang w:val="en-US"/>
        </w:rPr>
        <w:t xml:space="preserve"> – </w:t>
      </w:r>
      <w:r w:rsidRPr="00576874">
        <w:t>Next Start Resource Test and Load-Carrying Test Frequency</w:t>
      </w:r>
    </w:p>
    <w:p w14:paraId="6246A687" w14:textId="023621C0" w:rsidR="00ED5151" w:rsidRPr="00160E6A" w:rsidRDefault="00ED5151" w:rsidP="00ED5151">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ED5151">
        <w:rPr>
          <w:b w:val="0"/>
          <w:lang w:val="en-US"/>
        </w:rPr>
        <w:t>changes the frequency of the Next Start Resource Test and the Load-Carrying Test respectively from once every five years to once every four calendar years.</w:t>
      </w:r>
    </w:p>
    <w:p w14:paraId="4B6F83C6" w14:textId="1F28B694" w:rsidR="00ED5151" w:rsidRPr="00160E6A"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sidRPr="00ED5151">
        <w:rPr>
          <w:lang w:val="en-US"/>
        </w:rPr>
        <w:t>8.1.1.2.1.5</w:t>
      </w:r>
    </w:p>
    <w:p w14:paraId="07AC04EB" w14:textId="1C065D78" w:rsidR="001C768C" w:rsidRDefault="001C768C" w:rsidP="001C768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Pr>
          <w:rFonts w:ascii="Times New Roman" w:hAnsi="Times New Roman"/>
          <w:b/>
          <w:u w:val="single"/>
        </w:rPr>
        <w:t>9</w:t>
      </w:r>
      <w:r w:rsidRPr="00160E6A">
        <w:rPr>
          <w:rFonts w:ascii="Times New Roman" w:hAnsi="Times New Roman"/>
          <w:b/>
          <w:u w:val="single"/>
        </w:rPr>
        <w:t>:</w:t>
      </w:r>
    </w:p>
    <w:p w14:paraId="4C1A55C8" w14:textId="2283AF7F" w:rsidR="001C768C" w:rsidRPr="00160E6A" w:rsidRDefault="001C768C" w:rsidP="001C768C">
      <w:pPr>
        <w:pStyle w:val="PRRHeader"/>
        <w:widowControl w:val="0"/>
        <w:spacing w:after="100" w:afterAutospacing="1"/>
        <w:ind w:left="720" w:firstLine="0"/>
      </w:pPr>
      <w:r w:rsidRPr="00160E6A">
        <w:rPr>
          <w:lang w:val="en-US"/>
        </w:rPr>
        <w:t>NPRR</w:t>
      </w:r>
      <w:r>
        <w:rPr>
          <w:lang w:val="en-US"/>
        </w:rPr>
        <w:t>1179</w:t>
      </w:r>
      <w:r w:rsidRPr="00160E6A">
        <w:rPr>
          <w:lang w:val="en-US"/>
        </w:rPr>
        <w:t xml:space="preserve"> – </w:t>
      </w:r>
      <w:r w:rsidRPr="001C768C">
        <w:rPr>
          <w:lang w:val="en-US"/>
        </w:rPr>
        <w:t>Fuel Purchase Requirements for Resources Submitting RUC Fuel Costs</w:t>
      </w:r>
    </w:p>
    <w:p w14:paraId="2959BB70" w14:textId="1C386CEA" w:rsidR="001C768C" w:rsidRPr="00160E6A" w:rsidRDefault="001C768C" w:rsidP="001C768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1C768C">
        <w:rPr>
          <w:b w:val="0"/>
          <w:lang w:val="en-US"/>
        </w:rPr>
        <w:t xml:space="preserve">ensures that Qualified Scheduling Entities (QSEs) representing Generation Resources that have an executed and enforceable transportation contract and file a Settlement dispute to recover their actual fuel costs incurred when instructed to operate due to a </w:t>
      </w:r>
      <w:r w:rsidR="00DE5C65">
        <w:rPr>
          <w:b w:val="0"/>
          <w:lang w:val="en-US"/>
        </w:rPr>
        <w:t>Reliability Unit Commitment (</w:t>
      </w:r>
      <w:r w:rsidRPr="001C768C">
        <w:rPr>
          <w:b w:val="0"/>
          <w:lang w:val="en-US"/>
        </w:rPr>
        <w:t>RUC</w:t>
      </w:r>
      <w:r w:rsidR="00DE5C65">
        <w:rPr>
          <w:b w:val="0"/>
          <w:lang w:val="en-US"/>
        </w:rPr>
        <w:t>)</w:t>
      </w:r>
      <w:r w:rsidRPr="001C768C">
        <w:rPr>
          <w:b w:val="0"/>
          <w:lang w:val="en-US"/>
        </w:rPr>
        <w:t>, procure fuel economically.  This NPRR also clarifies that fuel costs may also include penalties for fuel delivery outside of RUC-Committed Intervals in accordance with the ratable delivery obligations and costs as specified in the enforceable transportation agreement.</w:t>
      </w:r>
    </w:p>
    <w:p w14:paraId="72789319" w14:textId="663614BD" w:rsidR="001C768C" w:rsidRPr="00160E6A" w:rsidRDefault="001C768C" w:rsidP="001C768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9.14.7</w:t>
      </w:r>
    </w:p>
    <w:p w14:paraId="2B9B7EF2" w14:textId="3F61F6E5" w:rsidR="00ED5151" w:rsidRPr="00160E6A" w:rsidRDefault="00ED5151" w:rsidP="00ED5151">
      <w:pPr>
        <w:pStyle w:val="PRRHeader"/>
        <w:widowControl w:val="0"/>
        <w:spacing w:after="100" w:afterAutospacing="1"/>
        <w:ind w:left="720" w:firstLine="0"/>
      </w:pPr>
      <w:r w:rsidRPr="00160E6A">
        <w:rPr>
          <w:lang w:val="en-US"/>
        </w:rPr>
        <w:t>NPRR</w:t>
      </w:r>
      <w:r>
        <w:rPr>
          <w:lang w:val="en-US"/>
        </w:rPr>
        <w:t>1208</w:t>
      </w:r>
      <w:r w:rsidRPr="00160E6A">
        <w:rPr>
          <w:lang w:val="en-US"/>
        </w:rPr>
        <w:t xml:space="preserve"> – </w:t>
      </w:r>
      <w:r w:rsidRPr="00576874">
        <w:t>Creation of Invoice Report</w:t>
      </w:r>
    </w:p>
    <w:p w14:paraId="0761CFFA" w14:textId="690D49C1" w:rsidR="00ED5151" w:rsidRPr="00160E6A" w:rsidRDefault="00ED5151" w:rsidP="00ED5151">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ED5151">
        <w:rPr>
          <w:b w:val="0"/>
          <w:lang w:val="en-US"/>
        </w:rPr>
        <w:t>creates a new daily report, the ERCOT Invoice Report, which lists the ERCOT Invoices issued for the current day and day prior at a Counter-Party level.</w:t>
      </w:r>
    </w:p>
    <w:p w14:paraId="4E7456ED" w14:textId="489155AC" w:rsidR="00ED5151" w:rsidRPr="00160E6A"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9.20 (new) [effective upon system implementation]</w:t>
      </w:r>
    </w:p>
    <w:p w14:paraId="1B0D8E3F" w14:textId="3C67528E" w:rsidR="001C768C" w:rsidRPr="00160E6A" w:rsidRDefault="001C768C" w:rsidP="001C768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lastRenderedPageBreak/>
        <w:t xml:space="preserve">Section </w:t>
      </w:r>
      <w:r>
        <w:rPr>
          <w:rFonts w:ascii="Times New Roman" w:hAnsi="Times New Roman"/>
          <w:b/>
          <w:u w:val="single"/>
        </w:rPr>
        <w:t>10</w:t>
      </w:r>
      <w:r w:rsidRPr="00160E6A">
        <w:rPr>
          <w:rFonts w:ascii="Times New Roman" w:hAnsi="Times New Roman"/>
          <w:b/>
          <w:u w:val="single"/>
        </w:rPr>
        <w:t>:</w:t>
      </w:r>
    </w:p>
    <w:p w14:paraId="7E285477" w14:textId="08A7AA22" w:rsidR="001C768C" w:rsidRPr="00160E6A" w:rsidRDefault="001C768C" w:rsidP="001C768C">
      <w:pPr>
        <w:pStyle w:val="PRRHeader"/>
        <w:widowControl w:val="0"/>
        <w:spacing w:after="100" w:afterAutospacing="1"/>
        <w:ind w:left="720" w:firstLine="0"/>
      </w:pPr>
      <w:r w:rsidRPr="00160E6A">
        <w:rPr>
          <w:lang w:val="en-US"/>
        </w:rPr>
        <w:t>NPRR</w:t>
      </w:r>
      <w:r>
        <w:rPr>
          <w:lang w:val="en-US"/>
        </w:rPr>
        <w:t>1193</w:t>
      </w:r>
      <w:r w:rsidRPr="00160E6A">
        <w:rPr>
          <w:lang w:val="en-US"/>
        </w:rPr>
        <w:t xml:space="preserve"> – </w:t>
      </w:r>
      <w:r w:rsidRPr="003707CF">
        <w:t>Related to SMOGRR027, Move OBD to Settlement Metering Operating Guide – EPS Metering Design Proposal</w:t>
      </w:r>
    </w:p>
    <w:p w14:paraId="6C3D669C" w14:textId="2A26AE3E" w:rsidR="001C768C" w:rsidRPr="00160E6A" w:rsidRDefault="001C768C" w:rsidP="001C768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1C768C">
        <w:rPr>
          <w:b w:val="0"/>
          <w:lang w:val="en-US"/>
        </w:rPr>
        <w:t xml:space="preserve">changes the referenced location of the </w:t>
      </w:r>
      <w:r w:rsidR="00EB24BE">
        <w:rPr>
          <w:b w:val="0"/>
          <w:lang w:val="en-US"/>
        </w:rPr>
        <w:t>ERCOT-Polled Settlement (</w:t>
      </w:r>
      <w:r w:rsidRPr="001C768C">
        <w:rPr>
          <w:b w:val="0"/>
          <w:lang w:val="en-US"/>
        </w:rPr>
        <w:t>EPS</w:t>
      </w:r>
      <w:r w:rsidR="00EB24BE">
        <w:rPr>
          <w:b w:val="0"/>
          <w:lang w:val="en-US"/>
        </w:rPr>
        <w:t>)</w:t>
      </w:r>
      <w:r w:rsidRPr="001C768C">
        <w:rPr>
          <w:b w:val="0"/>
          <w:lang w:val="en-US"/>
        </w:rPr>
        <w:t xml:space="preserve"> Metering Design Proposal form, as it is moving from the Other Binding Document List into the Settlement Metering Operating Guide (SMOG).</w:t>
      </w:r>
    </w:p>
    <w:p w14:paraId="0A96564D" w14:textId="403AB1FC" w:rsidR="001C768C" w:rsidRPr="00160E6A" w:rsidRDefault="001C768C" w:rsidP="001C768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sidRPr="00160E6A">
        <w:rPr>
          <w:lang w:val="en-US"/>
        </w:rPr>
        <w:t xml:space="preserve">  </w:t>
      </w:r>
      <w:r>
        <w:rPr>
          <w:lang w:val="en-US"/>
        </w:rPr>
        <w:t>10.4.2</w:t>
      </w:r>
    </w:p>
    <w:p w14:paraId="633EFFF9" w14:textId="26327D83" w:rsidR="001C768C" w:rsidRPr="00160E6A" w:rsidRDefault="001C768C" w:rsidP="001C768C">
      <w:pPr>
        <w:pStyle w:val="PRRHeader"/>
        <w:widowControl w:val="0"/>
        <w:spacing w:after="100" w:afterAutospacing="1"/>
        <w:ind w:left="720" w:firstLine="0"/>
      </w:pPr>
      <w:r w:rsidRPr="00160E6A">
        <w:rPr>
          <w:lang w:val="en-US"/>
        </w:rPr>
        <w:t>NPRR</w:t>
      </w:r>
      <w:r>
        <w:rPr>
          <w:lang w:val="en-US"/>
        </w:rPr>
        <w:t>1195</w:t>
      </w:r>
      <w:r w:rsidRPr="00160E6A">
        <w:rPr>
          <w:lang w:val="en-US"/>
        </w:rPr>
        <w:t xml:space="preserve"> – </w:t>
      </w:r>
      <w:r w:rsidRPr="003707CF">
        <w:t>Resource Entity Metering Facilities Maintenance</w:t>
      </w:r>
    </w:p>
    <w:p w14:paraId="02EEE128" w14:textId="36B85BD0" w:rsidR="001C768C" w:rsidRPr="00160E6A" w:rsidRDefault="001C768C" w:rsidP="001C768C">
      <w:pPr>
        <w:pStyle w:val="PRRHeader"/>
        <w:widowControl w:val="0"/>
        <w:spacing w:after="100" w:afterAutospacing="1"/>
        <w:ind w:left="1152" w:firstLine="0"/>
        <w:rPr>
          <w:b w:val="0"/>
          <w:lang w:val="en-US"/>
        </w:rPr>
      </w:pPr>
      <w:r w:rsidRPr="00160E6A">
        <w:rPr>
          <w:b w:val="0"/>
          <w:lang w:val="en-US"/>
        </w:rPr>
        <w:t xml:space="preserve">This Nodal Protocol Revision Request (NPRR) </w:t>
      </w:r>
      <w:r w:rsidRPr="001C768C">
        <w:rPr>
          <w:b w:val="0"/>
          <w:lang w:val="en-US"/>
        </w:rPr>
        <w:t xml:space="preserve">assigns ERCOT-Polled Settlement (EPS) Metering Facilities maintenance and repair responsibilities to the owner of the Metering Facilities when such is not owned by a Transmission and/or Distribution Service Provider (TDSP).  </w:t>
      </w:r>
    </w:p>
    <w:p w14:paraId="21406C03" w14:textId="5CA3D20D" w:rsidR="001C768C" w:rsidRPr="00160E6A" w:rsidRDefault="001C768C" w:rsidP="001C768C">
      <w:pPr>
        <w:pStyle w:val="PRRHeader"/>
        <w:widowControl w:val="0"/>
        <w:spacing w:after="100" w:afterAutospacing="1"/>
        <w:ind w:left="720" w:firstLine="0"/>
        <w:rPr>
          <w:lang w:val="en-US"/>
        </w:rPr>
      </w:pPr>
      <w:r w:rsidRPr="00160E6A">
        <w:rPr>
          <w:rFonts w:cs="Arial"/>
          <w:bCs w:val="0"/>
          <w:szCs w:val="20"/>
        </w:rPr>
        <w:t>Revised</w:t>
      </w:r>
      <w:r w:rsidRPr="00160E6A">
        <w:t xml:space="preserve"> Subsection</w:t>
      </w:r>
      <w:r>
        <w:rPr>
          <w:lang w:val="en-US"/>
        </w:rPr>
        <w:t>s</w:t>
      </w:r>
      <w:r w:rsidRPr="00160E6A">
        <w:t>:</w:t>
      </w:r>
      <w:r w:rsidRPr="00160E6A">
        <w:rPr>
          <w:lang w:val="en-US"/>
        </w:rPr>
        <w:t xml:space="preserve">  </w:t>
      </w:r>
      <w:r>
        <w:t>10.8.1.1, 10.8.1.2, and 10.9.1</w:t>
      </w:r>
    </w:p>
    <w:p w14:paraId="1EB57910" w14:textId="180683A8" w:rsidR="00864D0D" w:rsidRPr="00100CF6" w:rsidRDefault="00864D0D" w:rsidP="00864D0D">
      <w:pPr>
        <w:pStyle w:val="NormalArial"/>
        <w:widowControl w:val="0"/>
        <w:spacing w:after="100" w:afterAutospacing="1"/>
        <w:outlineLvl w:val="0"/>
        <w:rPr>
          <w:rFonts w:ascii="Times New Roman" w:hAnsi="Times New Roman"/>
          <w:b/>
          <w:u w:val="single"/>
        </w:rPr>
      </w:pPr>
      <w:r w:rsidRPr="00100CF6">
        <w:rPr>
          <w:rFonts w:ascii="Times New Roman" w:hAnsi="Times New Roman"/>
          <w:b/>
          <w:u w:val="single"/>
        </w:rPr>
        <w:t xml:space="preserve">Section </w:t>
      </w:r>
      <w:r w:rsidR="00DB659C">
        <w:rPr>
          <w:rFonts w:ascii="Times New Roman" w:hAnsi="Times New Roman"/>
          <w:b/>
          <w:u w:val="single"/>
        </w:rPr>
        <w:t>16</w:t>
      </w:r>
      <w:r w:rsidRPr="00100CF6">
        <w:rPr>
          <w:rFonts w:ascii="Times New Roman" w:hAnsi="Times New Roman"/>
          <w:b/>
          <w:u w:val="single"/>
        </w:rPr>
        <w:t>:</w:t>
      </w:r>
    </w:p>
    <w:p w14:paraId="5016CF3D" w14:textId="77777777" w:rsidR="00ED5151" w:rsidRPr="00160E6A" w:rsidRDefault="00ED5151" w:rsidP="00ED5151">
      <w:pPr>
        <w:pStyle w:val="PRRHeader"/>
        <w:widowControl w:val="0"/>
        <w:spacing w:after="100" w:afterAutospacing="1"/>
        <w:ind w:left="720" w:firstLine="0"/>
      </w:pPr>
      <w:r w:rsidRPr="00160E6A">
        <w:rPr>
          <w:lang w:val="en-US"/>
        </w:rPr>
        <w:t>NPRR</w:t>
      </w:r>
      <w:r>
        <w:rPr>
          <w:lang w:val="en-US"/>
        </w:rPr>
        <w:t>1199</w:t>
      </w:r>
      <w:r w:rsidRPr="00160E6A">
        <w:rPr>
          <w:lang w:val="en-US"/>
        </w:rPr>
        <w:t xml:space="preserve"> – </w:t>
      </w:r>
      <w:r w:rsidRPr="003707CF">
        <w:t>Implementation of Lone Star Infrastructure Protection Act (LSIPA) Requirements</w:t>
      </w:r>
    </w:p>
    <w:p w14:paraId="161938DF" w14:textId="77777777"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1</w:t>
      </w:r>
      <w:r w:rsidRPr="00160E6A">
        <w:rPr>
          <w:b w:val="0"/>
          <w:i/>
          <w:lang w:val="en-US"/>
        </w:rPr>
        <w:t xml:space="preserve"> above.</w:t>
      </w:r>
    </w:p>
    <w:p w14:paraId="60A77C8E" w14:textId="75223FE7" w:rsidR="00ED5151" w:rsidRPr="00ED5151" w:rsidRDefault="00ED5151" w:rsidP="00ED5151">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rsidRPr="00ED5151">
        <w:rPr>
          <w:lang w:val="en-US"/>
        </w:rPr>
        <w:t>16.1.3 and 16.1.4 (new)</w:t>
      </w:r>
    </w:p>
    <w:p w14:paraId="7BB18E94" w14:textId="0B79B92A" w:rsidR="00ED5151" w:rsidRPr="00160E6A" w:rsidRDefault="00ED5151" w:rsidP="00ED5151">
      <w:pPr>
        <w:pStyle w:val="PRRHeader"/>
        <w:widowControl w:val="0"/>
        <w:spacing w:after="100" w:afterAutospacing="1"/>
        <w:ind w:left="720" w:firstLine="0"/>
      </w:pPr>
      <w:r w:rsidRPr="00160E6A">
        <w:rPr>
          <w:lang w:val="en-US"/>
        </w:rPr>
        <w:t>NPRR</w:t>
      </w:r>
      <w:r>
        <w:rPr>
          <w:lang w:val="en-US"/>
        </w:rPr>
        <w:t>1206</w:t>
      </w:r>
      <w:r w:rsidRPr="00160E6A">
        <w:rPr>
          <w:lang w:val="en-US"/>
        </w:rPr>
        <w:t xml:space="preserve"> – </w:t>
      </w:r>
      <w:r w:rsidRPr="009D2FE6">
        <w:t>Revisions to QSE Operations and Termination Requirements, and Elimination of Providing Certain Market Participant Principal Information</w:t>
      </w:r>
    </w:p>
    <w:p w14:paraId="65B7BE45" w14:textId="7CE469EC"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550B5CAB" w14:textId="75DC6708" w:rsidR="00ED5151" w:rsidRPr="00ED5151" w:rsidRDefault="00ED5151" w:rsidP="00ED5151">
      <w:pPr>
        <w:pStyle w:val="PRRHeader"/>
        <w:widowControl w:val="0"/>
        <w:spacing w:after="100" w:afterAutospacing="1"/>
        <w:ind w:left="720" w:firstLine="0"/>
        <w:rPr>
          <w:lang w:val="en-US"/>
        </w:rPr>
      </w:pPr>
      <w:r w:rsidRPr="00BB0B44">
        <w:rPr>
          <w:rFonts w:cs="Arial"/>
          <w:bCs w:val="0"/>
          <w:szCs w:val="20"/>
        </w:rPr>
        <w:t>Revised</w:t>
      </w:r>
      <w:r w:rsidRPr="00BB0B44">
        <w:t xml:space="preserve"> </w:t>
      </w:r>
      <w:r w:rsidRPr="00BB0B44">
        <w:rPr>
          <w:lang w:val="en-US"/>
        </w:rPr>
        <w:t>Subsection</w:t>
      </w:r>
      <w:r>
        <w:rPr>
          <w:lang w:val="en-US"/>
        </w:rPr>
        <w:t>s</w:t>
      </w:r>
      <w:r w:rsidRPr="00BB0B44">
        <w:t>:</w:t>
      </w:r>
      <w:r w:rsidRPr="00BB0B44">
        <w:rPr>
          <w:lang w:val="en-US"/>
        </w:rPr>
        <w:t xml:space="preserve">  </w:t>
      </w:r>
      <w:r>
        <w:t>16.2.1, 16.2.1.2, 16.2.3.2, 16.2.3.3, 16.3.4, 16.5.1.1, 16.5.3, 16.5.4, and 16.8.3.1</w:t>
      </w:r>
    </w:p>
    <w:p w14:paraId="4DF81E23" w14:textId="72F74DCA" w:rsidR="00251000" w:rsidRPr="003429CD" w:rsidRDefault="00251000" w:rsidP="00251000">
      <w:pPr>
        <w:pStyle w:val="NormalArial"/>
        <w:widowControl w:val="0"/>
        <w:spacing w:after="100" w:afterAutospacing="1"/>
        <w:outlineLvl w:val="0"/>
        <w:rPr>
          <w:rFonts w:ascii="Times New Roman" w:hAnsi="Times New Roman"/>
          <w:b/>
          <w:u w:val="single"/>
        </w:rPr>
      </w:pPr>
      <w:r w:rsidRPr="003429CD">
        <w:rPr>
          <w:rFonts w:ascii="Times New Roman" w:hAnsi="Times New Roman"/>
          <w:b/>
          <w:u w:val="single"/>
        </w:rPr>
        <w:t xml:space="preserve">Section </w:t>
      </w:r>
      <w:r w:rsidR="00DB659C">
        <w:rPr>
          <w:rFonts w:ascii="Times New Roman" w:hAnsi="Times New Roman"/>
          <w:b/>
          <w:u w:val="single"/>
        </w:rPr>
        <w:t>22</w:t>
      </w:r>
      <w:r w:rsidRPr="003429CD">
        <w:rPr>
          <w:rFonts w:ascii="Times New Roman" w:hAnsi="Times New Roman"/>
          <w:b/>
          <w:u w:val="single"/>
        </w:rPr>
        <w:t>:</w:t>
      </w:r>
    </w:p>
    <w:p w14:paraId="5FB2C307" w14:textId="77777777" w:rsidR="00ED5151" w:rsidRPr="00160E6A" w:rsidRDefault="00ED5151" w:rsidP="00ED5151">
      <w:pPr>
        <w:pStyle w:val="PRRHeader"/>
        <w:widowControl w:val="0"/>
        <w:spacing w:after="100" w:afterAutospacing="1"/>
        <w:ind w:left="720" w:firstLine="0"/>
      </w:pPr>
      <w:r w:rsidRPr="00160E6A">
        <w:rPr>
          <w:lang w:val="en-US"/>
        </w:rPr>
        <w:t>NPRR</w:t>
      </w:r>
      <w:r>
        <w:rPr>
          <w:lang w:val="en-US"/>
        </w:rPr>
        <w:t>1211</w:t>
      </w:r>
      <w:r w:rsidRPr="00160E6A">
        <w:rPr>
          <w:lang w:val="en-US"/>
        </w:rPr>
        <w:t xml:space="preserve"> – </w:t>
      </w:r>
      <w:r w:rsidRPr="00D531A4">
        <w:t>Move OBD to Section 22 – Methodology for Setting Maximum Shadow Prices for Network and Power Balance Constraints</w:t>
      </w:r>
    </w:p>
    <w:p w14:paraId="67F0C6F8" w14:textId="77777777"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4</w:t>
      </w:r>
      <w:r w:rsidRPr="00160E6A">
        <w:rPr>
          <w:b w:val="0"/>
          <w:i/>
          <w:lang w:val="en-US"/>
        </w:rPr>
        <w:t xml:space="preserve"> above.</w:t>
      </w:r>
    </w:p>
    <w:p w14:paraId="1B0E19B9" w14:textId="766F3C71" w:rsidR="00ED5151" w:rsidRPr="00160E6A" w:rsidRDefault="00ED5151" w:rsidP="00ED5151">
      <w:pPr>
        <w:pStyle w:val="PRRHeader"/>
        <w:widowControl w:val="0"/>
        <w:spacing w:after="100" w:afterAutospacing="1"/>
        <w:ind w:left="720" w:firstLine="0"/>
        <w:rPr>
          <w:lang w:val="en-US"/>
        </w:rPr>
      </w:pPr>
      <w:r w:rsidRPr="00160E6A">
        <w:rPr>
          <w:rFonts w:cs="Arial"/>
          <w:bCs w:val="0"/>
          <w:szCs w:val="20"/>
        </w:rPr>
        <w:t>Revised</w:t>
      </w:r>
      <w:r w:rsidRPr="00160E6A">
        <w:t xml:space="preserve"> </w:t>
      </w:r>
      <w:r>
        <w:rPr>
          <w:lang w:val="en-US"/>
        </w:rPr>
        <w:t>Attachment</w:t>
      </w:r>
      <w:r w:rsidRPr="00160E6A">
        <w:t>:</w:t>
      </w:r>
      <w:r w:rsidRPr="00160E6A">
        <w:rPr>
          <w:lang w:val="en-US"/>
        </w:rPr>
        <w:t xml:space="preserve">  </w:t>
      </w:r>
      <w:r>
        <w:rPr>
          <w:lang w:val="en-US"/>
        </w:rPr>
        <w:t>P</w:t>
      </w:r>
      <w:r w:rsidR="002064E6">
        <w:rPr>
          <w:lang w:val="en-US"/>
        </w:rPr>
        <w:t xml:space="preserve"> (new)</w:t>
      </w:r>
    </w:p>
    <w:p w14:paraId="09296FDE" w14:textId="6820F002" w:rsidR="001C768C" w:rsidRPr="003429CD" w:rsidRDefault="001C768C" w:rsidP="001C768C">
      <w:pPr>
        <w:pStyle w:val="NormalArial"/>
        <w:widowControl w:val="0"/>
        <w:spacing w:after="100" w:afterAutospacing="1"/>
        <w:outlineLvl w:val="0"/>
        <w:rPr>
          <w:rFonts w:ascii="Times New Roman" w:hAnsi="Times New Roman"/>
          <w:b/>
          <w:u w:val="single"/>
        </w:rPr>
      </w:pPr>
      <w:r w:rsidRPr="003429CD">
        <w:rPr>
          <w:rFonts w:ascii="Times New Roman" w:hAnsi="Times New Roman"/>
          <w:b/>
          <w:u w:val="single"/>
        </w:rPr>
        <w:lastRenderedPageBreak/>
        <w:t xml:space="preserve">Section </w:t>
      </w:r>
      <w:r>
        <w:rPr>
          <w:rFonts w:ascii="Times New Roman" w:hAnsi="Times New Roman"/>
          <w:b/>
          <w:u w:val="single"/>
        </w:rPr>
        <w:t>23</w:t>
      </w:r>
      <w:r w:rsidRPr="003429CD">
        <w:rPr>
          <w:rFonts w:ascii="Times New Roman" w:hAnsi="Times New Roman"/>
          <w:b/>
          <w:u w:val="single"/>
        </w:rPr>
        <w:t>:</w:t>
      </w:r>
    </w:p>
    <w:p w14:paraId="018355DB" w14:textId="77777777" w:rsidR="00ED5151" w:rsidRPr="00160E6A" w:rsidRDefault="00ED5151" w:rsidP="00ED5151">
      <w:pPr>
        <w:pStyle w:val="PRRHeader"/>
        <w:widowControl w:val="0"/>
        <w:spacing w:after="100" w:afterAutospacing="1"/>
        <w:ind w:left="720" w:firstLine="0"/>
      </w:pPr>
      <w:r w:rsidRPr="00160E6A">
        <w:rPr>
          <w:lang w:val="en-US"/>
        </w:rPr>
        <w:t>NPRR</w:t>
      </w:r>
      <w:r>
        <w:rPr>
          <w:lang w:val="en-US"/>
        </w:rPr>
        <w:t>1199</w:t>
      </w:r>
      <w:r w:rsidRPr="00160E6A">
        <w:rPr>
          <w:lang w:val="en-US"/>
        </w:rPr>
        <w:t xml:space="preserve"> – </w:t>
      </w:r>
      <w:r w:rsidRPr="003707CF">
        <w:t>Implementation of Lone Star Infrastructure Protection Act (LSIPA) Requirements</w:t>
      </w:r>
    </w:p>
    <w:p w14:paraId="26817433" w14:textId="77777777"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1</w:t>
      </w:r>
      <w:r w:rsidRPr="00160E6A">
        <w:rPr>
          <w:b w:val="0"/>
          <w:i/>
          <w:lang w:val="en-US"/>
        </w:rPr>
        <w:t xml:space="preserve"> above.</w:t>
      </w:r>
    </w:p>
    <w:p w14:paraId="6190C02D" w14:textId="428D0779" w:rsidR="001C768C" w:rsidRDefault="00ED5151" w:rsidP="00ED5151">
      <w:pPr>
        <w:pStyle w:val="PRRHeader"/>
        <w:widowControl w:val="0"/>
        <w:spacing w:after="100" w:afterAutospacing="1"/>
        <w:ind w:left="720" w:firstLine="0"/>
        <w:rPr>
          <w:lang w:val="en-US"/>
        </w:rPr>
      </w:pPr>
      <w:r w:rsidRPr="00BB0B44">
        <w:rPr>
          <w:rFonts w:cs="Arial"/>
          <w:bCs w:val="0"/>
          <w:szCs w:val="20"/>
        </w:rPr>
        <w:t>Revised</w:t>
      </w:r>
      <w:r w:rsidRPr="00BB0B44">
        <w:t xml:space="preserve"> </w:t>
      </w:r>
      <w:r>
        <w:rPr>
          <w:lang w:val="en-US"/>
        </w:rPr>
        <w:t>Forms</w:t>
      </w:r>
      <w:r w:rsidRPr="00BB0B44">
        <w:t>:</w:t>
      </w:r>
      <w:r w:rsidRPr="00BB0B44">
        <w:rPr>
          <w:lang w:val="en-US"/>
        </w:rPr>
        <w:t xml:space="preserve">  </w:t>
      </w:r>
      <w:r>
        <w:rPr>
          <w:lang w:val="en-US"/>
        </w:rPr>
        <w:t>Q</w:t>
      </w:r>
      <w:r w:rsidRPr="00ED5151">
        <w:rPr>
          <w:lang w:val="en-US"/>
        </w:rPr>
        <w:t xml:space="preserve"> and </w:t>
      </w:r>
      <w:r>
        <w:rPr>
          <w:lang w:val="en-US"/>
        </w:rPr>
        <w:t>S</w:t>
      </w:r>
      <w:r w:rsidRPr="00ED5151">
        <w:rPr>
          <w:lang w:val="en-US"/>
        </w:rPr>
        <w:t xml:space="preserve"> (new)</w:t>
      </w:r>
    </w:p>
    <w:p w14:paraId="75881B35" w14:textId="77777777" w:rsidR="00ED5151" w:rsidRPr="00160E6A" w:rsidRDefault="00ED5151" w:rsidP="00ED5151">
      <w:pPr>
        <w:pStyle w:val="PRRHeader"/>
        <w:widowControl w:val="0"/>
        <w:spacing w:after="100" w:afterAutospacing="1"/>
        <w:ind w:left="720" w:firstLine="0"/>
      </w:pPr>
      <w:r w:rsidRPr="00160E6A">
        <w:rPr>
          <w:lang w:val="en-US"/>
        </w:rPr>
        <w:t>NPRR</w:t>
      </w:r>
      <w:r>
        <w:rPr>
          <w:lang w:val="en-US"/>
        </w:rPr>
        <w:t>1206</w:t>
      </w:r>
      <w:r w:rsidRPr="00160E6A">
        <w:rPr>
          <w:lang w:val="en-US"/>
        </w:rPr>
        <w:t xml:space="preserve"> – </w:t>
      </w:r>
      <w:r w:rsidRPr="009D2FE6">
        <w:t>Revisions to QSE Operations and Termination Requirements, and Elimination of Providing Certain Market Participant Principal Information</w:t>
      </w:r>
    </w:p>
    <w:p w14:paraId="0188B6CC" w14:textId="77777777" w:rsidR="00ED5151" w:rsidRPr="00160E6A" w:rsidRDefault="00ED5151" w:rsidP="00ED5151">
      <w:pPr>
        <w:pStyle w:val="PRRHeader"/>
        <w:widowControl w:val="0"/>
        <w:spacing w:after="100" w:afterAutospacing="1"/>
        <w:ind w:left="1152" w:firstLine="0"/>
        <w:rPr>
          <w:b w:val="0"/>
          <w:i/>
          <w:lang w:val="en-US"/>
        </w:rPr>
      </w:pPr>
      <w:r w:rsidRPr="00160E6A">
        <w:rPr>
          <w:b w:val="0"/>
          <w:i/>
          <w:lang w:val="en-US"/>
        </w:rPr>
        <w:t xml:space="preserve">See Section </w:t>
      </w:r>
      <w:r>
        <w:rPr>
          <w:b w:val="0"/>
          <w:i/>
          <w:lang w:val="en-US"/>
        </w:rPr>
        <w:t>2</w:t>
      </w:r>
      <w:r w:rsidRPr="00160E6A">
        <w:rPr>
          <w:b w:val="0"/>
          <w:i/>
          <w:lang w:val="en-US"/>
        </w:rPr>
        <w:t xml:space="preserve"> above.</w:t>
      </w:r>
    </w:p>
    <w:p w14:paraId="74D95665" w14:textId="0A5A3A62" w:rsidR="00ED5151" w:rsidRPr="00ED5151" w:rsidRDefault="00ED5151" w:rsidP="00ED5151">
      <w:pPr>
        <w:pStyle w:val="PRRHeader"/>
        <w:widowControl w:val="0"/>
        <w:spacing w:after="100" w:afterAutospacing="1"/>
        <w:ind w:left="720" w:firstLine="0"/>
        <w:rPr>
          <w:lang w:val="en-US"/>
        </w:rPr>
      </w:pPr>
      <w:r w:rsidRPr="00BB0B44">
        <w:rPr>
          <w:rFonts w:cs="Arial"/>
          <w:bCs w:val="0"/>
          <w:szCs w:val="20"/>
        </w:rPr>
        <w:t>Revised</w:t>
      </w:r>
      <w:r w:rsidRPr="00BB0B44">
        <w:t xml:space="preserve"> </w:t>
      </w:r>
      <w:r>
        <w:rPr>
          <w:lang w:val="en-US"/>
        </w:rPr>
        <w:t>Forms</w:t>
      </w:r>
      <w:r w:rsidRPr="00BB0B44">
        <w:t>:</w:t>
      </w:r>
      <w:r w:rsidRPr="00BB0B44">
        <w:rPr>
          <w:lang w:val="en-US"/>
        </w:rPr>
        <w:t xml:space="preserve">  </w:t>
      </w:r>
      <w:r>
        <w:rPr>
          <w:lang w:val="en-US"/>
        </w:rPr>
        <w:t>A, B, E, G, I, J, and M</w:t>
      </w:r>
    </w:p>
    <w:p w14:paraId="019CC040" w14:textId="77777777" w:rsidR="00ED5151" w:rsidRPr="00ED5151" w:rsidRDefault="00ED5151" w:rsidP="00ED5151">
      <w:pPr>
        <w:pStyle w:val="Description"/>
        <w:rPr>
          <w:lang w:eastAsia="x-none"/>
        </w:rPr>
      </w:pPr>
    </w:p>
    <w:sectPr w:rsidR="00ED5151" w:rsidRPr="00ED5151">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37AD36FD"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1C768C">
      <w:rPr>
        <w:rFonts w:ascii="Times New Roman Bold" w:hAnsi="Times New Roman Bold"/>
        <w:b w:val="0"/>
      </w:rPr>
      <w:t>May</w:t>
    </w:r>
    <w:r w:rsidR="00467F36">
      <w:rPr>
        <w:rFonts w:ascii="Times New Roman Bold" w:hAnsi="Times New Roman Bold"/>
        <w:b w:val="0"/>
      </w:rPr>
      <w:t xml:space="preserve"> </w:t>
    </w:r>
    <w:r w:rsidR="000D26EB">
      <w:rPr>
        <w:rFonts w:ascii="Times New Roman Bold" w:hAnsi="Times New Roman Bold"/>
        <w:b w:val="0"/>
      </w:rPr>
      <w:t>1</w:t>
    </w:r>
    <w:r>
      <w:rPr>
        <w:rFonts w:ascii="Times New Roman Bold" w:hAnsi="Times New Roman Bold"/>
        <w:b w:val="0"/>
      </w:rPr>
      <w:t>, 202</w:t>
    </w:r>
    <w:r w:rsidR="00251000">
      <w:rPr>
        <w:rFonts w:ascii="Times New Roman Bold" w:hAnsi="Times New Roman Bold"/>
        <w:b w:val="0"/>
      </w:rPr>
      <w:t>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CF6"/>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A1C"/>
    <w:rsid w:val="0014430C"/>
    <w:rsid w:val="0014494C"/>
    <w:rsid w:val="00144CBA"/>
    <w:rsid w:val="00146653"/>
    <w:rsid w:val="00147741"/>
    <w:rsid w:val="0014776A"/>
    <w:rsid w:val="00147AEF"/>
    <w:rsid w:val="0015155D"/>
    <w:rsid w:val="001526E3"/>
    <w:rsid w:val="001575A6"/>
    <w:rsid w:val="001576DB"/>
    <w:rsid w:val="001602E0"/>
    <w:rsid w:val="0016078E"/>
    <w:rsid w:val="00160E6A"/>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0C2"/>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03B9"/>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29CD"/>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663A"/>
    <w:rsid w:val="00387468"/>
    <w:rsid w:val="003900D3"/>
    <w:rsid w:val="003935E8"/>
    <w:rsid w:val="003938E4"/>
    <w:rsid w:val="003946DD"/>
    <w:rsid w:val="00394945"/>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1815"/>
    <w:rsid w:val="00471C18"/>
    <w:rsid w:val="00472731"/>
    <w:rsid w:val="00472EBE"/>
    <w:rsid w:val="0047301C"/>
    <w:rsid w:val="00473DD1"/>
    <w:rsid w:val="004743F8"/>
    <w:rsid w:val="0047463E"/>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220"/>
    <w:rsid w:val="004C33B1"/>
    <w:rsid w:val="004C385E"/>
    <w:rsid w:val="004C3ECC"/>
    <w:rsid w:val="004C464B"/>
    <w:rsid w:val="004C5E6D"/>
    <w:rsid w:val="004C70B2"/>
    <w:rsid w:val="004D01DD"/>
    <w:rsid w:val="004D0416"/>
    <w:rsid w:val="004D10F4"/>
    <w:rsid w:val="004D11EC"/>
    <w:rsid w:val="004D143E"/>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705"/>
    <w:rsid w:val="005A2866"/>
    <w:rsid w:val="005A2A64"/>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30D"/>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E37"/>
    <w:rsid w:val="00635FAD"/>
    <w:rsid w:val="006409A7"/>
    <w:rsid w:val="00640F3B"/>
    <w:rsid w:val="00641AE9"/>
    <w:rsid w:val="00642BEF"/>
    <w:rsid w:val="006436B0"/>
    <w:rsid w:val="00643E5D"/>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9B2"/>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D0D"/>
    <w:rsid w:val="0086540F"/>
    <w:rsid w:val="008659EC"/>
    <w:rsid w:val="0086725C"/>
    <w:rsid w:val="008673CA"/>
    <w:rsid w:val="0086744F"/>
    <w:rsid w:val="00867BD8"/>
    <w:rsid w:val="00867C7B"/>
    <w:rsid w:val="00870739"/>
    <w:rsid w:val="008725AB"/>
    <w:rsid w:val="00872C55"/>
    <w:rsid w:val="00873204"/>
    <w:rsid w:val="00873AB8"/>
    <w:rsid w:val="00874E58"/>
    <w:rsid w:val="00876B5E"/>
    <w:rsid w:val="008774C5"/>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4A2B"/>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2CB"/>
    <w:rsid w:val="00927EF1"/>
    <w:rsid w:val="00930103"/>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77BEE"/>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0D4"/>
    <w:rsid w:val="00AA6613"/>
    <w:rsid w:val="00AA7196"/>
    <w:rsid w:val="00AA7723"/>
    <w:rsid w:val="00AA7793"/>
    <w:rsid w:val="00AB0756"/>
    <w:rsid w:val="00AB2FAE"/>
    <w:rsid w:val="00AB366A"/>
    <w:rsid w:val="00AB4B36"/>
    <w:rsid w:val="00AB5334"/>
    <w:rsid w:val="00AB552F"/>
    <w:rsid w:val="00AB5DB1"/>
    <w:rsid w:val="00AB6269"/>
    <w:rsid w:val="00AB7B2D"/>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86"/>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9C5"/>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112"/>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22D"/>
    <w:rsid w:val="00DD17E0"/>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3205"/>
    <w:rsid w:val="00DE40E7"/>
    <w:rsid w:val="00DE4397"/>
    <w:rsid w:val="00DE5C65"/>
    <w:rsid w:val="00DF0BEE"/>
    <w:rsid w:val="00DF0E45"/>
    <w:rsid w:val="00DF2A2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4CB8"/>
    <w:rsid w:val="00E7596C"/>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24BE"/>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1387</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TCPA 04XX24</cp:lastModifiedBy>
  <cp:revision>2</cp:revision>
  <cp:lastPrinted>2019-12-18T16:51:00Z</cp:lastPrinted>
  <dcterms:created xsi:type="dcterms:W3CDTF">2024-04-22T13:50:00Z</dcterms:created>
  <dcterms:modified xsi:type="dcterms:W3CDTF">2024-04-22T13:50:00Z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