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A41E" w14:textId="77777777" w:rsidR="00A4211A" w:rsidRDefault="00000000">
      <w:pPr>
        <w:contextualSpacing/>
      </w:pPr>
      <w:r>
        <w:t>Agenda/Minutes March ERCOT Credit Finance Subgroup</w:t>
      </w:r>
    </w:p>
    <w:p w14:paraId="52EBEEFC" w14:textId="77777777" w:rsidR="00A4211A" w:rsidRDefault="00000000">
      <w:pPr>
        <w:contextualSpacing/>
      </w:pPr>
      <w:r>
        <w:t>20 March 2024</w:t>
      </w:r>
    </w:p>
    <w:p w14:paraId="403C1C74" w14:textId="77777777" w:rsidR="00A4211A" w:rsidRDefault="00000000">
      <w:pPr>
        <w:contextualSpacing/>
      </w:pPr>
      <w:r>
        <w:t xml:space="preserve"> </w:t>
      </w:r>
    </w:p>
    <w:p w14:paraId="5D1C5EFD" w14:textId="77777777" w:rsidR="00A4211A" w:rsidRDefault="00000000">
      <w:pPr>
        <w:contextualSpacing/>
      </w:pPr>
      <w:r>
        <w:t>1. Antitrust Admonition / Zaldy Zapanta</w:t>
      </w:r>
    </w:p>
    <w:p w14:paraId="2474E960" w14:textId="77777777" w:rsidR="00A4211A" w:rsidRDefault="00A4211A">
      <w:pPr>
        <w:contextualSpacing/>
      </w:pPr>
    </w:p>
    <w:p w14:paraId="3429DD12" w14:textId="77777777" w:rsidR="00A4211A" w:rsidRDefault="00000000">
      <w:pPr>
        <w:contextualSpacing/>
      </w:pPr>
      <w:r>
        <w:t>2. Approval of Minutes (Vote) / Brenden Sager</w:t>
      </w:r>
    </w:p>
    <w:p w14:paraId="4512C32C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Moved to combo ballot</w:t>
      </w:r>
    </w:p>
    <w:p w14:paraId="7BD63B55" w14:textId="77777777" w:rsidR="00A4211A" w:rsidRDefault="00A4211A">
      <w:pPr>
        <w:contextualSpacing/>
      </w:pPr>
    </w:p>
    <w:p w14:paraId="64AF2F9A" w14:textId="77777777" w:rsidR="00A4211A" w:rsidRDefault="00000000">
      <w:pPr>
        <w:contextualSpacing/>
      </w:pPr>
      <w:r>
        <w:t>3. Independent Amount Posting Requirement / Ramsey Cripe</w:t>
      </w:r>
    </w:p>
    <w:p w14:paraId="2FC20D60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Concerns about NOIE’s costs to post additional collateral</w:t>
      </w:r>
    </w:p>
    <w:p w14:paraId="4287DAF7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Losing ability to hedge</w:t>
      </w:r>
    </w:p>
    <w:p w14:paraId="70E80D52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Particularly impactful to smaller, 20-150MW CP’s</w:t>
      </w:r>
    </w:p>
    <w:p w14:paraId="1153E998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Not posing significant market risk for 50% increase into collateral posting</w:t>
      </w:r>
    </w:p>
    <w:p w14:paraId="5B3527C9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Proposed to scale it but that’s complicated</w:t>
      </w:r>
    </w:p>
    <w:p w14:paraId="2144335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If FCE &amp; TPEA is zero then IA is zero?</w:t>
      </w:r>
    </w:p>
    <w:p w14:paraId="507385D3" w14:textId="77777777" w:rsidR="00A4211A" w:rsidRDefault="00A4211A">
      <w:pPr>
        <w:contextualSpacing/>
        <w:rPr>
          <w:color w:val="0E2841"/>
        </w:rPr>
      </w:pPr>
    </w:p>
    <w:p w14:paraId="7AE1BFF9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Sanchir/ERCOT credit</w:t>
      </w:r>
    </w:p>
    <w:p w14:paraId="418EA8D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 xml:space="preserve">Asking for IA from zero credit risk ctpys </w:t>
      </w:r>
    </w:p>
    <w:p w14:paraId="18F13EC4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These small players could potentially have CRR activities that could result in obligations/exposures to ERCOT</w:t>
      </w:r>
    </w:p>
    <w:p w14:paraId="7A01B12D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Struggle to find a solution, not likely to be one right away</w:t>
      </w:r>
    </w:p>
    <w:p w14:paraId="2DF71298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No mechanism to prevent CP’s from bidding into CRR obligations</w:t>
      </w:r>
    </w:p>
    <w:p w14:paraId="7A9125C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NPRR originally resulted after 1165 approved</w:t>
      </w:r>
    </w:p>
    <w:p w14:paraId="2D64792D" w14:textId="77777777" w:rsidR="00A4211A" w:rsidRDefault="00A4211A">
      <w:pPr>
        <w:contextualSpacing/>
      </w:pPr>
    </w:p>
    <w:p w14:paraId="02897A4F" w14:textId="77777777" w:rsidR="00A4211A" w:rsidRDefault="00000000">
      <w:pPr>
        <w:contextualSpacing/>
      </w:pPr>
      <w:r>
        <w:t>4. NPRR1215, Clarifications to the Day-Ahead Market (DAM) Energy-Only Offer Calculation (Possible Vote) // Curry Holden / Katherine Gross</w:t>
      </w:r>
    </w:p>
    <w:p w14:paraId="6F25DCB2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Presented at February meeting</w:t>
      </w:r>
    </w:p>
    <w:p w14:paraId="1A909B1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Clarifies existing language on how DAM operates in fact</w:t>
      </w:r>
    </w:p>
    <w:p w14:paraId="389BA172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Shams uncertain if definitions in NPRR meet the clarifying need</w:t>
      </w:r>
    </w:p>
    <w:p w14:paraId="458D5A32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Unnecessarily diverts the focus of this NPRR to other areas</w:t>
      </w:r>
    </w:p>
    <w:p w14:paraId="5ACA0A74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ERCOT supports investigating wider changes other parts of protocols</w:t>
      </w:r>
    </w:p>
    <w:p w14:paraId="13FFD943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Will refine the language and bring back next month, April</w:t>
      </w:r>
    </w:p>
    <w:p w14:paraId="593EA000" w14:textId="77777777" w:rsidR="00A4211A" w:rsidRDefault="00A4211A">
      <w:pPr>
        <w:contextualSpacing/>
      </w:pPr>
    </w:p>
    <w:p w14:paraId="528D16D6" w14:textId="77777777" w:rsidR="00A4211A" w:rsidRDefault="00000000">
      <w:pPr>
        <w:contextualSpacing/>
      </w:pPr>
      <w:r>
        <w:t>5. Adjusting Earned Interest / Sanchir Dashnyam</w:t>
      </w:r>
    </w:p>
    <w:p w14:paraId="09B1ECBB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Already started paying out interest this year</w:t>
      </w:r>
    </w:p>
    <w:p w14:paraId="09D3855F" w14:textId="77777777" w:rsidR="00A4211A" w:rsidRDefault="00000000">
      <w:pPr>
        <w:contextualSpacing/>
      </w:pPr>
      <w:r>
        <w:rPr>
          <w:color w:val="0E2841"/>
        </w:rPr>
        <w:t>Interest paid NLT 15</w:t>
      </w:r>
      <w:r>
        <w:rPr>
          <w:color w:val="0E2841"/>
          <w:vertAlign w:val="superscript"/>
        </w:rPr>
        <w:t>th</w:t>
      </w:r>
      <w:r>
        <w:rPr>
          <w:color w:val="0E2841"/>
        </w:rPr>
        <w:t xml:space="preserve"> business day</w:t>
      </w:r>
    </w:p>
    <w:p w14:paraId="12B05346" w14:textId="77777777" w:rsidR="00A4211A" w:rsidRDefault="00000000">
      <w:pPr>
        <w:contextualSpacing/>
      </w:pPr>
      <w:r>
        <w:rPr>
          <w:color w:val="0E2841"/>
        </w:rPr>
        <w:t>Any disputes must be sent to ERCOT Credit by the 10</w:t>
      </w:r>
      <w:r>
        <w:rPr>
          <w:color w:val="0E2841"/>
          <w:vertAlign w:val="superscript"/>
        </w:rPr>
        <w:t>th</w:t>
      </w:r>
    </w:p>
    <w:p w14:paraId="11775C08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CP’s have automated emails if cash is posted into collateral account</w:t>
      </w:r>
    </w:p>
    <w:p w14:paraId="2B1249D7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CP’s need to track what’s going on with their cash balances</w:t>
      </w:r>
    </w:p>
    <w:p w14:paraId="77A79A03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Problem is with CP’s with subsidiaries and affiliates clearly identifying these</w:t>
      </w:r>
    </w:p>
    <w:p w14:paraId="73CC6E48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Include CP# in the wire</w:t>
      </w:r>
    </w:p>
    <w:p w14:paraId="04AFB07A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New ctpys sometimes fail to properly identify the same</w:t>
      </w:r>
    </w:p>
    <w:p w14:paraId="6311F695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Occasionally mystery wires with no ID’s, if you fail to identify wire, there’s not much ERCOT can do</w:t>
      </w:r>
    </w:p>
    <w:p w14:paraId="432DB029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Mark Holler suggested formally establishing posting procedures in the protocols</w:t>
      </w:r>
    </w:p>
    <w:p w14:paraId="4ACBDC4D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ERCOT Credit may do so</w:t>
      </w:r>
    </w:p>
    <w:p w14:paraId="09CF53C9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lastRenderedPageBreak/>
        <w:t>Including language from Jan 2024 market notice</w:t>
      </w:r>
    </w:p>
    <w:p w14:paraId="71CE0961" w14:textId="77777777" w:rsidR="00A4211A" w:rsidRDefault="00A4211A">
      <w:pPr>
        <w:contextualSpacing/>
      </w:pPr>
    </w:p>
    <w:p w14:paraId="084AB365" w14:textId="77777777" w:rsidR="00A4211A" w:rsidRDefault="00000000">
      <w:pPr>
        <w:contextualSpacing/>
      </w:pPr>
      <w:r>
        <w:t>6. EAL Change Proposals / Sanchir Dashnyam</w:t>
      </w:r>
    </w:p>
    <w:p w14:paraId="34D0E58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ERCOT changed UDAA parameter to exclude it</w:t>
      </w:r>
    </w:p>
    <w:p w14:paraId="4D037DC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Looking at Net of RT and DA</w:t>
      </w:r>
    </w:p>
    <w:p w14:paraId="19FE4664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Looking to minimize negative gaps most during high stress periods vs shoulder months</w:t>
      </w:r>
    </w:p>
    <w:p w14:paraId="4ADF3C26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Also concerned about double top events where collateral exceeds obligations</w:t>
      </w:r>
    </w:p>
    <w:p w14:paraId="71136521" w14:textId="77777777" w:rsidR="00A4211A" w:rsidRDefault="00A4211A">
      <w:pPr>
        <w:contextualSpacing/>
        <w:rPr>
          <w:color w:val="0E2841"/>
        </w:rPr>
      </w:pPr>
    </w:p>
    <w:p w14:paraId="101B8F56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 xml:space="preserve">Kristy Ashley/CES and Shams/Rainbow: </w:t>
      </w:r>
    </w:p>
    <w:p w14:paraId="0C56A2E6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Sought further clarification on different scenarios</w:t>
      </w:r>
    </w:p>
    <w:p w14:paraId="72B3FE0F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 xml:space="preserve">Brian Koz: </w:t>
      </w:r>
    </w:p>
    <w:p w14:paraId="7E26819A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Concern about hedging calculations</w:t>
      </w:r>
    </w:p>
    <w:p w14:paraId="2646F066" w14:textId="77777777" w:rsidR="00A4211A" w:rsidRDefault="00000000">
      <w:pPr>
        <w:contextualSpacing/>
        <w:rPr>
          <w:color w:val="0E2841"/>
        </w:rPr>
      </w:pPr>
      <w:r>
        <w:rPr>
          <w:color w:val="0E2841"/>
        </w:rPr>
        <w:t>Interested in floors and ceilings for FAF</w:t>
      </w:r>
    </w:p>
    <w:p w14:paraId="0A8151D9" w14:textId="77777777" w:rsidR="00A4211A" w:rsidRDefault="00A4211A">
      <w:pPr>
        <w:contextualSpacing/>
      </w:pPr>
    </w:p>
    <w:p w14:paraId="1E2DAEAD" w14:textId="77777777" w:rsidR="00A4211A" w:rsidRDefault="00000000">
      <w:pPr>
        <w:contextualSpacing/>
      </w:pPr>
      <w:r>
        <w:t>7. Standard Review of NPRRs for Credit Impacts (Vote) / Cory Phillips</w:t>
      </w:r>
    </w:p>
    <w:p w14:paraId="5992E934" w14:textId="77777777" w:rsidR="00A4211A" w:rsidRDefault="00A4211A">
      <w:pPr>
        <w:contextualSpacing/>
      </w:pPr>
    </w:p>
    <w:p w14:paraId="74095F3B" w14:textId="77777777" w:rsidR="00A4211A" w:rsidRDefault="00000000">
      <w:pPr>
        <w:contextualSpacing/>
      </w:pPr>
      <w:r>
        <w:t>8. ERCOT Updates / Credit Exposure / Zaldy Zapanta</w:t>
      </w:r>
    </w:p>
    <w:p w14:paraId="2697577E" w14:textId="77777777" w:rsidR="00A4211A" w:rsidRDefault="00A4211A">
      <w:pPr>
        <w:contextualSpacing/>
      </w:pPr>
    </w:p>
    <w:p w14:paraId="17043665" w14:textId="77777777" w:rsidR="00A4211A" w:rsidRDefault="00000000">
      <w:pPr>
        <w:contextualSpacing/>
      </w:pPr>
      <w:r>
        <w:t>9. New Business / Brenden Sager</w:t>
      </w:r>
    </w:p>
    <w:p w14:paraId="17A78E52" w14:textId="77777777" w:rsidR="00A4211A" w:rsidRDefault="00A4211A">
      <w:pPr>
        <w:contextualSpacing/>
      </w:pPr>
    </w:p>
    <w:p w14:paraId="120B9A29" w14:textId="77777777" w:rsidR="00A4211A" w:rsidRDefault="00000000">
      <w:pPr>
        <w:contextualSpacing/>
      </w:pPr>
      <w:r>
        <w:t>10. Combo ballot / Adjourn / Brenden Sager</w:t>
      </w:r>
    </w:p>
    <w:sectPr w:rsidR="00A4211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5945" w14:textId="77777777" w:rsidR="00260465" w:rsidRDefault="00260465">
      <w:pPr>
        <w:spacing w:after="0" w:line="240" w:lineRule="auto"/>
      </w:pPr>
      <w:r>
        <w:separator/>
      </w:r>
    </w:p>
  </w:endnote>
  <w:endnote w:type="continuationSeparator" w:id="0">
    <w:p w14:paraId="71E4B13A" w14:textId="77777777" w:rsidR="00260465" w:rsidRDefault="002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9CC0" w14:textId="77777777" w:rsidR="00260465" w:rsidRDefault="002604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513E76" w14:textId="77777777" w:rsidR="00260465" w:rsidRDefault="0026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211A"/>
    <w:rsid w:val="00260465"/>
    <w:rsid w:val="00A4211A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9043"/>
  <w15:docId w15:val="{B20B3D71-BDAD-45B1-ACA8-77DFC346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ERCOT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dc:description/>
  <cp:lastModifiedBy>C Phillips</cp:lastModifiedBy>
  <cp:revision>2</cp:revision>
  <dcterms:created xsi:type="dcterms:W3CDTF">2024-04-15T14:15:00Z</dcterms:created>
  <dcterms:modified xsi:type="dcterms:W3CDTF">2024-04-15T14:15:00Z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2024-04-15T14:15:28Z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05561e77-1978-4a7d-b1c8-996fbfae208d</vt:lpwstr>
  </property>
  <property fmtid="{D5CDD505-2E9C-101B-9397-08002B2CF9AE}" pid="8" name="MSIP_Label_7084cbda-52b8-46fb-a7b7-cb5bd465ed85_ContentBits">
    <vt:lpwstr>0</vt:lpwstr>
  </property>
</Properties>
</file>