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
        <w:tblW w:w="10440"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20"/>
        <w:gridCol w:w="1260"/>
        <w:gridCol w:w="900"/>
        <w:gridCol w:w="6660"/>
      </w:tblGrid>
      <w:tr w:rsidR="001B15EB">
        <w:tc>
          <w:tcPr>
            <w:tcW w:w="1620" w:type="dxa"/>
            <w:tcBorders>
              <w:bottom w:val="single" w:sz="4" w:space="0" w:color="000000"/>
            </w:tcBorders>
            <w:shd w:val="clear" w:color="auto" w:fill="FFFFFF"/>
            <w:vAlign w:val="center"/>
          </w:tcPr>
          <w:p w:rsidR="001B15EB" w:rsidRDefault="001431DE">
            <w:pPr>
              <w:pBdr>
                <w:top w:val="nil"/>
                <w:left w:val="nil"/>
                <w:bottom w:val="nil"/>
                <w:right w:val="nil"/>
                <w:between w:val="nil"/>
              </w:pBdr>
              <w:tabs>
                <w:tab w:val="center" w:pos="4320"/>
                <w:tab w:val="right" w:pos="8640"/>
              </w:tabs>
              <w:spacing w:line="240" w:lineRule="auto"/>
              <w:ind w:left="0" w:hanging="2"/>
              <w:rPr>
                <w:rFonts w:ascii="Verdana" w:eastAsia="Verdana" w:hAnsi="Verdana" w:cs="Verdana"/>
                <w:b/>
                <w:color w:val="000000"/>
                <w:sz w:val="22"/>
                <w:szCs w:val="22"/>
              </w:rPr>
            </w:pPr>
            <w:r>
              <w:rPr>
                <w:rFonts w:ascii="Arial" w:eastAsia="Arial" w:hAnsi="Arial" w:cs="Arial"/>
                <w:b/>
                <w:color w:val="000000"/>
              </w:rPr>
              <w:t>NPRR Number</w:t>
            </w:r>
          </w:p>
        </w:tc>
        <w:tc>
          <w:tcPr>
            <w:tcW w:w="1260" w:type="dxa"/>
            <w:tcBorders>
              <w:bottom w:val="single" w:sz="4" w:space="0" w:color="000000"/>
            </w:tcBorders>
            <w:shd w:val="clear" w:color="auto" w:fill="auto"/>
            <w:vAlign w:val="center"/>
          </w:tcPr>
          <w:p w:rsidR="001B15EB" w:rsidRDefault="0013666F">
            <w:pPr>
              <w:pBdr>
                <w:top w:val="nil"/>
                <w:left w:val="nil"/>
                <w:bottom w:val="nil"/>
                <w:right w:val="nil"/>
                <w:between w:val="nil"/>
              </w:pBdr>
              <w:tabs>
                <w:tab w:val="center" w:pos="4320"/>
                <w:tab w:val="right" w:pos="8640"/>
              </w:tabs>
              <w:spacing w:line="240" w:lineRule="auto"/>
              <w:ind w:left="0" w:hanging="2"/>
              <w:rPr>
                <w:rFonts w:ascii="Arial" w:eastAsia="Arial" w:hAnsi="Arial" w:cs="Arial"/>
                <w:b/>
                <w:color w:val="000000"/>
              </w:rPr>
            </w:pPr>
            <w:hyperlink r:id="rId8" w:history="1">
              <w:r w:rsidR="001431DE" w:rsidRPr="0013666F">
                <w:rPr>
                  <w:rStyle w:val="Hyperlink"/>
                  <w:rFonts w:ascii="Arial" w:eastAsia="Arial" w:hAnsi="Arial" w:cs="Arial"/>
                  <w:b/>
                </w:rPr>
                <w:t>1224</w:t>
              </w:r>
            </w:hyperlink>
          </w:p>
        </w:tc>
        <w:tc>
          <w:tcPr>
            <w:tcW w:w="900" w:type="dxa"/>
            <w:tcBorders>
              <w:bottom w:val="single" w:sz="4" w:space="0" w:color="000000"/>
            </w:tcBorders>
            <w:shd w:val="clear" w:color="auto" w:fill="FFFFFF"/>
            <w:vAlign w:val="center"/>
          </w:tcPr>
          <w:p w:rsidR="001B15EB" w:rsidRDefault="001431DE">
            <w:pPr>
              <w:pBdr>
                <w:top w:val="nil"/>
                <w:left w:val="nil"/>
                <w:bottom w:val="nil"/>
                <w:right w:val="nil"/>
                <w:between w:val="nil"/>
              </w:pBdr>
              <w:tabs>
                <w:tab w:val="center" w:pos="4320"/>
                <w:tab w:val="right" w:pos="8640"/>
              </w:tabs>
              <w:spacing w:line="240" w:lineRule="auto"/>
              <w:ind w:left="0" w:hanging="2"/>
              <w:rPr>
                <w:rFonts w:ascii="Arial" w:eastAsia="Arial" w:hAnsi="Arial" w:cs="Arial"/>
                <w:b/>
                <w:color w:val="000000"/>
              </w:rPr>
            </w:pPr>
            <w:r>
              <w:rPr>
                <w:rFonts w:ascii="Arial" w:eastAsia="Arial" w:hAnsi="Arial" w:cs="Arial"/>
                <w:b/>
                <w:color w:val="000000"/>
              </w:rPr>
              <w:t>NPRR Title</w:t>
            </w:r>
          </w:p>
        </w:tc>
        <w:tc>
          <w:tcPr>
            <w:tcW w:w="6660" w:type="dxa"/>
            <w:tcBorders>
              <w:bottom w:val="single" w:sz="4" w:space="0" w:color="000000"/>
            </w:tcBorders>
            <w:vAlign w:val="center"/>
          </w:tcPr>
          <w:p w:rsidR="001B15EB" w:rsidRDefault="001431DE">
            <w:pPr>
              <w:pBdr>
                <w:top w:val="nil"/>
                <w:left w:val="nil"/>
                <w:bottom w:val="nil"/>
                <w:right w:val="nil"/>
                <w:between w:val="nil"/>
              </w:pBdr>
              <w:tabs>
                <w:tab w:val="center" w:pos="4320"/>
                <w:tab w:val="right" w:pos="8640"/>
              </w:tabs>
              <w:spacing w:line="240" w:lineRule="auto"/>
              <w:ind w:left="0" w:hanging="2"/>
              <w:rPr>
                <w:rFonts w:ascii="Arial" w:eastAsia="Arial" w:hAnsi="Arial" w:cs="Arial"/>
                <w:b/>
                <w:color w:val="000000"/>
              </w:rPr>
            </w:pPr>
            <w:r>
              <w:rPr>
                <w:rFonts w:ascii="Arial" w:eastAsia="Arial" w:hAnsi="Arial" w:cs="Arial"/>
                <w:b/>
                <w:color w:val="000000"/>
              </w:rPr>
              <w:t>ECRS Manual Deployment Triggers</w:t>
            </w:r>
          </w:p>
        </w:tc>
      </w:tr>
      <w:tr w:rsidR="001B15EB">
        <w:trPr>
          <w:trHeight w:val="413"/>
        </w:trPr>
        <w:tc>
          <w:tcPr>
            <w:tcW w:w="2880" w:type="dxa"/>
            <w:gridSpan w:val="2"/>
            <w:tcBorders>
              <w:top w:val="nil"/>
              <w:left w:val="nil"/>
              <w:bottom w:val="single" w:sz="4" w:space="0" w:color="000000"/>
              <w:right w:val="nil"/>
            </w:tcBorders>
            <w:vAlign w:val="center"/>
          </w:tcPr>
          <w:p w:rsidR="001B15EB" w:rsidRDefault="001B15EB">
            <w:pPr>
              <w:pBdr>
                <w:top w:val="nil"/>
                <w:left w:val="nil"/>
                <w:bottom w:val="nil"/>
                <w:right w:val="nil"/>
                <w:between w:val="nil"/>
              </w:pBdr>
              <w:spacing w:line="240" w:lineRule="auto"/>
              <w:ind w:left="0" w:hanging="2"/>
              <w:rPr>
                <w:rFonts w:ascii="Arial" w:eastAsia="Arial" w:hAnsi="Arial" w:cs="Arial"/>
                <w:color w:val="000000"/>
              </w:rPr>
            </w:pPr>
          </w:p>
        </w:tc>
        <w:tc>
          <w:tcPr>
            <w:tcW w:w="7560" w:type="dxa"/>
            <w:gridSpan w:val="2"/>
            <w:tcBorders>
              <w:top w:val="single" w:sz="4" w:space="0" w:color="000000"/>
              <w:left w:val="nil"/>
              <w:bottom w:val="nil"/>
              <w:right w:val="nil"/>
            </w:tcBorders>
            <w:vAlign w:val="center"/>
          </w:tcPr>
          <w:p w:rsidR="001B15EB" w:rsidRDefault="001B15EB">
            <w:pPr>
              <w:pBdr>
                <w:top w:val="nil"/>
                <w:left w:val="nil"/>
                <w:bottom w:val="nil"/>
                <w:right w:val="nil"/>
                <w:between w:val="nil"/>
              </w:pBdr>
              <w:spacing w:line="240" w:lineRule="auto"/>
              <w:ind w:left="0" w:hanging="2"/>
              <w:rPr>
                <w:rFonts w:ascii="Arial" w:eastAsia="Arial" w:hAnsi="Arial" w:cs="Arial"/>
                <w:color w:val="000000"/>
              </w:rPr>
            </w:pPr>
          </w:p>
        </w:tc>
      </w:tr>
      <w:tr w:rsidR="001B15EB">
        <w:trPr>
          <w:trHeight w:val="440"/>
        </w:trPr>
        <w:tc>
          <w:tcPr>
            <w:tcW w:w="2880" w:type="dxa"/>
            <w:gridSpan w:val="2"/>
            <w:tcBorders>
              <w:top w:val="single" w:sz="4" w:space="0" w:color="000000"/>
              <w:left w:val="single" w:sz="4" w:space="0" w:color="000000"/>
              <w:bottom w:val="single" w:sz="4" w:space="0" w:color="000000"/>
              <w:right w:val="single" w:sz="4" w:space="0" w:color="000000"/>
            </w:tcBorders>
            <w:vAlign w:val="center"/>
          </w:tcPr>
          <w:p w:rsidR="001B15EB" w:rsidRDefault="001431DE">
            <w:pPr>
              <w:pBdr>
                <w:top w:val="nil"/>
                <w:left w:val="nil"/>
                <w:bottom w:val="nil"/>
                <w:right w:val="nil"/>
                <w:between w:val="nil"/>
              </w:pBdr>
              <w:tabs>
                <w:tab w:val="center" w:pos="4320"/>
                <w:tab w:val="right" w:pos="8640"/>
              </w:tabs>
              <w:spacing w:line="240" w:lineRule="auto"/>
              <w:ind w:left="0" w:hanging="2"/>
              <w:rPr>
                <w:rFonts w:ascii="Arial" w:eastAsia="Arial" w:hAnsi="Arial" w:cs="Arial"/>
                <w:b/>
                <w:color w:val="000000"/>
              </w:rPr>
            </w:pPr>
            <w:r>
              <w:rPr>
                <w:rFonts w:ascii="Arial" w:eastAsia="Arial" w:hAnsi="Arial" w:cs="Arial"/>
                <w:b/>
                <w:color w:val="000000"/>
              </w:rPr>
              <w:t>Date</w:t>
            </w:r>
          </w:p>
        </w:tc>
        <w:tc>
          <w:tcPr>
            <w:tcW w:w="7560" w:type="dxa"/>
            <w:gridSpan w:val="2"/>
            <w:tcBorders>
              <w:top w:val="single" w:sz="4" w:space="0" w:color="000000"/>
              <w:left w:val="single" w:sz="4" w:space="0" w:color="000000"/>
              <w:bottom w:val="single" w:sz="4" w:space="0" w:color="000000"/>
              <w:right w:val="single" w:sz="4" w:space="0" w:color="000000"/>
            </w:tcBorders>
            <w:vAlign w:val="center"/>
          </w:tcPr>
          <w:p w:rsidR="001B15EB" w:rsidRDefault="0013666F">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April 4, 2024</w:t>
            </w:r>
          </w:p>
        </w:tc>
      </w:tr>
      <w:tr w:rsidR="001B15EB">
        <w:trPr>
          <w:trHeight w:val="467"/>
        </w:trPr>
        <w:tc>
          <w:tcPr>
            <w:tcW w:w="2880" w:type="dxa"/>
            <w:gridSpan w:val="2"/>
            <w:tcBorders>
              <w:top w:val="single" w:sz="4" w:space="0" w:color="000000"/>
              <w:left w:val="nil"/>
              <w:bottom w:val="nil"/>
              <w:right w:val="nil"/>
            </w:tcBorders>
            <w:shd w:val="clear" w:color="auto" w:fill="FFFFFF"/>
            <w:vAlign w:val="center"/>
          </w:tcPr>
          <w:p w:rsidR="001B15EB" w:rsidRDefault="001B15EB">
            <w:pPr>
              <w:pBdr>
                <w:top w:val="nil"/>
                <w:left w:val="nil"/>
                <w:bottom w:val="nil"/>
                <w:right w:val="nil"/>
                <w:between w:val="nil"/>
              </w:pBdr>
              <w:spacing w:line="240" w:lineRule="auto"/>
              <w:ind w:left="0" w:hanging="2"/>
              <w:rPr>
                <w:rFonts w:ascii="Arial" w:eastAsia="Arial" w:hAnsi="Arial" w:cs="Arial"/>
                <w:color w:val="000000"/>
              </w:rPr>
            </w:pPr>
          </w:p>
        </w:tc>
        <w:tc>
          <w:tcPr>
            <w:tcW w:w="7560" w:type="dxa"/>
            <w:gridSpan w:val="2"/>
            <w:tcBorders>
              <w:top w:val="nil"/>
              <w:left w:val="nil"/>
              <w:bottom w:val="nil"/>
              <w:right w:val="nil"/>
            </w:tcBorders>
            <w:vAlign w:val="center"/>
          </w:tcPr>
          <w:p w:rsidR="001B15EB" w:rsidRDefault="001B15EB">
            <w:pPr>
              <w:pBdr>
                <w:top w:val="nil"/>
                <w:left w:val="nil"/>
                <w:bottom w:val="nil"/>
                <w:right w:val="nil"/>
                <w:between w:val="nil"/>
              </w:pBdr>
              <w:spacing w:line="240" w:lineRule="auto"/>
              <w:ind w:left="0" w:hanging="2"/>
              <w:rPr>
                <w:rFonts w:ascii="Arial" w:eastAsia="Arial" w:hAnsi="Arial" w:cs="Arial"/>
                <w:color w:val="000000"/>
              </w:rPr>
            </w:pPr>
          </w:p>
        </w:tc>
      </w:tr>
      <w:tr w:rsidR="001B15EB">
        <w:trPr>
          <w:trHeight w:val="440"/>
        </w:trPr>
        <w:tc>
          <w:tcPr>
            <w:tcW w:w="10440" w:type="dxa"/>
            <w:gridSpan w:val="4"/>
            <w:tcBorders>
              <w:top w:val="single" w:sz="4" w:space="0" w:color="000000"/>
            </w:tcBorders>
            <w:shd w:val="clear" w:color="auto" w:fill="FFFFFF"/>
            <w:vAlign w:val="center"/>
          </w:tcPr>
          <w:p w:rsidR="001B15EB" w:rsidRDefault="001431DE">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b/>
                <w:color w:val="000000"/>
              </w:rPr>
            </w:pPr>
            <w:r>
              <w:rPr>
                <w:rFonts w:ascii="Arial" w:eastAsia="Arial" w:hAnsi="Arial" w:cs="Arial"/>
                <w:b/>
                <w:color w:val="000000"/>
              </w:rPr>
              <w:t>Submitter’s Information</w:t>
            </w:r>
          </w:p>
        </w:tc>
      </w:tr>
      <w:tr w:rsidR="001B15EB">
        <w:trPr>
          <w:trHeight w:val="350"/>
        </w:trPr>
        <w:tc>
          <w:tcPr>
            <w:tcW w:w="2880" w:type="dxa"/>
            <w:gridSpan w:val="2"/>
            <w:shd w:val="clear" w:color="auto" w:fill="FFFFFF"/>
            <w:vAlign w:val="center"/>
          </w:tcPr>
          <w:p w:rsidR="001B15EB" w:rsidRDefault="001431DE">
            <w:pPr>
              <w:pBdr>
                <w:top w:val="nil"/>
                <w:left w:val="nil"/>
                <w:bottom w:val="nil"/>
                <w:right w:val="nil"/>
                <w:between w:val="nil"/>
              </w:pBdr>
              <w:tabs>
                <w:tab w:val="center" w:pos="4320"/>
                <w:tab w:val="right" w:pos="8640"/>
              </w:tabs>
              <w:spacing w:line="240" w:lineRule="auto"/>
              <w:ind w:left="0" w:hanging="2"/>
              <w:rPr>
                <w:rFonts w:ascii="Arial" w:eastAsia="Arial" w:hAnsi="Arial" w:cs="Arial"/>
                <w:b/>
                <w:color w:val="000000"/>
              </w:rPr>
            </w:pPr>
            <w:r>
              <w:rPr>
                <w:rFonts w:ascii="Arial" w:eastAsia="Arial" w:hAnsi="Arial" w:cs="Arial"/>
                <w:b/>
                <w:color w:val="000000"/>
              </w:rPr>
              <w:t>Name</w:t>
            </w:r>
          </w:p>
        </w:tc>
        <w:tc>
          <w:tcPr>
            <w:tcW w:w="7560" w:type="dxa"/>
            <w:gridSpan w:val="2"/>
            <w:vAlign w:val="center"/>
          </w:tcPr>
          <w:p w:rsidR="001B15EB" w:rsidRDefault="001431DE">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Courtney Hjaltman, Eric Goff, John Russ Hubbard, Nikoalus Fehrenbach, Mark Dreyfus, Rick Arnett, Ryan Pfefferle</w:t>
            </w:r>
          </w:p>
        </w:tc>
      </w:tr>
      <w:tr w:rsidR="001B15EB">
        <w:trPr>
          <w:trHeight w:val="350"/>
        </w:trPr>
        <w:tc>
          <w:tcPr>
            <w:tcW w:w="2880" w:type="dxa"/>
            <w:gridSpan w:val="2"/>
            <w:shd w:val="clear" w:color="auto" w:fill="FFFFFF"/>
            <w:vAlign w:val="center"/>
          </w:tcPr>
          <w:p w:rsidR="001B15EB" w:rsidRDefault="001431DE">
            <w:pPr>
              <w:pBdr>
                <w:top w:val="nil"/>
                <w:left w:val="nil"/>
                <w:bottom w:val="nil"/>
                <w:right w:val="nil"/>
                <w:between w:val="nil"/>
              </w:pBdr>
              <w:tabs>
                <w:tab w:val="center" w:pos="4320"/>
                <w:tab w:val="right" w:pos="8640"/>
              </w:tabs>
              <w:spacing w:line="240" w:lineRule="auto"/>
              <w:ind w:left="0" w:hanging="2"/>
              <w:rPr>
                <w:rFonts w:ascii="Arial" w:eastAsia="Arial" w:hAnsi="Arial" w:cs="Arial"/>
                <w:b/>
                <w:color w:val="000000"/>
              </w:rPr>
            </w:pPr>
            <w:r>
              <w:rPr>
                <w:rFonts w:ascii="Arial" w:eastAsia="Arial" w:hAnsi="Arial" w:cs="Arial"/>
                <w:b/>
                <w:color w:val="000000"/>
              </w:rPr>
              <w:t>E-mail Address</w:t>
            </w:r>
          </w:p>
        </w:tc>
        <w:tc>
          <w:tcPr>
            <w:tcW w:w="7560" w:type="dxa"/>
            <w:gridSpan w:val="2"/>
            <w:vAlign w:val="center"/>
          </w:tcPr>
          <w:p w:rsidR="001B15EB" w:rsidRDefault="001431DE">
            <w:pPr>
              <w:pBdr>
                <w:top w:val="nil"/>
                <w:left w:val="nil"/>
                <w:bottom w:val="nil"/>
                <w:right w:val="nil"/>
                <w:between w:val="nil"/>
              </w:pBdr>
              <w:spacing w:line="240" w:lineRule="auto"/>
              <w:ind w:left="0" w:hanging="2"/>
              <w:rPr>
                <w:rFonts w:ascii="Arial" w:eastAsia="Arial" w:hAnsi="Arial" w:cs="Arial"/>
                <w:color w:val="1155CC"/>
                <w:highlight w:val="white"/>
              </w:rPr>
            </w:pPr>
            <w:hyperlink r:id="rId9">
              <w:r>
                <w:rPr>
                  <w:rFonts w:ascii="Arial" w:eastAsia="Arial" w:hAnsi="Arial" w:cs="Arial"/>
                  <w:color w:val="1155CC"/>
                  <w:u w:val="single"/>
                </w:rPr>
                <w:t>courtney.hjaltman@opuc.texas.gov</w:t>
              </w:r>
            </w:hyperlink>
            <w:r>
              <w:rPr>
                <w:rFonts w:ascii="Arial" w:eastAsia="Arial" w:hAnsi="Arial" w:cs="Arial"/>
                <w:color w:val="1155CC"/>
              </w:rPr>
              <w:t xml:space="preserve">, </w:t>
            </w:r>
            <w:hyperlink r:id="rId10">
              <w:r>
                <w:rPr>
                  <w:rFonts w:ascii="Arial" w:eastAsia="Arial" w:hAnsi="Arial" w:cs="Arial"/>
                  <w:color w:val="1155CC"/>
                  <w:u w:val="single"/>
                </w:rPr>
                <w:t>eric@goffpolicy.com</w:t>
              </w:r>
            </w:hyperlink>
            <w:r>
              <w:rPr>
                <w:rFonts w:ascii="Arial" w:eastAsia="Arial" w:hAnsi="Arial" w:cs="Arial"/>
                <w:color w:val="1155CC"/>
              </w:rPr>
              <w:t xml:space="preserve">, </w:t>
            </w:r>
            <w:hyperlink r:id="rId11">
              <w:r>
                <w:rPr>
                  <w:rFonts w:ascii="Arial" w:eastAsia="Arial" w:hAnsi="Arial" w:cs="Arial"/>
                  <w:color w:val="1155CC"/>
                  <w:u w:val="single"/>
                </w:rPr>
                <w:t>jhubbard@omm.com</w:t>
              </w:r>
            </w:hyperlink>
            <w:r>
              <w:rPr>
                <w:rFonts w:ascii="Arial" w:eastAsia="Arial" w:hAnsi="Arial" w:cs="Arial"/>
                <w:color w:val="1155CC"/>
              </w:rPr>
              <w:t xml:space="preserve">, </w:t>
            </w:r>
            <w:hyperlink r:id="rId12">
              <w:r>
                <w:rPr>
                  <w:rFonts w:ascii="Arial" w:eastAsia="Arial" w:hAnsi="Arial" w:cs="Arial"/>
                  <w:color w:val="1155CC"/>
                  <w:u w:val="single"/>
                </w:rPr>
                <w:t>mark@mdenergyconsulting.com</w:t>
              </w:r>
            </w:hyperlink>
            <w:r>
              <w:rPr>
                <w:rFonts w:ascii="Arial" w:eastAsia="Arial" w:hAnsi="Arial" w:cs="Arial"/>
                <w:color w:val="1155CC"/>
              </w:rPr>
              <w:t xml:space="preserve">, </w:t>
            </w:r>
            <w:hyperlink r:id="rId13">
              <w:r>
                <w:rPr>
                  <w:rFonts w:ascii="Arial" w:eastAsia="Arial" w:hAnsi="Arial" w:cs="Arial"/>
                  <w:color w:val="1155CC"/>
                  <w:u w:val="single"/>
                </w:rPr>
                <w:t>n.fehrenbach@dallas.gov</w:t>
              </w:r>
            </w:hyperlink>
            <w:r>
              <w:rPr>
                <w:rFonts w:ascii="Arial" w:eastAsia="Arial" w:hAnsi="Arial" w:cs="Arial"/>
                <w:color w:val="1155CC"/>
              </w:rPr>
              <w:t xml:space="preserve">, </w:t>
            </w:r>
            <w:hyperlink r:id="rId14">
              <w:r>
                <w:rPr>
                  <w:rFonts w:ascii="Arial" w:eastAsia="Arial" w:hAnsi="Arial" w:cs="Arial"/>
                  <w:color w:val="1155CC"/>
                  <w:u w:val="single"/>
                </w:rPr>
                <w:t>rarnett@lglawfirm.com</w:t>
              </w:r>
            </w:hyperlink>
            <w:r>
              <w:rPr>
                <w:rFonts w:ascii="Arial" w:eastAsia="Arial" w:hAnsi="Arial" w:cs="Arial"/>
                <w:color w:val="1155CC"/>
              </w:rPr>
              <w:t>,</w:t>
            </w:r>
            <w:r>
              <w:rPr>
                <w:rFonts w:ascii="Arial" w:eastAsia="Arial" w:hAnsi="Arial" w:cs="Arial"/>
                <w:color w:val="1155CC"/>
              </w:rPr>
              <w:t xml:space="preserve"> </w:t>
            </w:r>
            <w:hyperlink r:id="rId15">
              <w:r>
                <w:rPr>
                  <w:rFonts w:ascii="Arial" w:eastAsia="Arial" w:hAnsi="Arial" w:cs="Arial"/>
                  <w:color w:val="1155CC"/>
                  <w:highlight w:val="white"/>
                  <w:u w:val="single"/>
                </w:rPr>
                <w:t>Ryan_P</w:t>
              </w:r>
              <w:r>
                <w:rPr>
                  <w:rFonts w:ascii="Arial" w:eastAsia="Arial" w:hAnsi="Arial" w:cs="Arial"/>
                  <w:color w:val="1155CC"/>
                  <w:highlight w:val="white"/>
                  <w:u w:val="single"/>
                </w:rPr>
                <w:t>fefferle@oxy.com</w:t>
              </w:r>
            </w:hyperlink>
          </w:p>
        </w:tc>
      </w:tr>
      <w:tr w:rsidR="001B15EB">
        <w:trPr>
          <w:trHeight w:val="350"/>
        </w:trPr>
        <w:tc>
          <w:tcPr>
            <w:tcW w:w="2880" w:type="dxa"/>
            <w:gridSpan w:val="2"/>
            <w:shd w:val="clear" w:color="auto" w:fill="FFFFFF"/>
            <w:vAlign w:val="center"/>
          </w:tcPr>
          <w:p w:rsidR="001B15EB" w:rsidRDefault="001431DE">
            <w:pPr>
              <w:pBdr>
                <w:top w:val="nil"/>
                <w:left w:val="nil"/>
                <w:bottom w:val="nil"/>
                <w:right w:val="nil"/>
                <w:between w:val="nil"/>
              </w:pBdr>
              <w:tabs>
                <w:tab w:val="center" w:pos="4320"/>
                <w:tab w:val="right" w:pos="8640"/>
              </w:tabs>
              <w:spacing w:line="240" w:lineRule="auto"/>
              <w:ind w:left="0" w:hanging="2"/>
              <w:rPr>
                <w:rFonts w:ascii="Arial" w:eastAsia="Arial" w:hAnsi="Arial" w:cs="Arial"/>
                <w:b/>
                <w:color w:val="000000"/>
              </w:rPr>
            </w:pPr>
            <w:r>
              <w:rPr>
                <w:rFonts w:ascii="Arial" w:eastAsia="Arial" w:hAnsi="Arial" w:cs="Arial"/>
                <w:b/>
                <w:color w:val="000000"/>
              </w:rPr>
              <w:t>Company</w:t>
            </w:r>
          </w:p>
        </w:tc>
        <w:tc>
          <w:tcPr>
            <w:tcW w:w="7560" w:type="dxa"/>
            <w:gridSpan w:val="2"/>
            <w:vAlign w:val="center"/>
          </w:tcPr>
          <w:p w:rsidR="001B15EB" w:rsidRDefault="001431DE">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Office of Public Utility Counsel, Residential Consumer, Texas Industrial Energy Consumers, City of Dallas, City of Eastland, City of Eastland, O</w:t>
            </w:r>
            <w:r>
              <w:rPr>
                <w:rFonts w:ascii="Arial" w:eastAsia="Arial" w:hAnsi="Arial" w:cs="Arial"/>
              </w:rPr>
              <w:t>ccidental Chemical</w:t>
            </w:r>
            <w:r w:rsidR="0013666F">
              <w:rPr>
                <w:rFonts w:ascii="Arial" w:eastAsia="Arial" w:hAnsi="Arial" w:cs="Arial"/>
              </w:rPr>
              <w:t xml:space="preserve"> (“Joint Consumers”)</w:t>
            </w:r>
          </w:p>
        </w:tc>
      </w:tr>
      <w:tr w:rsidR="001B15EB">
        <w:trPr>
          <w:trHeight w:val="350"/>
        </w:trPr>
        <w:tc>
          <w:tcPr>
            <w:tcW w:w="2880" w:type="dxa"/>
            <w:gridSpan w:val="2"/>
            <w:tcBorders>
              <w:bottom w:val="single" w:sz="4" w:space="0" w:color="000000"/>
            </w:tcBorders>
            <w:shd w:val="clear" w:color="auto" w:fill="FFFFFF"/>
            <w:vAlign w:val="center"/>
          </w:tcPr>
          <w:p w:rsidR="001B15EB" w:rsidRDefault="001431DE">
            <w:pPr>
              <w:pBdr>
                <w:top w:val="nil"/>
                <w:left w:val="nil"/>
                <w:bottom w:val="nil"/>
                <w:right w:val="nil"/>
                <w:between w:val="nil"/>
              </w:pBdr>
              <w:tabs>
                <w:tab w:val="center" w:pos="4320"/>
                <w:tab w:val="right" w:pos="8640"/>
              </w:tabs>
              <w:spacing w:line="240" w:lineRule="auto"/>
              <w:ind w:left="0" w:hanging="2"/>
              <w:rPr>
                <w:rFonts w:ascii="Arial" w:eastAsia="Arial" w:hAnsi="Arial" w:cs="Arial"/>
                <w:b/>
                <w:color w:val="000000"/>
              </w:rPr>
            </w:pPr>
            <w:r>
              <w:rPr>
                <w:rFonts w:ascii="Arial" w:eastAsia="Arial" w:hAnsi="Arial" w:cs="Arial"/>
                <w:b/>
                <w:color w:val="000000"/>
              </w:rPr>
              <w:t>Phone Number</w:t>
            </w:r>
          </w:p>
        </w:tc>
        <w:tc>
          <w:tcPr>
            <w:tcW w:w="7560" w:type="dxa"/>
            <w:gridSpan w:val="2"/>
            <w:tcBorders>
              <w:bottom w:val="single" w:sz="4" w:space="0" w:color="000000"/>
            </w:tcBorders>
            <w:vAlign w:val="center"/>
          </w:tcPr>
          <w:p w:rsidR="001B15EB" w:rsidRDefault="001431DE">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512-936-7500, 512-632-7013, 737-261-8631, 214 670-5173, 512 632-5872, 512-590-9</w:t>
            </w:r>
            <w:r>
              <w:rPr>
                <w:rFonts w:ascii="Arial" w:eastAsia="Arial" w:hAnsi="Arial" w:cs="Arial"/>
                <w:color w:val="000000"/>
              </w:rPr>
              <w:t>703</w:t>
            </w:r>
          </w:p>
        </w:tc>
      </w:tr>
      <w:tr w:rsidR="001B15EB">
        <w:trPr>
          <w:trHeight w:val="350"/>
        </w:trPr>
        <w:tc>
          <w:tcPr>
            <w:tcW w:w="2880" w:type="dxa"/>
            <w:gridSpan w:val="2"/>
            <w:shd w:val="clear" w:color="auto" w:fill="FFFFFF"/>
            <w:vAlign w:val="center"/>
          </w:tcPr>
          <w:p w:rsidR="001B15EB" w:rsidRDefault="001431DE">
            <w:pPr>
              <w:pBdr>
                <w:top w:val="nil"/>
                <w:left w:val="nil"/>
                <w:bottom w:val="nil"/>
                <w:right w:val="nil"/>
                <w:between w:val="nil"/>
              </w:pBdr>
              <w:tabs>
                <w:tab w:val="center" w:pos="4320"/>
                <w:tab w:val="right" w:pos="8640"/>
              </w:tabs>
              <w:spacing w:line="240" w:lineRule="auto"/>
              <w:ind w:left="0" w:hanging="2"/>
              <w:rPr>
                <w:rFonts w:ascii="Arial" w:eastAsia="Arial" w:hAnsi="Arial" w:cs="Arial"/>
                <w:b/>
                <w:color w:val="000000"/>
              </w:rPr>
            </w:pPr>
            <w:r>
              <w:rPr>
                <w:rFonts w:ascii="Arial" w:eastAsia="Arial" w:hAnsi="Arial" w:cs="Arial"/>
                <w:b/>
                <w:color w:val="000000"/>
              </w:rPr>
              <w:t>Cell Number</w:t>
            </w:r>
          </w:p>
        </w:tc>
        <w:tc>
          <w:tcPr>
            <w:tcW w:w="7560" w:type="dxa"/>
            <w:gridSpan w:val="2"/>
            <w:vAlign w:val="center"/>
          </w:tcPr>
          <w:p w:rsidR="001B15EB" w:rsidRDefault="001B15EB">
            <w:pPr>
              <w:pBdr>
                <w:top w:val="nil"/>
                <w:left w:val="nil"/>
                <w:bottom w:val="nil"/>
                <w:right w:val="nil"/>
                <w:between w:val="nil"/>
              </w:pBdr>
              <w:spacing w:line="240" w:lineRule="auto"/>
              <w:ind w:left="0" w:hanging="2"/>
              <w:rPr>
                <w:rFonts w:ascii="Arial" w:eastAsia="Arial" w:hAnsi="Arial" w:cs="Arial"/>
                <w:color w:val="000000"/>
              </w:rPr>
            </w:pPr>
          </w:p>
        </w:tc>
      </w:tr>
      <w:tr w:rsidR="001B15EB">
        <w:trPr>
          <w:trHeight w:val="350"/>
        </w:trPr>
        <w:tc>
          <w:tcPr>
            <w:tcW w:w="2880" w:type="dxa"/>
            <w:gridSpan w:val="2"/>
            <w:tcBorders>
              <w:bottom w:val="single" w:sz="4" w:space="0" w:color="000000"/>
            </w:tcBorders>
            <w:shd w:val="clear" w:color="auto" w:fill="FFFFFF"/>
            <w:vAlign w:val="center"/>
          </w:tcPr>
          <w:p w:rsidR="001B15EB" w:rsidRDefault="001431DE">
            <w:pPr>
              <w:pBdr>
                <w:top w:val="nil"/>
                <w:left w:val="nil"/>
                <w:bottom w:val="nil"/>
                <w:right w:val="nil"/>
                <w:between w:val="nil"/>
              </w:pBdr>
              <w:tabs>
                <w:tab w:val="center" w:pos="4320"/>
                <w:tab w:val="right" w:pos="8640"/>
              </w:tabs>
              <w:spacing w:line="240" w:lineRule="auto"/>
              <w:ind w:left="0" w:hanging="2"/>
              <w:rPr>
                <w:rFonts w:ascii="Arial" w:eastAsia="Arial" w:hAnsi="Arial" w:cs="Arial"/>
                <w:b/>
                <w:color w:val="000000"/>
              </w:rPr>
            </w:pPr>
            <w:r>
              <w:rPr>
                <w:rFonts w:ascii="Arial" w:eastAsia="Arial" w:hAnsi="Arial" w:cs="Arial"/>
                <w:b/>
                <w:color w:val="000000"/>
              </w:rPr>
              <w:t>Market Segment</w:t>
            </w:r>
          </w:p>
        </w:tc>
        <w:tc>
          <w:tcPr>
            <w:tcW w:w="7560" w:type="dxa"/>
            <w:gridSpan w:val="2"/>
            <w:tcBorders>
              <w:bottom w:val="single" w:sz="4" w:space="0" w:color="000000"/>
            </w:tcBorders>
            <w:vAlign w:val="center"/>
          </w:tcPr>
          <w:p w:rsidR="001B15EB" w:rsidRDefault="001431DE">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Consumer </w:t>
            </w:r>
          </w:p>
        </w:tc>
      </w:tr>
    </w:tbl>
    <w:p w:rsidR="001B15EB" w:rsidRDefault="001B15EB">
      <w:pPr>
        <w:pBdr>
          <w:top w:val="nil"/>
          <w:left w:val="nil"/>
          <w:bottom w:val="nil"/>
          <w:right w:val="nil"/>
          <w:between w:val="nil"/>
        </w:pBdr>
        <w:spacing w:line="240" w:lineRule="auto"/>
        <w:ind w:left="0" w:hanging="2"/>
        <w:rPr>
          <w:rFonts w:ascii="Arial" w:eastAsia="Arial" w:hAnsi="Arial" w:cs="Arial"/>
          <w:color w:val="000000"/>
        </w:rPr>
      </w:pPr>
    </w:p>
    <w:tbl>
      <w:tblPr>
        <w:tblStyle w:val="a0"/>
        <w:tblW w:w="104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40"/>
      </w:tblGrid>
      <w:tr w:rsidR="001B15EB">
        <w:trPr>
          <w:trHeight w:val="422"/>
          <w:jc w:val="center"/>
        </w:trPr>
        <w:tc>
          <w:tcPr>
            <w:tcW w:w="10440" w:type="dxa"/>
            <w:vAlign w:val="center"/>
          </w:tcPr>
          <w:p w:rsidR="001B15EB" w:rsidRDefault="001431DE">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b/>
                <w:color w:val="000000"/>
              </w:rPr>
            </w:pPr>
            <w:r>
              <w:rPr>
                <w:rFonts w:ascii="Arial" w:eastAsia="Arial" w:hAnsi="Arial" w:cs="Arial"/>
                <w:b/>
                <w:color w:val="000000"/>
              </w:rPr>
              <w:t>Comments</w:t>
            </w:r>
          </w:p>
        </w:tc>
      </w:tr>
    </w:tbl>
    <w:p w:rsidR="001B15EB" w:rsidRDefault="001B15EB">
      <w:pPr>
        <w:pBdr>
          <w:top w:val="nil"/>
          <w:left w:val="nil"/>
          <w:bottom w:val="nil"/>
          <w:right w:val="nil"/>
          <w:between w:val="nil"/>
        </w:pBdr>
        <w:spacing w:line="240" w:lineRule="auto"/>
        <w:ind w:left="0" w:hanging="2"/>
        <w:rPr>
          <w:rFonts w:ascii="Arial" w:eastAsia="Arial" w:hAnsi="Arial" w:cs="Arial"/>
          <w:color w:val="000000"/>
        </w:rPr>
      </w:pPr>
    </w:p>
    <w:p w:rsidR="001B15EB" w:rsidRDefault="0013666F">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Joint </w:t>
      </w:r>
      <w:r w:rsidR="001431DE">
        <w:rPr>
          <w:rFonts w:ascii="Arial" w:eastAsia="Arial" w:hAnsi="Arial" w:cs="Arial"/>
          <w:color w:val="000000"/>
        </w:rPr>
        <w:t xml:space="preserve">Consumers appreciate ERCOT’s efforts in developing </w:t>
      </w:r>
      <w:r>
        <w:rPr>
          <w:rFonts w:ascii="Arial" w:eastAsia="Arial" w:hAnsi="Arial" w:cs="Arial"/>
          <w:color w:val="000000"/>
        </w:rPr>
        <w:t>Nodal Protocol Revision Request (</w:t>
      </w:r>
      <w:r w:rsidR="001431DE">
        <w:rPr>
          <w:rFonts w:ascii="Arial" w:eastAsia="Arial" w:hAnsi="Arial" w:cs="Arial"/>
          <w:color w:val="000000"/>
        </w:rPr>
        <w:t>NPRR</w:t>
      </w:r>
      <w:r>
        <w:rPr>
          <w:rFonts w:ascii="Arial" w:eastAsia="Arial" w:hAnsi="Arial" w:cs="Arial"/>
          <w:color w:val="000000"/>
        </w:rPr>
        <w:t xml:space="preserve">) </w:t>
      </w:r>
      <w:r w:rsidR="001431DE">
        <w:rPr>
          <w:rFonts w:ascii="Arial" w:eastAsia="Arial" w:hAnsi="Arial" w:cs="Arial"/>
          <w:color w:val="000000"/>
        </w:rPr>
        <w:t xml:space="preserve">1224, an add on to </w:t>
      </w:r>
      <w:r>
        <w:rPr>
          <w:rFonts w:ascii="Arial" w:eastAsia="Arial" w:hAnsi="Arial" w:cs="Arial"/>
          <w:color w:val="000000"/>
        </w:rPr>
        <w:t>ERCOT Contingency Reserve Service (</w:t>
      </w:r>
      <w:r w:rsidR="001431DE">
        <w:rPr>
          <w:rFonts w:ascii="Arial" w:eastAsia="Arial" w:hAnsi="Arial" w:cs="Arial"/>
          <w:color w:val="000000"/>
        </w:rPr>
        <w:t>ECRS</w:t>
      </w:r>
      <w:r>
        <w:rPr>
          <w:rFonts w:ascii="Arial" w:eastAsia="Arial" w:hAnsi="Arial" w:cs="Arial"/>
          <w:color w:val="000000"/>
        </w:rPr>
        <w:t>)</w:t>
      </w:r>
      <w:r w:rsidR="001431DE">
        <w:rPr>
          <w:rFonts w:ascii="Arial" w:eastAsia="Arial" w:hAnsi="Arial" w:cs="Arial"/>
          <w:color w:val="000000"/>
        </w:rPr>
        <w:t xml:space="preserve"> operations that may reduce price excursions and reduce costs to consumers.  </w:t>
      </w:r>
      <w:r>
        <w:rPr>
          <w:rFonts w:ascii="Arial" w:eastAsia="Arial" w:hAnsi="Arial" w:cs="Arial"/>
          <w:color w:val="000000"/>
        </w:rPr>
        <w:t xml:space="preserve">Joint </w:t>
      </w:r>
      <w:r w:rsidR="001431DE">
        <w:rPr>
          <w:rFonts w:ascii="Arial" w:eastAsia="Arial" w:hAnsi="Arial" w:cs="Arial"/>
          <w:color w:val="000000"/>
        </w:rPr>
        <w:t>Consumers view this NPRR as a step in the right direction, but request additional information to ensu</w:t>
      </w:r>
      <w:r w:rsidR="001431DE">
        <w:rPr>
          <w:rFonts w:ascii="Arial" w:eastAsia="Arial" w:hAnsi="Arial" w:cs="Arial"/>
          <w:color w:val="000000"/>
        </w:rPr>
        <w:t xml:space="preserve">re there are no unintended consequences.  While a more thorough review may not be available under ERCOT’s urgent timeline, </w:t>
      </w:r>
      <w:r>
        <w:rPr>
          <w:rFonts w:ascii="Arial" w:eastAsia="Arial" w:hAnsi="Arial" w:cs="Arial"/>
          <w:color w:val="000000"/>
        </w:rPr>
        <w:t xml:space="preserve">Joint </w:t>
      </w:r>
      <w:r w:rsidR="001431DE">
        <w:rPr>
          <w:rFonts w:ascii="Arial" w:eastAsia="Arial" w:hAnsi="Arial" w:cs="Arial"/>
          <w:color w:val="000000"/>
        </w:rPr>
        <w:t xml:space="preserve">Consumers believe that stakeholders can still approve the NPRR in time for the June Board of Directors Meeting.  Additionally, </w:t>
      </w:r>
      <w:r>
        <w:rPr>
          <w:rFonts w:ascii="Arial" w:eastAsia="Arial" w:hAnsi="Arial" w:cs="Arial"/>
          <w:color w:val="000000"/>
        </w:rPr>
        <w:t xml:space="preserve">Joint </w:t>
      </w:r>
      <w:r w:rsidR="001431DE">
        <w:rPr>
          <w:rFonts w:ascii="Arial" w:eastAsia="Arial" w:hAnsi="Arial" w:cs="Arial"/>
          <w:color w:val="000000"/>
        </w:rPr>
        <w:t>Consum</w:t>
      </w:r>
      <w:r w:rsidR="001431DE">
        <w:rPr>
          <w:rFonts w:ascii="Arial" w:eastAsia="Arial" w:hAnsi="Arial" w:cs="Arial"/>
          <w:color w:val="000000"/>
        </w:rPr>
        <w:t xml:space="preserve">ers note that aside from NPRR1224, there are additional efforts that must be made to address the market inefficiencies the Independent Market Monitor (IMM) identified last year.  </w:t>
      </w:r>
    </w:p>
    <w:p w:rsidR="0013666F" w:rsidRDefault="0013666F">
      <w:pPr>
        <w:pBdr>
          <w:top w:val="nil"/>
          <w:left w:val="nil"/>
          <w:bottom w:val="nil"/>
          <w:right w:val="nil"/>
          <w:between w:val="nil"/>
        </w:pBdr>
        <w:spacing w:line="240" w:lineRule="auto"/>
        <w:ind w:left="0" w:hanging="2"/>
        <w:rPr>
          <w:rFonts w:ascii="Arial" w:eastAsia="Arial" w:hAnsi="Arial" w:cs="Arial"/>
          <w:color w:val="000000"/>
        </w:rPr>
      </w:pPr>
    </w:p>
    <w:p w:rsidR="001B15EB" w:rsidRDefault="001431DE">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Since the beginning of organized energy markets in ERCOT, now well over two</w:t>
      </w:r>
      <w:r>
        <w:rPr>
          <w:rFonts w:ascii="Arial" w:eastAsia="Arial" w:hAnsi="Arial" w:cs="Arial"/>
          <w:color w:val="000000"/>
        </w:rPr>
        <w:t xml:space="preserve"> decades ago, consumers have stood for efficient market outcomes.  Efficient markets achieve reliability targets at lowest cost, which directly benefits all consumers in ERCOT.  This concept is embedded in the legislative intent provisions of the restructu</w:t>
      </w:r>
      <w:r>
        <w:rPr>
          <w:rFonts w:ascii="Arial" w:eastAsia="Arial" w:hAnsi="Arial" w:cs="Arial"/>
          <w:color w:val="000000"/>
        </w:rPr>
        <w:t>ring language added to PURA in 1999: “The legislature finds that … electric services and their prices should be determined by customer choices and the normal forces of competition</w:t>
      </w:r>
      <w:r>
        <w:rPr>
          <w:rFonts w:ascii="Arial" w:eastAsia="Arial" w:hAnsi="Arial" w:cs="Arial"/>
          <w:i/>
          <w:color w:val="000000"/>
        </w:rPr>
        <w:t>.”</w:t>
      </w:r>
      <w:r>
        <w:rPr>
          <w:rFonts w:ascii="Arial" w:eastAsia="Arial" w:hAnsi="Arial" w:cs="Arial"/>
          <w:color w:val="000000"/>
        </w:rPr>
        <w:t xml:space="preserve"> (PURA § 30.001(a)).  The Legislature also directed that “Regulatory author</w:t>
      </w:r>
      <w:r>
        <w:rPr>
          <w:rFonts w:ascii="Arial" w:eastAsia="Arial" w:hAnsi="Arial" w:cs="Arial"/>
          <w:color w:val="000000"/>
        </w:rPr>
        <w:t xml:space="preserve">ities … shall authorize or order competitive rather than regulatory methods … to the greatest extent feasible and shall adopt rules and issue orders that </w:t>
      </w:r>
      <w:r>
        <w:rPr>
          <w:rFonts w:ascii="Arial" w:eastAsia="Arial" w:hAnsi="Arial" w:cs="Arial"/>
          <w:color w:val="000000"/>
        </w:rPr>
        <w:lastRenderedPageBreak/>
        <w:t xml:space="preserve">are both practical and limited so as to impose the least impact on competition” (PURA § 39.001(d)).  </w:t>
      </w:r>
    </w:p>
    <w:p w:rsidR="001B15EB" w:rsidRDefault="001B15EB">
      <w:pPr>
        <w:pBdr>
          <w:top w:val="nil"/>
          <w:left w:val="nil"/>
          <w:bottom w:val="nil"/>
          <w:right w:val="nil"/>
          <w:between w:val="nil"/>
        </w:pBdr>
        <w:spacing w:line="240" w:lineRule="auto"/>
        <w:ind w:left="0" w:hanging="2"/>
        <w:rPr>
          <w:rFonts w:ascii="Arial" w:eastAsia="Arial" w:hAnsi="Arial" w:cs="Arial"/>
          <w:color w:val="000000"/>
        </w:rPr>
      </w:pPr>
    </w:p>
    <w:p w:rsidR="001B15EB" w:rsidRDefault="001431DE">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Late last year, the IMM for the ERCOT </w:t>
      </w:r>
      <w:r w:rsidR="0013666F">
        <w:rPr>
          <w:rFonts w:ascii="Arial" w:eastAsia="Arial" w:hAnsi="Arial" w:cs="Arial"/>
          <w:color w:val="000000"/>
        </w:rPr>
        <w:t>R</w:t>
      </w:r>
      <w:r>
        <w:rPr>
          <w:rFonts w:ascii="Arial" w:eastAsia="Arial" w:hAnsi="Arial" w:cs="Arial"/>
          <w:color w:val="000000"/>
        </w:rPr>
        <w:t xml:space="preserve">egion released its report finding that the operation of ECRS created an $8 to $10 billion market inefficiency, later revised to $12.5 billion.  In his presentation to the </w:t>
      </w:r>
      <w:r w:rsidR="0013666F">
        <w:rPr>
          <w:rFonts w:ascii="Arial" w:eastAsia="Arial" w:hAnsi="Arial" w:cs="Arial"/>
          <w:color w:val="000000"/>
        </w:rPr>
        <w:t>Technical Advisory Committee (</w:t>
      </w:r>
      <w:r>
        <w:rPr>
          <w:rFonts w:ascii="Arial" w:eastAsia="Arial" w:hAnsi="Arial" w:cs="Arial"/>
          <w:color w:val="000000"/>
        </w:rPr>
        <w:t>TAC</w:t>
      </w:r>
      <w:r w:rsidR="0013666F">
        <w:rPr>
          <w:rFonts w:ascii="Arial" w:eastAsia="Arial" w:hAnsi="Arial" w:cs="Arial"/>
          <w:color w:val="000000"/>
        </w:rPr>
        <w:t>)</w:t>
      </w:r>
      <w:r>
        <w:rPr>
          <w:rFonts w:ascii="Arial" w:eastAsia="Arial" w:hAnsi="Arial" w:cs="Arial"/>
          <w:color w:val="000000"/>
        </w:rPr>
        <w:t xml:space="preserve"> on December 4</w:t>
      </w:r>
      <w:r>
        <w:rPr>
          <w:rFonts w:ascii="Arial" w:eastAsia="Arial" w:hAnsi="Arial" w:cs="Arial"/>
          <w:color w:val="000000"/>
          <w:vertAlign w:val="superscript"/>
        </w:rPr>
        <w:t>th</w:t>
      </w:r>
      <w:r>
        <w:rPr>
          <w:rFonts w:ascii="Arial" w:eastAsia="Arial" w:hAnsi="Arial" w:cs="Arial"/>
          <w:color w:val="000000"/>
        </w:rPr>
        <w:t>, Dr. David Patton of Potomac Economics explained that the A</w:t>
      </w:r>
      <w:r w:rsidR="0013666F">
        <w:rPr>
          <w:rFonts w:ascii="Arial" w:eastAsia="Arial" w:hAnsi="Arial" w:cs="Arial"/>
          <w:color w:val="000000"/>
        </w:rPr>
        <w:t xml:space="preserve">ncillary </w:t>
      </w:r>
      <w:r>
        <w:rPr>
          <w:rFonts w:ascii="Arial" w:eastAsia="Arial" w:hAnsi="Arial" w:cs="Arial"/>
          <w:color w:val="000000"/>
        </w:rPr>
        <w:t>S</w:t>
      </w:r>
      <w:r w:rsidR="0013666F">
        <w:rPr>
          <w:rFonts w:ascii="Arial" w:eastAsia="Arial" w:hAnsi="Arial" w:cs="Arial"/>
          <w:color w:val="000000"/>
        </w:rPr>
        <w:t>ervice</w:t>
      </w:r>
      <w:r>
        <w:rPr>
          <w:rFonts w:ascii="Arial" w:eastAsia="Arial" w:hAnsi="Arial" w:cs="Arial"/>
          <w:color w:val="000000"/>
        </w:rPr>
        <w:t xml:space="preserve"> methodology produces excessive reserve requirements and described these costs as “the worst performance we’ve ever seen since the beginning of organized electricity markets almost 25 years ago. </w:t>
      </w:r>
      <w:r>
        <w:rPr>
          <w:rFonts w:ascii="Arial" w:eastAsia="Arial" w:hAnsi="Arial" w:cs="Arial"/>
          <w:color w:val="000000"/>
        </w:rPr>
        <w:t xml:space="preserve">… equivalent to $400 for every man, </w:t>
      </w:r>
      <w:proofErr w:type="gramStart"/>
      <w:r>
        <w:rPr>
          <w:rFonts w:ascii="Arial" w:eastAsia="Arial" w:hAnsi="Arial" w:cs="Arial"/>
          <w:color w:val="000000"/>
        </w:rPr>
        <w:t>woman</w:t>
      </w:r>
      <w:proofErr w:type="gramEnd"/>
      <w:r>
        <w:rPr>
          <w:rFonts w:ascii="Arial" w:eastAsia="Arial" w:hAnsi="Arial" w:cs="Arial"/>
          <w:color w:val="000000"/>
        </w:rPr>
        <w:t xml:space="preserve"> and child in Texas.”  Dr. Patton was very clear in his presentation to TAC that these extraordinary costs were not the result of the normal forces of competition but instead resulted from artificial shortages in th</w:t>
      </w:r>
      <w:r>
        <w:rPr>
          <w:rFonts w:ascii="Arial" w:eastAsia="Arial" w:hAnsi="Arial" w:cs="Arial"/>
          <w:color w:val="000000"/>
        </w:rPr>
        <w:t>e energy market because the energy market can’t see or access the excess reserves.  He reported that on the days that ERCOT released ECRS for capacity purposes, the ERCOT market was not in shortage.  The elevated prices were instead the result of choices a</w:t>
      </w:r>
      <w:r>
        <w:rPr>
          <w:rFonts w:ascii="Arial" w:eastAsia="Arial" w:hAnsi="Arial" w:cs="Arial"/>
          <w:color w:val="000000"/>
        </w:rPr>
        <w:t>bout the implementation of ECRS, particularly the quantity of reserves withheld from the Real-</w:t>
      </w:r>
      <w:r w:rsidR="0013666F">
        <w:rPr>
          <w:rFonts w:ascii="Arial" w:eastAsia="Arial" w:hAnsi="Arial" w:cs="Arial"/>
          <w:color w:val="000000"/>
        </w:rPr>
        <w:t>T</w:t>
      </w:r>
      <w:r>
        <w:rPr>
          <w:rFonts w:ascii="Arial" w:eastAsia="Arial" w:hAnsi="Arial" w:cs="Arial"/>
          <w:color w:val="000000"/>
        </w:rPr>
        <w:t>ime Market</w:t>
      </w:r>
      <w:r w:rsidR="0013666F">
        <w:rPr>
          <w:rFonts w:ascii="Arial" w:eastAsia="Arial" w:hAnsi="Arial" w:cs="Arial"/>
          <w:color w:val="000000"/>
        </w:rPr>
        <w:t xml:space="preserve"> (RTM)</w:t>
      </w:r>
      <w:r>
        <w:rPr>
          <w:rFonts w:ascii="Arial" w:eastAsia="Arial" w:hAnsi="Arial" w:cs="Arial"/>
          <w:color w:val="000000"/>
        </w:rPr>
        <w:t xml:space="preserve">.  As supporters of efficient competitive markets, </w:t>
      </w:r>
      <w:r w:rsidR="0013666F">
        <w:rPr>
          <w:rFonts w:ascii="Arial" w:eastAsia="Arial" w:hAnsi="Arial" w:cs="Arial"/>
          <w:color w:val="000000"/>
        </w:rPr>
        <w:t xml:space="preserve">Joint </w:t>
      </w:r>
      <w:r>
        <w:rPr>
          <w:rFonts w:ascii="Arial" w:eastAsia="Arial" w:hAnsi="Arial" w:cs="Arial"/>
          <w:color w:val="000000"/>
        </w:rPr>
        <w:t>Consumers were struck that the IMM’s analysis infers that reliability targets are not being met effi</w:t>
      </w:r>
      <w:r>
        <w:rPr>
          <w:rFonts w:ascii="Arial" w:eastAsia="Arial" w:hAnsi="Arial" w:cs="Arial"/>
          <w:color w:val="000000"/>
        </w:rPr>
        <w:t xml:space="preserve">ciently, at lowest cost, but instead at an excessive cost.  The operation of ECRS thus appears to be a regulatory approach that is neither practical nor limited </w:t>
      </w:r>
      <w:proofErr w:type="gramStart"/>
      <w:r>
        <w:rPr>
          <w:rFonts w:ascii="Arial" w:eastAsia="Arial" w:hAnsi="Arial" w:cs="Arial"/>
          <w:color w:val="000000"/>
        </w:rPr>
        <w:t>so as to</w:t>
      </w:r>
      <w:proofErr w:type="gramEnd"/>
      <w:r>
        <w:rPr>
          <w:rFonts w:ascii="Arial" w:eastAsia="Arial" w:hAnsi="Arial" w:cs="Arial"/>
          <w:color w:val="000000"/>
        </w:rPr>
        <w:t xml:space="preserve"> impose the least impact on competition, as called for by the Legislature in PURA.  </w:t>
      </w:r>
    </w:p>
    <w:p w:rsidR="001B15EB" w:rsidRDefault="001B15EB">
      <w:pPr>
        <w:pBdr>
          <w:top w:val="nil"/>
          <w:left w:val="nil"/>
          <w:bottom w:val="nil"/>
          <w:right w:val="nil"/>
          <w:between w:val="nil"/>
        </w:pBdr>
        <w:spacing w:line="240" w:lineRule="auto"/>
        <w:ind w:left="0" w:hanging="2"/>
        <w:rPr>
          <w:rFonts w:ascii="Arial" w:eastAsia="Arial" w:hAnsi="Arial" w:cs="Arial"/>
          <w:color w:val="000000"/>
        </w:rPr>
      </w:pPr>
    </w:p>
    <w:p w:rsidR="001B15EB" w:rsidRDefault="001431DE">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A</w:t>
      </w:r>
      <w:r>
        <w:rPr>
          <w:rFonts w:ascii="Arial" w:eastAsia="Arial" w:hAnsi="Arial" w:cs="Arial"/>
          <w:color w:val="000000"/>
        </w:rPr>
        <w:t>fter much discussion and a failed motion to endorse the 2024 Ancillary Services Methodology, the consumer representatives on TAC offered a compromise motion, approved by the TAC, to endorse the 2024 Ancillary Services Methodology contingent on revisiting t</w:t>
      </w:r>
      <w:r>
        <w:rPr>
          <w:rFonts w:ascii="Arial" w:eastAsia="Arial" w:hAnsi="Arial" w:cs="Arial"/>
          <w:color w:val="000000"/>
        </w:rPr>
        <w:t>he ECRS methodology by the end of April.  Stakeholders expected that ERCOT would conduct an evaluation to determine whether shortage experienced during these ECRS deployments was indeed induced by ECRS operations and policy.  And if the IMM’s conclusions a</w:t>
      </w:r>
      <w:r>
        <w:rPr>
          <w:rFonts w:ascii="Arial" w:eastAsia="Arial" w:hAnsi="Arial" w:cs="Arial"/>
          <w:color w:val="000000"/>
        </w:rPr>
        <w:t xml:space="preserve">re validated, stakeholders anticipated that ERCOT would </w:t>
      </w:r>
      <w:proofErr w:type="gramStart"/>
      <w:r>
        <w:rPr>
          <w:rFonts w:ascii="Arial" w:eastAsia="Arial" w:hAnsi="Arial" w:cs="Arial"/>
          <w:color w:val="000000"/>
        </w:rPr>
        <w:t>make an effort</w:t>
      </w:r>
      <w:proofErr w:type="gramEnd"/>
      <w:r>
        <w:rPr>
          <w:rFonts w:ascii="Arial" w:eastAsia="Arial" w:hAnsi="Arial" w:cs="Arial"/>
          <w:color w:val="000000"/>
        </w:rPr>
        <w:t xml:space="preserve"> to revisit the ECRS methodology to mitigate the market inefficiency going forward.  Unfortunately, despite requests for ERCOT </w:t>
      </w:r>
      <w:r w:rsidR="0013666F">
        <w:rPr>
          <w:rFonts w:ascii="Arial" w:eastAsia="Arial" w:hAnsi="Arial" w:cs="Arial"/>
          <w:color w:val="000000"/>
        </w:rPr>
        <w:t>S</w:t>
      </w:r>
      <w:r>
        <w:rPr>
          <w:rFonts w:ascii="Arial" w:eastAsia="Arial" w:hAnsi="Arial" w:cs="Arial"/>
          <w:color w:val="000000"/>
        </w:rPr>
        <w:t>taff to collaborate with stakeholders on the study to vali</w:t>
      </w:r>
      <w:r>
        <w:rPr>
          <w:rFonts w:ascii="Arial" w:eastAsia="Arial" w:hAnsi="Arial" w:cs="Arial"/>
          <w:color w:val="000000"/>
        </w:rPr>
        <w:t>date the IMM’s assessment and review of ECRS policy, ERCOT did not have the resources to discuss the ECRS methodology until the ECRS workshop on March 19</w:t>
      </w:r>
      <w:r>
        <w:rPr>
          <w:rFonts w:ascii="Arial" w:eastAsia="Arial" w:hAnsi="Arial" w:cs="Arial"/>
          <w:color w:val="000000"/>
          <w:vertAlign w:val="superscript"/>
        </w:rPr>
        <w:t>th</w:t>
      </w:r>
      <w:r>
        <w:rPr>
          <w:rFonts w:ascii="Arial" w:eastAsia="Arial" w:hAnsi="Arial" w:cs="Arial"/>
          <w:color w:val="000000"/>
        </w:rPr>
        <w:t xml:space="preserve">.  Accordingly, </w:t>
      </w:r>
      <w:r w:rsidR="0013666F">
        <w:rPr>
          <w:rFonts w:ascii="Arial" w:eastAsia="Arial" w:hAnsi="Arial" w:cs="Arial"/>
          <w:color w:val="000000"/>
        </w:rPr>
        <w:t xml:space="preserve">Joint </w:t>
      </w:r>
      <w:r>
        <w:rPr>
          <w:rFonts w:ascii="Arial" w:eastAsia="Arial" w:hAnsi="Arial" w:cs="Arial"/>
          <w:color w:val="000000"/>
        </w:rPr>
        <w:t xml:space="preserve">Consumers believe that additional time would be necessary to fully analyze NPRR1224. </w:t>
      </w:r>
      <w:r>
        <w:rPr>
          <w:rFonts w:ascii="Arial" w:eastAsia="Arial" w:hAnsi="Arial" w:cs="Arial"/>
          <w:color w:val="000000"/>
        </w:rPr>
        <w:t xml:space="preserve"> Particularly, </w:t>
      </w:r>
      <w:r w:rsidR="0013666F">
        <w:rPr>
          <w:rFonts w:ascii="Arial" w:eastAsia="Arial" w:hAnsi="Arial" w:cs="Arial"/>
          <w:color w:val="000000"/>
        </w:rPr>
        <w:t xml:space="preserve">Joint </w:t>
      </w:r>
      <w:r>
        <w:rPr>
          <w:rFonts w:ascii="Arial" w:eastAsia="Arial" w:hAnsi="Arial" w:cs="Arial"/>
          <w:color w:val="000000"/>
        </w:rPr>
        <w:t xml:space="preserve">Consumers are concerned that the NPRR was not supported by a cost analysis or backcast of the 2023 outcome.  </w:t>
      </w:r>
    </w:p>
    <w:p w:rsidR="001B15EB" w:rsidRDefault="001B15EB">
      <w:pPr>
        <w:pBdr>
          <w:top w:val="nil"/>
          <w:left w:val="nil"/>
          <w:bottom w:val="nil"/>
          <w:right w:val="nil"/>
          <w:between w:val="nil"/>
        </w:pBdr>
        <w:spacing w:line="240" w:lineRule="auto"/>
        <w:ind w:left="0" w:hanging="2"/>
        <w:rPr>
          <w:rFonts w:ascii="Arial" w:eastAsia="Arial" w:hAnsi="Arial" w:cs="Arial"/>
          <w:color w:val="000000"/>
        </w:rPr>
      </w:pPr>
    </w:p>
    <w:p w:rsidR="001B15EB" w:rsidRDefault="001431DE">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Based on an </w:t>
      </w:r>
      <w:proofErr w:type="gramStart"/>
      <w:r>
        <w:rPr>
          <w:rFonts w:ascii="Arial" w:eastAsia="Arial" w:hAnsi="Arial" w:cs="Arial"/>
          <w:color w:val="000000"/>
        </w:rPr>
        <w:t>initial reviews</w:t>
      </w:r>
      <w:proofErr w:type="gramEnd"/>
      <w:r>
        <w:rPr>
          <w:rFonts w:ascii="Arial" w:eastAsia="Arial" w:hAnsi="Arial" w:cs="Arial"/>
          <w:color w:val="000000"/>
        </w:rPr>
        <w:t xml:space="preserve"> of NPRR1224, </w:t>
      </w:r>
      <w:r w:rsidR="0013666F">
        <w:rPr>
          <w:rFonts w:ascii="Arial" w:eastAsia="Arial" w:hAnsi="Arial" w:cs="Arial"/>
          <w:color w:val="000000"/>
        </w:rPr>
        <w:t xml:space="preserve">Joint </w:t>
      </w:r>
      <w:r>
        <w:rPr>
          <w:rFonts w:ascii="Arial" w:eastAsia="Arial" w:hAnsi="Arial" w:cs="Arial"/>
          <w:color w:val="000000"/>
        </w:rPr>
        <w:t>Consumers find that NPRR1224 is a back-end adjustment to ECRS deployment policy that shou</w:t>
      </w:r>
      <w:r>
        <w:rPr>
          <w:rFonts w:ascii="Arial" w:eastAsia="Arial" w:hAnsi="Arial" w:cs="Arial"/>
          <w:color w:val="000000"/>
        </w:rPr>
        <w:t>ld be supported by additional cost analyses.  Further, NPRR1124 doesn’t fully resolve the competitive market failure leading to the $12.5 billion in above market costs identified by the IMM.  At the December 4</w:t>
      </w:r>
      <w:r>
        <w:rPr>
          <w:rFonts w:ascii="Arial" w:eastAsia="Arial" w:hAnsi="Arial" w:cs="Arial"/>
          <w:color w:val="000000"/>
          <w:vertAlign w:val="superscript"/>
        </w:rPr>
        <w:t>th</w:t>
      </w:r>
      <w:r>
        <w:rPr>
          <w:rFonts w:ascii="Arial" w:eastAsia="Arial" w:hAnsi="Arial" w:cs="Arial"/>
          <w:color w:val="000000"/>
        </w:rPr>
        <w:t xml:space="preserve"> TAC discussion of the 2024 Ancillary Service</w:t>
      </w:r>
      <w:r>
        <w:rPr>
          <w:rFonts w:ascii="Arial" w:eastAsia="Arial" w:hAnsi="Arial" w:cs="Arial"/>
          <w:color w:val="000000"/>
        </w:rPr>
        <w:t xml:space="preserve">s Methodology, Dr. Patton made </w:t>
      </w:r>
      <w:proofErr w:type="gramStart"/>
      <w:r>
        <w:rPr>
          <w:rFonts w:ascii="Arial" w:eastAsia="Arial" w:hAnsi="Arial" w:cs="Arial"/>
          <w:color w:val="000000"/>
        </w:rPr>
        <w:t>a number of</w:t>
      </w:r>
      <w:proofErr w:type="gramEnd"/>
      <w:r>
        <w:rPr>
          <w:rFonts w:ascii="Arial" w:eastAsia="Arial" w:hAnsi="Arial" w:cs="Arial"/>
          <w:color w:val="000000"/>
        </w:rPr>
        <w:t xml:space="preserve"> recommendations to mitigate the market inefficiency introduced by ECRS operations.  Those recommendations include a change in the approach to </w:t>
      </w:r>
      <w:r>
        <w:rPr>
          <w:rFonts w:ascii="Arial" w:eastAsia="Arial" w:hAnsi="Arial" w:cs="Arial"/>
          <w:color w:val="000000"/>
        </w:rPr>
        <w:lastRenderedPageBreak/>
        <w:t xml:space="preserve">reliability modeling to quantify the reliability risks to be addressed </w:t>
      </w:r>
      <w:r>
        <w:rPr>
          <w:rFonts w:ascii="Arial" w:eastAsia="Arial" w:hAnsi="Arial" w:cs="Arial"/>
          <w:color w:val="000000"/>
        </w:rPr>
        <w:t>by the A</w:t>
      </w:r>
      <w:r w:rsidR="0013666F">
        <w:rPr>
          <w:rFonts w:ascii="Arial" w:eastAsia="Arial" w:hAnsi="Arial" w:cs="Arial"/>
          <w:color w:val="000000"/>
        </w:rPr>
        <w:t xml:space="preserve">ncillary </w:t>
      </w:r>
      <w:r>
        <w:rPr>
          <w:rFonts w:ascii="Arial" w:eastAsia="Arial" w:hAnsi="Arial" w:cs="Arial"/>
          <w:color w:val="000000"/>
        </w:rPr>
        <w:t>S</w:t>
      </w:r>
      <w:r w:rsidR="0013666F">
        <w:rPr>
          <w:rFonts w:ascii="Arial" w:eastAsia="Arial" w:hAnsi="Arial" w:cs="Arial"/>
          <w:color w:val="000000"/>
        </w:rPr>
        <w:t>ervice</w:t>
      </w:r>
      <w:r>
        <w:rPr>
          <w:rFonts w:ascii="Arial" w:eastAsia="Arial" w:hAnsi="Arial" w:cs="Arial"/>
          <w:color w:val="000000"/>
        </w:rPr>
        <w:t xml:space="preserve"> procurements using a stochastic model and four short-term adjustments in the methodology for 2024 to mitigate the inefficient costs caused by the ECRS methodology.  None of these recommendations from the ERCOT IMM are addressed in NPRR1224.    </w:t>
      </w:r>
    </w:p>
    <w:p w:rsidR="001B15EB" w:rsidRDefault="001B15EB">
      <w:pPr>
        <w:pBdr>
          <w:top w:val="nil"/>
          <w:left w:val="nil"/>
          <w:bottom w:val="nil"/>
          <w:right w:val="nil"/>
          <w:between w:val="nil"/>
        </w:pBdr>
        <w:spacing w:line="240" w:lineRule="auto"/>
        <w:ind w:left="0" w:hanging="2"/>
        <w:rPr>
          <w:rFonts w:ascii="Arial" w:eastAsia="Arial" w:hAnsi="Arial" w:cs="Arial"/>
          <w:color w:val="000000"/>
        </w:rPr>
      </w:pPr>
    </w:p>
    <w:p w:rsidR="001B15EB" w:rsidRDefault="0013666F">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Joint </w:t>
      </w:r>
      <w:r w:rsidR="001431DE">
        <w:rPr>
          <w:rFonts w:ascii="Arial" w:eastAsia="Arial" w:hAnsi="Arial" w:cs="Arial"/>
          <w:color w:val="000000"/>
        </w:rPr>
        <w:t>Consumers propose the following steps to move forward on NPRR1224:</w:t>
      </w:r>
    </w:p>
    <w:p w:rsidR="001B15EB" w:rsidRDefault="001431DE" w:rsidP="0013666F">
      <w:pPr>
        <w:numPr>
          <w:ilvl w:val="0"/>
          <w:numId w:val="1"/>
        </w:numPr>
        <w:pBdr>
          <w:top w:val="nil"/>
          <w:left w:val="nil"/>
          <w:bottom w:val="nil"/>
          <w:right w:val="nil"/>
          <w:between w:val="nil"/>
        </w:pBdr>
        <w:spacing w:before="120" w:after="120" w:line="240" w:lineRule="auto"/>
        <w:ind w:leftChars="1" w:left="448" w:hangingChars="186" w:hanging="446"/>
        <w:rPr>
          <w:rFonts w:ascii="Arial" w:eastAsia="Arial" w:hAnsi="Arial" w:cs="Arial"/>
          <w:color w:val="000000"/>
        </w:rPr>
      </w:pPr>
      <w:r>
        <w:rPr>
          <w:rFonts w:ascii="Arial" w:eastAsia="Arial" w:hAnsi="Arial" w:cs="Arial"/>
          <w:color w:val="000000"/>
        </w:rPr>
        <w:t>PRS reject urgency at the April 5</w:t>
      </w:r>
      <w:r>
        <w:rPr>
          <w:rFonts w:ascii="Arial" w:eastAsia="Arial" w:hAnsi="Arial" w:cs="Arial"/>
          <w:color w:val="000000"/>
          <w:vertAlign w:val="superscript"/>
        </w:rPr>
        <w:t>th</w:t>
      </w:r>
      <w:r>
        <w:rPr>
          <w:rFonts w:ascii="Arial" w:eastAsia="Arial" w:hAnsi="Arial" w:cs="Arial"/>
          <w:color w:val="000000"/>
        </w:rPr>
        <w:t xml:space="preserve"> meeting of the PRS.</w:t>
      </w:r>
    </w:p>
    <w:p w:rsidR="001B15EB" w:rsidRDefault="001431DE" w:rsidP="0013666F">
      <w:pPr>
        <w:numPr>
          <w:ilvl w:val="0"/>
          <w:numId w:val="1"/>
        </w:numPr>
        <w:pBdr>
          <w:top w:val="nil"/>
          <w:left w:val="nil"/>
          <w:bottom w:val="nil"/>
          <w:right w:val="nil"/>
          <w:between w:val="nil"/>
        </w:pBdr>
        <w:spacing w:before="120" w:after="120" w:line="240" w:lineRule="auto"/>
        <w:ind w:leftChars="1" w:left="448" w:hangingChars="186" w:hanging="446"/>
        <w:rPr>
          <w:rFonts w:ascii="Arial" w:eastAsia="Arial" w:hAnsi="Arial" w:cs="Arial"/>
          <w:color w:val="000000"/>
        </w:rPr>
      </w:pPr>
      <w:r>
        <w:rPr>
          <w:rFonts w:ascii="Arial" w:eastAsia="Arial" w:hAnsi="Arial" w:cs="Arial"/>
          <w:color w:val="000000"/>
        </w:rPr>
        <w:t>ERCOT release to stakeholders the complete analysis performed related to ECRS in preparation for this NPRR referenced in ERCOT’s presentation to the R&amp;M Committee on December 19 (Item 14.1) and in the presentation to TAC on March 19 (Review of ECRS minimum</w:t>
      </w:r>
      <w:r>
        <w:rPr>
          <w:rFonts w:ascii="Arial" w:eastAsia="Arial" w:hAnsi="Arial" w:cs="Arial"/>
          <w:color w:val="000000"/>
        </w:rPr>
        <w:t xml:space="preserve"> Quantity Determination and Deployment).</w:t>
      </w:r>
    </w:p>
    <w:p w:rsidR="001B15EB" w:rsidRDefault="001431DE" w:rsidP="0013666F">
      <w:pPr>
        <w:numPr>
          <w:ilvl w:val="0"/>
          <w:numId w:val="1"/>
        </w:numPr>
        <w:pBdr>
          <w:top w:val="nil"/>
          <w:left w:val="nil"/>
          <w:bottom w:val="nil"/>
          <w:right w:val="nil"/>
          <w:between w:val="nil"/>
        </w:pBdr>
        <w:spacing w:before="120" w:after="120" w:line="240" w:lineRule="auto"/>
        <w:ind w:leftChars="1" w:left="448" w:hangingChars="186" w:hanging="446"/>
        <w:rPr>
          <w:rFonts w:ascii="Arial" w:eastAsia="Arial" w:hAnsi="Arial" w:cs="Arial"/>
          <w:color w:val="000000"/>
        </w:rPr>
      </w:pPr>
      <w:r>
        <w:rPr>
          <w:rFonts w:ascii="Arial" w:eastAsia="Arial" w:hAnsi="Arial" w:cs="Arial"/>
          <w:color w:val="000000"/>
        </w:rPr>
        <w:t>ERCOT and the IMM conduct a backcast of the proposed NPRR to 2023 using the same methodology so the results can be fully comparable.  ERCOT and the IMM should also fully evaluate and report on the cost impact that e</w:t>
      </w:r>
      <w:r>
        <w:rPr>
          <w:rFonts w:ascii="Arial" w:eastAsia="Arial" w:hAnsi="Arial" w:cs="Arial"/>
          <w:color w:val="000000"/>
        </w:rPr>
        <w:t>arly release of ECRS will have on pricing and whether there is a net benefit.  The backcast should consider behavioral changes as assumptions if possible.</w:t>
      </w:r>
    </w:p>
    <w:p w:rsidR="001B15EB" w:rsidRDefault="001431DE" w:rsidP="0013666F">
      <w:pPr>
        <w:numPr>
          <w:ilvl w:val="0"/>
          <w:numId w:val="1"/>
        </w:numPr>
        <w:pBdr>
          <w:top w:val="nil"/>
          <w:left w:val="nil"/>
          <w:bottom w:val="nil"/>
          <w:right w:val="nil"/>
          <w:between w:val="nil"/>
        </w:pBdr>
        <w:spacing w:before="120" w:after="120" w:line="240" w:lineRule="auto"/>
        <w:ind w:leftChars="1" w:left="448" w:hangingChars="186" w:hanging="446"/>
        <w:rPr>
          <w:rFonts w:ascii="Arial" w:eastAsia="Arial" w:hAnsi="Arial" w:cs="Arial"/>
          <w:color w:val="000000"/>
        </w:rPr>
      </w:pPr>
      <w:r>
        <w:rPr>
          <w:rFonts w:ascii="Arial" w:eastAsia="Arial" w:hAnsi="Arial" w:cs="Arial"/>
          <w:color w:val="000000"/>
        </w:rPr>
        <w:t xml:space="preserve">Following the review of the backcast analysis, TAC </w:t>
      </w:r>
      <w:proofErr w:type="gramStart"/>
      <w:r>
        <w:rPr>
          <w:rFonts w:ascii="Arial" w:eastAsia="Arial" w:hAnsi="Arial" w:cs="Arial"/>
          <w:color w:val="000000"/>
        </w:rPr>
        <w:t>consider</w:t>
      </w:r>
      <w:proofErr w:type="gramEnd"/>
      <w:r>
        <w:rPr>
          <w:rFonts w:ascii="Arial" w:eastAsia="Arial" w:hAnsi="Arial" w:cs="Arial"/>
          <w:color w:val="000000"/>
        </w:rPr>
        <w:t xml:space="preserve"> NPRR1224 in time for the June meeting of </w:t>
      </w:r>
      <w:r>
        <w:rPr>
          <w:rFonts w:ascii="Arial" w:eastAsia="Arial" w:hAnsi="Arial" w:cs="Arial"/>
          <w:color w:val="000000"/>
        </w:rPr>
        <w:t>the Board of Directors, if approved by TAC.</w:t>
      </w:r>
    </w:p>
    <w:p w:rsidR="001B15EB" w:rsidRDefault="001431DE" w:rsidP="0013666F">
      <w:pPr>
        <w:numPr>
          <w:ilvl w:val="0"/>
          <w:numId w:val="1"/>
        </w:numPr>
        <w:pBdr>
          <w:top w:val="nil"/>
          <w:left w:val="nil"/>
          <w:bottom w:val="nil"/>
          <w:right w:val="nil"/>
          <w:between w:val="nil"/>
        </w:pBdr>
        <w:spacing w:before="120" w:after="120" w:line="240" w:lineRule="auto"/>
        <w:ind w:leftChars="1" w:left="448" w:hangingChars="186" w:hanging="446"/>
        <w:rPr>
          <w:rFonts w:ascii="Arial" w:eastAsia="Arial" w:hAnsi="Arial" w:cs="Arial"/>
          <w:color w:val="000000"/>
        </w:rPr>
      </w:pPr>
      <w:r>
        <w:rPr>
          <w:rFonts w:ascii="Arial" w:eastAsia="Arial" w:hAnsi="Arial" w:cs="Arial"/>
          <w:color w:val="000000"/>
        </w:rPr>
        <w:t>Stakeholders request that the Commission in its upcoming Ancillary Services study undertake a comprehensive review of the ECRS methodology, including requiring ERCOT and the IMM to provide to the Commission and s</w:t>
      </w:r>
      <w:r>
        <w:rPr>
          <w:rFonts w:ascii="Arial" w:eastAsia="Arial" w:hAnsi="Arial" w:cs="Arial"/>
          <w:color w:val="000000"/>
        </w:rPr>
        <w:t xml:space="preserve">takeholders, with sufficient time for review and comment, validation of the IMM’s analysis, assessment of alternatives to address any identified market failures, and the backcast of the proposed NPRR referenced above.  </w:t>
      </w:r>
    </w:p>
    <w:tbl>
      <w:tblPr>
        <w:tblStyle w:val="a1"/>
        <w:tblW w:w="10440"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40"/>
      </w:tblGrid>
      <w:tr w:rsidR="001B15EB">
        <w:trPr>
          <w:trHeight w:val="350"/>
        </w:trPr>
        <w:tc>
          <w:tcPr>
            <w:tcW w:w="10440" w:type="dxa"/>
            <w:tcBorders>
              <w:bottom w:val="single" w:sz="4" w:space="0" w:color="000000"/>
            </w:tcBorders>
            <w:shd w:val="clear" w:color="auto" w:fill="FFFFFF"/>
            <w:vAlign w:val="center"/>
          </w:tcPr>
          <w:p w:rsidR="001B15EB" w:rsidRDefault="001431DE">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b/>
                <w:color w:val="000000"/>
              </w:rPr>
            </w:pPr>
            <w:r>
              <w:rPr>
                <w:rFonts w:ascii="Arial" w:eastAsia="Arial" w:hAnsi="Arial" w:cs="Arial"/>
                <w:b/>
                <w:color w:val="000000"/>
              </w:rPr>
              <w:t>Revised Cover Page Language</w:t>
            </w:r>
          </w:p>
        </w:tc>
      </w:tr>
    </w:tbl>
    <w:p w:rsidR="001B15EB" w:rsidRDefault="0013666F" w:rsidP="0013666F">
      <w:pPr>
        <w:pBdr>
          <w:top w:val="nil"/>
          <w:left w:val="nil"/>
          <w:bottom w:val="nil"/>
          <w:right w:val="nil"/>
          <w:between w:val="nil"/>
        </w:pBdr>
        <w:spacing w:before="120" w:after="120" w:line="240" w:lineRule="auto"/>
        <w:ind w:leftChars="0" w:left="0" w:firstLineChars="0" w:firstLine="0"/>
        <w:rPr>
          <w:rFonts w:ascii="Arial" w:eastAsia="Arial" w:hAnsi="Arial" w:cs="Arial"/>
          <w:color w:val="000000"/>
        </w:rPr>
      </w:pPr>
      <w:r>
        <w:rPr>
          <w:rFonts w:ascii="Arial" w:eastAsia="Arial" w:hAnsi="Arial" w:cs="Arial"/>
          <w:color w:val="000000"/>
        </w:rPr>
        <w:t>None</w:t>
      </w:r>
    </w:p>
    <w:tbl>
      <w:tblPr>
        <w:tblStyle w:val="a2"/>
        <w:tblW w:w="10440"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40"/>
      </w:tblGrid>
      <w:tr w:rsidR="001B15EB">
        <w:trPr>
          <w:trHeight w:val="350"/>
        </w:trPr>
        <w:tc>
          <w:tcPr>
            <w:tcW w:w="10440" w:type="dxa"/>
            <w:tcBorders>
              <w:bottom w:val="single" w:sz="4" w:space="0" w:color="000000"/>
            </w:tcBorders>
            <w:shd w:val="clear" w:color="auto" w:fill="FFFFFF"/>
            <w:vAlign w:val="center"/>
          </w:tcPr>
          <w:p w:rsidR="001B15EB" w:rsidRDefault="001431DE">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b/>
                <w:color w:val="000000"/>
              </w:rPr>
            </w:pPr>
            <w:r>
              <w:rPr>
                <w:rFonts w:ascii="Arial" w:eastAsia="Arial" w:hAnsi="Arial" w:cs="Arial"/>
                <w:b/>
                <w:color w:val="000000"/>
              </w:rPr>
              <w:t>Revised Proposed Protocol Language</w:t>
            </w:r>
          </w:p>
        </w:tc>
      </w:tr>
    </w:tbl>
    <w:p w:rsidR="001B15EB" w:rsidRPr="001431DE" w:rsidRDefault="0013666F" w:rsidP="0013666F">
      <w:pPr>
        <w:pBdr>
          <w:top w:val="nil"/>
          <w:left w:val="nil"/>
          <w:bottom w:val="nil"/>
          <w:right w:val="nil"/>
          <w:between w:val="nil"/>
        </w:pBdr>
        <w:spacing w:before="120" w:after="120" w:line="240" w:lineRule="auto"/>
        <w:ind w:leftChars="0" w:left="0" w:firstLineChars="0" w:firstLine="0"/>
        <w:rPr>
          <w:rFonts w:ascii="Arial" w:eastAsia="Arial" w:hAnsi="Arial" w:cs="Arial"/>
          <w:color w:val="000000"/>
        </w:rPr>
      </w:pPr>
      <w:r>
        <w:rPr>
          <w:rFonts w:ascii="Arial" w:eastAsia="Arial" w:hAnsi="Arial" w:cs="Arial"/>
          <w:color w:val="000000"/>
        </w:rPr>
        <w:t>None</w:t>
      </w:r>
    </w:p>
    <w:sectPr w:rsidR="001B15EB" w:rsidRPr="001431DE">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431DE" w:rsidRDefault="001431DE">
      <w:pPr>
        <w:spacing w:line="240" w:lineRule="auto"/>
        <w:ind w:left="0" w:hanging="2"/>
      </w:pPr>
      <w:r>
        <w:separator/>
      </w:r>
    </w:p>
  </w:endnote>
  <w:endnote w:type="continuationSeparator" w:id="0">
    <w:p w:rsidR="001431DE" w:rsidRDefault="001431D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66F" w:rsidRDefault="0013666F">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B15EB" w:rsidRDefault="0013666F">
    <w:pPr>
      <w:pBdr>
        <w:top w:val="nil"/>
        <w:left w:val="nil"/>
        <w:bottom w:val="nil"/>
        <w:right w:val="nil"/>
        <w:between w:val="nil"/>
      </w:pBdr>
      <w:tabs>
        <w:tab w:val="center" w:pos="4320"/>
        <w:tab w:val="right" w:pos="8640"/>
        <w:tab w:val="right" w:pos="9360"/>
      </w:tabs>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1224</w:t>
    </w:r>
    <w:r w:rsidR="001431DE">
      <w:rPr>
        <w:rFonts w:ascii="Arial" w:eastAsia="Arial" w:hAnsi="Arial" w:cs="Arial"/>
        <w:color w:val="000000"/>
        <w:sz w:val="18"/>
        <w:szCs w:val="18"/>
      </w:rPr>
      <w:t>NPRR</w:t>
    </w:r>
    <w:r>
      <w:rPr>
        <w:rFonts w:ascii="Arial" w:eastAsia="Arial" w:hAnsi="Arial" w:cs="Arial"/>
        <w:color w:val="000000"/>
        <w:sz w:val="18"/>
        <w:szCs w:val="18"/>
      </w:rPr>
      <w:t>-0</w:t>
    </w:r>
    <w:r w:rsidR="001431DE">
      <w:rPr>
        <w:rFonts w:ascii="Arial" w:eastAsia="Arial" w:hAnsi="Arial" w:cs="Arial"/>
        <w:color w:val="000000"/>
        <w:sz w:val="18"/>
        <w:szCs w:val="18"/>
      </w:rPr>
      <w:t>3</w:t>
    </w:r>
    <w:r>
      <w:rPr>
        <w:rFonts w:ascii="Arial" w:eastAsia="Arial" w:hAnsi="Arial" w:cs="Arial"/>
        <w:color w:val="000000"/>
        <w:sz w:val="18"/>
        <w:szCs w:val="18"/>
      </w:rPr>
      <w:t xml:space="preserve"> Joint Consumers</w:t>
    </w:r>
    <w:r w:rsidR="001431DE">
      <w:rPr>
        <w:rFonts w:ascii="Arial" w:eastAsia="Arial" w:hAnsi="Arial" w:cs="Arial"/>
        <w:color w:val="000000"/>
        <w:sz w:val="18"/>
        <w:szCs w:val="18"/>
      </w:rPr>
      <w:t xml:space="preserve"> Comment</w:t>
    </w:r>
    <w:r>
      <w:rPr>
        <w:rFonts w:ascii="Arial" w:eastAsia="Arial" w:hAnsi="Arial" w:cs="Arial"/>
        <w:color w:val="000000"/>
        <w:sz w:val="18"/>
        <w:szCs w:val="18"/>
      </w:rPr>
      <w:t>s 040424</w:t>
    </w:r>
    <w:r>
      <w:rPr>
        <w:rFonts w:ascii="Arial" w:eastAsia="Arial" w:hAnsi="Arial" w:cs="Arial"/>
        <w:color w:val="000000"/>
        <w:sz w:val="18"/>
        <w:szCs w:val="18"/>
      </w:rPr>
      <w:tab/>
    </w:r>
    <w:r w:rsidR="001431DE">
      <w:rPr>
        <w:rFonts w:ascii="Arial" w:eastAsia="Arial" w:hAnsi="Arial" w:cs="Arial"/>
        <w:color w:val="000000"/>
        <w:sz w:val="18"/>
        <w:szCs w:val="18"/>
      </w:rPr>
      <w:tab/>
      <w:t xml:space="preserve">Page </w:t>
    </w:r>
    <w:r w:rsidR="001431DE">
      <w:rPr>
        <w:rFonts w:ascii="Arial" w:eastAsia="Arial" w:hAnsi="Arial" w:cs="Arial"/>
        <w:color w:val="000000"/>
        <w:sz w:val="18"/>
        <w:szCs w:val="18"/>
      </w:rPr>
      <w:fldChar w:fldCharType="begin"/>
    </w:r>
    <w:r w:rsidR="001431DE">
      <w:rPr>
        <w:rFonts w:ascii="Arial" w:eastAsia="Arial" w:hAnsi="Arial" w:cs="Arial"/>
        <w:color w:val="000000"/>
        <w:sz w:val="18"/>
        <w:szCs w:val="18"/>
      </w:rPr>
      <w:instrText>PAGE</w:instrText>
    </w:r>
    <w:r w:rsidR="001431DE">
      <w:rPr>
        <w:rFonts w:ascii="Arial" w:eastAsia="Arial" w:hAnsi="Arial" w:cs="Arial"/>
        <w:color w:val="000000"/>
        <w:sz w:val="18"/>
        <w:szCs w:val="18"/>
      </w:rPr>
      <w:fldChar w:fldCharType="separate"/>
    </w:r>
    <w:r>
      <w:rPr>
        <w:rFonts w:ascii="Arial" w:eastAsia="Arial" w:hAnsi="Arial" w:cs="Arial"/>
        <w:noProof/>
        <w:color w:val="000000"/>
        <w:sz w:val="18"/>
        <w:szCs w:val="18"/>
      </w:rPr>
      <w:t>1</w:t>
    </w:r>
    <w:r w:rsidR="001431DE">
      <w:rPr>
        <w:rFonts w:ascii="Arial" w:eastAsia="Arial" w:hAnsi="Arial" w:cs="Arial"/>
        <w:color w:val="000000"/>
        <w:sz w:val="18"/>
        <w:szCs w:val="18"/>
      </w:rPr>
      <w:fldChar w:fldCharType="end"/>
    </w:r>
    <w:r w:rsidR="001431DE">
      <w:rPr>
        <w:rFonts w:ascii="Arial" w:eastAsia="Arial" w:hAnsi="Arial" w:cs="Arial"/>
        <w:color w:val="000000"/>
        <w:sz w:val="18"/>
        <w:szCs w:val="18"/>
      </w:rPr>
      <w:t xml:space="preserve"> of </w:t>
    </w:r>
    <w:r w:rsidR="001431DE">
      <w:rPr>
        <w:rFonts w:ascii="Arial" w:eastAsia="Arial" w:hAnsi="Arial" w:cs="Arial"/>
        <w:color w:val="000000"/>
        <w:sz w:val="18"/>
        <w:szCs w:val="18"/>
      </w:rPr>
      <w:fldChar w:fldCharType="begin"/>
    </w:r>
    <w:r w:rsidR="001431DE">
      <w:rPr>
        <w:rFonts w:ascii="Arial" w:eastAsia="Arial" w:hAnsi="Arial" w:cs="Arial"/>
        <w:color w:val="000000"/>
        <w:sz w:val="18"/>
        <w:szCs w:val="18"/>
      </w:rPr>
      <w:instrText>NUMPAGES</w:instrText>
    </w:r>
    <w:r w:rsidR="001431DE">
      <w:rPr>
        <w:rFonts w:ascii="Arial" w:eastAsia="Arial" w:hAnsi="Arial" w:cs="Arial"/>
        <w:color w:val="000000"/>
        <w:sz w:val="18"/>
        <w:szCs w:val="18"/>
      </w:rPr>
      <w:fldChar w:fldCharType="separate"/>
    </w:r>
    <w:r>
      <w:rPr>
        <w:rFonts w:ascii="Arial" w:eastAsia="Arial" w:hAnsi="Arial" w:cs="Arial"/>
        <w:noProof/>
        <w:color w:val="000000"/>
        <w:sz w:val="18"/>
        <w:szCs w:val="18"/>
      </w:rPr>
      <w:t>2</w:t>
    </w:r>
    <w:r w:rsidR="001431DE">
      <w:rPr>
        <w:rFonts w:ascii="Arial" w:eastAsia="Arial" w:hAnsi="Arial" w:cs="Arial"/>
        <w:color w:val="000000"/>
        <w:sz w:val="18"/>
        <w:szCs w:val="18"/>
      </w:rPr>
      <w:fldChar w:fldCharType="end"/>
    </w:r>
  </w:p>
  <w:p w:rsidR="001B15EB" w:rsidRDefault="001431DE">
    <w:pPr>
      <w:pBdr>
        <w:top w:val="nil"/>
        <w:left w:val="nil"/>
        <w:bottom w:val="nil"/>
        <w:right w:val="nil"/>
        <w:between w:val="nil"/>
      </w:pBdr>
      <w:tabs>
        <w:tab w:val="center" w:pos="4320"/>
        <w:tab w:val="right" w:pos="8640"/>
        <w:tab w:val="right" w:pos="9360"/>
      </w:tabs>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66F" w:rsidRDefault="0013666F">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431DE" w:rsidRDefault="001431DE">
      <w:pPr>
        <w:spacing w:line="240" w:lineRule="auto"/>
        <w:ind w:left="0" w:hanging="2"/>
      </w:pPr>
      <w:r>
        <w:separator/>
      </w:r>
    </w:p>
  </w:footnote>
  <w:footnote w:type="continuationSeparator" w:id="0">
    <w:p w:rsidR="001431DE" w:rsidRDefault="001431DE">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66F" w:rsidRDefault="0013666F">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B15EB" w:rsidRPr="001431DE" w:rsidRDefault="001431DE" w:rsidP="001431DE">
    <w:pPr>
      <w:pBdr>
        <w:top w:val="nil"/>
        <w:left w:val="nil"/>
        <w:bottom w:val="nil"/>
        <w:right w:val="nil"/>
        <w:between w:val="nil"/>
      </w:pBdr>
      <w:tabs>
        <w:tab w:val="center" w:pos="4320"/>
        <w:tab w:val="right" w:pos="8640"/>
      </w:tabs>
      <w:spacing w:line="240" w:lineRule="auto"/>
      <w:ind w:left="1" w:hanging="3"/>
      <w:jc w:val="center"/>
      <w:rPr>
        <w:rFonts w:ascii="Arial" w:eastAsia="Arial" w:hAnsi="Arial" w:cs="Arial"/>
        <w:b/>
        <w:color w:val="000000"/>
        <w:sz w:val="32"/>
        <w:szCs w:val="32"/>
      </w:rPr>
    </w:pPr>
    <w:r>
      <w:rPr>
        <w:rFonts w:ascii="Arial" w:eastAsia="Arial" w:hAnsi="Arial" w:cs="Arial"/>
        <w:b/>
        <w:color w:val="000000"/>
        <w:sz w:val="32"/>
        <w:szCs w:val="32"/>
      </w:rPr>
      <w:t>NPRR Comment</w:t>
    </w:r>
    <w:r>
      <w:rPr>
        <w:rFonts w:ascii="Arial" w:eastAsia="Arial" w:hAnsi="Arial" w:cs="Arial"/>
        <w:b/>
        <w:color w:val="000000"/>
        <w:sz w:val="32"/>
        <w:szCs w:val="32"/>
      </w:rPr>
      <w: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66F" w:rsidRDefault="0013666F">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E0881"/>
    <w:multiLevelType w:val="multilevel"/>
    <w:tmpl w:val="C4DE000A"/>
    <w:lvl w:ilvl="0">
      <w:start w:val="1"/>
      <w:numFmt w:val="bullet"/>
      <w:pStyle w:val="Heading1"/>
      <w:lvlText w:val="●"/>
      <w:lvlJc w:val="left"/>
      <w:pPr>
        <w:ind w:left="720" w:hanging="360"/>
      </w:pPr>
      <w:rPr>
        <w:rFonts w:ascii="Noto Sans Symbols" w:eastAsia="Noto Sans Symbols" w:hAnsi="Noto Sans Symbols" w:cs="Noto Sans Symbols"/>
        <w:vertAlign w:val="baseline"/>
      </w:rPr>
    </w:lvl>
    <w:lvl w:ilvl="1">
      <w:start w:val="1"/>
      <w:numFmt w:val="bullet"/>
      <w:pStyle w:val="Heading2"/>
      <w:lvlText w:val="o"/>
      <w:lvlJc w:val="left"/>
      <w:pPr>
        <w:ind w:left="1440" w:hanging="360"/>
      </w:pPr>
      <w:rPr>
        <w:rFonts w:ascii="Courier New" w:eastAsia="Courier New" w:hAnsi="Courier New" w:cs="Courier New"/>
        <w:vertAlign w:val="baseline"/>
      </w:rPr>
    </w:lvl>
    <w:lvl w:ilvl="2">
      <w:start w:val="1"/>
      <w:numFmt w:val="bullet"/>
      <w:pStyle w:val="Heading3"/>
      <w:lvlText w:val="▪"/>
      <w:lvlJc w:val="left"/>
      <w:pPr>
        <w:ind w:left="2160" w:hanging="360"/>
      </w:pPr>
      <w:rPr>
        <w:rFonts w:ascii="Noto Sans Symbols" w:eastAsia="Noto Sans Symbols" w:hAnsi="Noto Sans Symbols" w:cs="Noto Sans Symbols"/>
        <w:vertAlign w:val="baseline"/>
      </w:rPr>
    </w:lvl>
    <w:lvl w:ilvl="3">
      <w:start w:val="1"/>
      <w:numFmt w:val="bullet"/>
      <w:pStyle w:val="Heading4"/>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6EA86EF1"/>
    <w:multiLevelType w:val="multilevel"/>
    <w:tmpl w:val="E546354A"/>
    <w:lvl w:ilvl="0">
      <w:start w:val="1"/>
      <w:numFmt w:val="decimal"/>
      <w:pStyle w:val="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733895246">
    <w:abstractNumId w:val="0"/>
  </w:num>
  <w:num w:numId="2" w16cid:durableId="17611790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5EB"/>
    <w:rsid w:val="0013666F"/>
    <w:rsid w:val="001431DE"/>
    <w:rsid w:val="001B1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FB4DF7"/>
  <w15:docId w15:val="{998F01AA-FAF3-450C-A9D0-55E5484BD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0">
    <w:name w:val="heading 1"/>
    <w:basedOn w:val="Normal"/>
    <w:next w:val="Normal"/>
    <w:uiPriority w:val="9"/>
    <w:qFormat/>
    <w:pPr>
      <w:keepNext/>
      <w:keepLines/>
      <w:spacing w:before="480" w:after="120"/>
    </w:pPr>
    <w:rPr>
      <w:b/>
      <w:sz w:val="48"/>
      <w:szCs w:val="48"/>
    </w:rPr>
  </w:style>
  <w:style w:type="paragraph" w:styleId="Heading20">
    <w:name w:val="heading 2"/>
    <w:basedOn w:val="Normal"/>
    <w:next w:val="Normal"/>
    <w:uiPriority w:val="9"/>
    <w:semiHidden/>
    <w:unhideWhenUsed/>
    <w:qFormat/>
    <w:pPr>
      <w:keepNext/>
      <w:keepLines/>
      <w:spacing w:before="360" w:after="80"/>
      <w:outlineLvl w:val="1"/>
    </w:pPr>
    <w:rPr>
      <w:b/>
      <w:sz w:val="36"/>
      <w:szCs w:val="36"/>
    </w:rPr>
  </w:style>
  <w:style w:type="paragraph" w:styleId="Heading30">
    <w:name w:val="heading 3"/>
    <w:basedOn w:val="Normal"/>
    <w:next w:val="Normal"/>
    <w:uiPriority w:val="9"/>
    <w:semiHidden/>
    <w:unhideWhenUsed/>
    <w:qFormat/>
    <w:pPr>
      <w:keepNext/>
      <w:keepLines/>
      <w:spacing w:before="280" w:after="80"/>
      <w:outlineLvl w:val="2"/>
    </w:pPr>
    <w:rPr>
      <w:b/>
      <w:sz w:val="28"/>
      <w:szCs w:val="28"/>
    </w:rPr>
  </w:style>
  <w:style w:type="paragraph" w:styleId="Heading40">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pPr>
      <w:spacing w:before="240" w:after="60"/>
      <w:outlineLvl w:val="6"/>
    </w:pPr>
    <w:rPr>
      <w:szCs w:val="20"/>
    </w:rPr>
  </w:style>
  <w:style w:type="paragraph" w:styleId="Heading8">
    <w:name w:val="heading 8"/>
    <w:basedOn w:val="Normal"/>
    <w:next w:val="Normal"/>
    <w:pPr>
      <w:spacing w:before="240" w:after="60"/>
      <w:outlineLvl w:val="7"/>
    </w:pPr>
    <w:rPr>
      <w:i/>
      <w:szCs w:val="20"/>
    </w:rPr>
  </w:style>
  <w:style w:type="paragraph" w:styleId="Heading9">
    <w:name w:val="heading 9"/>
    <w:basedOn w:val="Normal"/>
    <w:next w:val="Normal"/>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Heading1">
    <w:name w:val="heading 1"/>
    <w:aliases w:val="h1"/>
    <w:basedOn w:val="Normal"/>
    <w:next w:val="Normal"/>
    <w:pPr>
      <w:keepNext/>
      <w:numPr>
        <w:numId w:val="1"/>
      </w:numPr>
      <w:spacing w:after="240"/>
      <w:ind w:left="-1" w:hanging="1"/>
    </w:pPr>
    <w:rPr>
      <w:b/>
      <w:caps/>
      <w:szCs w:val="20"/>
    </w:rPr>
  </w:style>
  <w:style w:type="paragraph" w:customStyle="1" w:styleId="Heading2">
    <w:name w:val="heading 2"/>
    <w:aliases w:val="h2"/>
    <w:basedOn w:val="Normal"/>
    <w:next w:val="Normal"/>
    <w:pPr>
      <w:keepNext/>
      <w:numPr>
        <w:ilvl w:val="1"/>
        <w:numId w:val="1"/>
      </w:numPr>
      <w:spacing w:before="240" w:after="240"/>
      <w:ind w:left="-1" w:hanging="1"/>
      <w:outlineLvl w:val="1"/>
    </w:pPr>
    <w:rPr>
      <w:b/>
      <w:szCs w:val="20"/>
    </w:rPr>
  </w:style>
  <w:style w:type="paragraph" w:customStyle="1" w:styleId="Heading3">
    <w:name w:val="heading 3"/>
    <w:aliases w:val="h3"/>
    <w:basedOn w:val="Normal"/>
    <w:next w:val="Normal"/>
    <w:pPr>
      <w:keepNext/>
      <w:numPr>
        <w:ilvl w:val="2"/>
        <w:numId w:val="1"/>
      </w:numPr>
      <w:spacing w:before="120" w:after="120"/>
      <w:ind w:left="-1" w:hanging="1"/>
      <w:outlineLvl w:val="2"/>
    </w:pPr>
    <w:rPr>
      <w:b/>
      <w:bCs/>
      <w:i/>
      <w:iCs/>
      <w:szCs w:val="20"/>
    </w:rPr>
  </w:style>
  <w:style w:type="paragraph" w:customStyle="1" w:styleId="Heading4">
    <w:name w:val="heading 4"/>
    <w:aliases w:val="h4"/>
    <w:basedOn w:val="Normal"/>
    <w:next w:val="Normal"/>
    <w:pPr>
      <w:keepNext/>
      <w:widowControl w:val="0"/>
      <w:numPr>
        <w:ilvl w:val="3"/>
        <w:numId w:val="1"/>
      </w:numPr>
      <w:spacing w:before="360" w:after="240"/>
      <w:ind w:left="-1" w:hanging="1"/>
      <w:outlineLvl w:val="3"/>
    </w:pPr>
    <w:rPr>
      <w:b/>
      <w:bCs/>
      <w:snapToGrid w:val="0"/>
      <w:szCs w:val="20"/>
    </w:rPr>
  </w:style>
  <w:style w:type="paragraph" w:customStyle="1" w:styleId="Heading50">
    <w:name w:val="heading 5"/>
    <w:aliases w:val="h5"/>
    <w:basedOn w:val="Normal"/>
    <w:next w:val="Normal"/>
    <w:pPr>
      <w:spacing w:before="240" w:after="60"/>
      <w:outlineLvl w:val="4"/>
    </w:pPr>
    <w:rPr>
      <w:b/>
      <w:i/>
      <w:sz w:val="26"/>
      <w:szCs w:val="20"/>
    </w:rPr>
  </w:style>
  <w:style w:type="paragraph" w:customStyle="1" w:styleId="Heading60">
    <w:name w:val="heading 6"/>
    <w:aliases w:val="h6"/>
    <w:basedOn w:val="Normal"/>
    <w:next w:val="Normal"/>
    <w:pPr>
      <w:spacing w:before="240" w:after="60"/>
      <w:outlineLvl w:val="5"/>
    </w:pPr>
    <w:rPr>
      <w:b/>
      <w:sz w:val="22"/>
      <w:szCs w:val="20"/>
    </w:rPr>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uppressAutoHyphens/>
      <w:spacing w:after="120" w:line="1" w:lineRule="atLeast"/>
      <w:ind w:leftChars="-1" w:left="-1" w:hangingChars="1" w:hanging="1"/>
      <w:textDirection w:val="btLr"/>
      <w:textAlignment w:val="top"/>
      <w:outlineLvl w:val="0"/>
    </w:pPr>
    <w:rPr>
      <w:position w:val="-1"/>
    </w:rPr>
  </w:style>
  <w:style w:type="paragraph" w:customStyle="1" w:styleId="TXUHeader">
    <w:name w:val="TXUHeader"/>
    <w:basedOn w:val="TXUNormal"/>
    <w:pPr>
      <w:tabs>
        <w:tab w:val="right" w:pos="9360"/>
      </w:tabs>
      <w:spacing w:after="0"/>
    </w:pPr>
    <w:rPr>
      <w:noProof/>
      <w:sz w:val="16"/>
      <w:lang/>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w w:val="100"/>
      <w:position w:val="-1"/>
      <w:u w:val="single"/>
      <w:effect w:val="none"/>
      <w:vertAlign w:val="baseline"/>
      <w:cs w:val="0"/>
      <w:em w:val="non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ind w:left="-1" w:hanging="1"/>
    </w:pPr>
    <w:rPr>
      <w:szCs w:val="20"/>
    </w:rPr>
  </w:style>
  <w:style w:type="paragraph" w:styleId="BalloonText">
    <w:name w:val="Balloon Text"/>
    <w:basedOn w:val="Normal"/>
    <w:rPr>
      <w:rFonts w:ascii="Tahoma" w:hAnsi="Tahoma" w:cs="Tahoma"/>
      <w:sz w:val="16"/>
      <w:szCs w:val="16"/>
    </w:rPr>
  </w:style>
  <w:style w:type="paragraph" w:customStyle="1" w:styleId="NormalArial">
    <w:name w:val="Normal+Arial"/>
    <w:basedOn w:val="Normal"/>
    <w:rPr>
      <w:rFonts w:ascii="Arial" w:hAnsi="Arial"/>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character" w:customStyle="1" w:styleId="apple-converted-space">
    <w:name w:val="apple-converted-space"/>
    <w:basedOn w:val="DefaultParagraphFont"/>
    <w:rPr>
      <w:w w:val="100"/>
      <w:position w:val="-1"/>
      <w:effect w:val="none"/>
      <w:vertAlign w:val="baseline"/>
      <w:cs w:val="0"/>
      <w:em w:val="none"/>
    </w:rPr>
  </w:style>
  <w:style w:type="paragraph" w:styleId="Revision">
    <w:name w:val="Revision"/>
    <w:pPr>
      <w:suppressAutoHyphens/>
      <w:spacing w:line="1" w:lineRule="atLeast"/>
      <w:ind w:leftChars="-1" w:left="-1" w:hangingChars="1" w:hanging="1"/>
      <w:textDirection w:val="btLr"/>
      <w:textAlignment w:val="top"/>
      <w:outlineLvl w:val="0"/>
    </w:pPr>
    <w:rPr>
      <w:position w:val="-1"/>
    </w:r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224" TargetMode="External"/><Relationship Id="rId13" Type="http://schemas.openxmlformats.org/officeDocument/2006/relationships/hyperlink" Target="mailto:n.fehrenbach@dallas.gov"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mark@mdenergyconsulting.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hubbard@omm.com" TargetMode="External"/><Relationship Id="rId5" Type="http://schemas.openxmlformats.org/officeDocument/2006/relationships/webSettings" Target="webSettings.xml"/><Relationship Id="rId15" Type="http://schemas.openxmlformats.org/officeDocument/2006/relationships/hyperlink" Target="mailto:Ryan_Pfefferle@oxy.com" TargetMode="External"/><Relationship Id="rId23" Type="http://schemas.openxmlformats.org/officeDocument/2006/relationships/theme" Target="theme/theme1.xml"/><Relationship Id="rId10" Type="http://schemas.openxmlformats.org/officeDocument/2006/relationships/hyperlink" Target="mailto:eric@goffpolicy.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courtney.hjaltman@opuc.texas.gov" TargetMode="External"/><Relationship Id="rId14" Type="http://schemas.openxmlformats.org/officeDocument/2006/relationships/hyperlink" Target="mailto:rarnett@lglawfirm.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jLk3CPXDr+4CjQfLwtI0IM2RHw==">CgMxLjA4AGpHCjVzdWdnZXN0SWRJbXBvcnRkNWViN2MzNy00NjE5LTQzNDEtOTg1YS0xNDliNDUzOTE2OWRfNRIOUmljaGFyZCBBcm5ldHRqRwo1c3VnZ2VzdElkSW1wb3J0ZDVlYjdjMzctNDYxOS00MzQxLTk4NWEtMTQ5YjQ1MzkxNjlkXzYSDlJpY2hhcmQgQXJuZXR0akcKNXN1Z2dlc3RJZEltcG9ydGQ1ZWI3YzM3LTQ2MTktNDM0MS05ODVhLTE0OWI0NTM5MTY5ZF8xEg5SaWNoYXJkIEFybmV0dGpHCjVzdWdnZXN0SWRJbXBvcnRkNWViN2MzNy00NjE5LTQzNDEtOTg1YS0xNDliNDUzOTE2OWRfMhIOUmljaGFyZCBBcm5ldHRyITF6dWE4YmRHdGdUc3djV1FRWWtla1VhcDJ2MVhYWFYz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1177</Words>
  <Characters>6715</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ERCOT</Company>
  <LinksUpToDate>false</LinksUpToDate>
  <CharactersWithSpaces>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ERCOT/if</dc:creator>
  <cp:lastModifiedBy>ERCOT</cp:lastModifiedBy>
  <cp:revision>2</cp:revision>
  <dcterms:created xsi:type="dcterms:W3CDTF">2024-04-04T18:15:00Z</dcterms:created>
  <dcterms:modified xsi:type="dcterms:W3CDTF">2024-04-04T18:15:00Z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2024-04-04T18:15:09Z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73a57145-daba-46aa-9976-97309086b0a6</vt:lpwstr>
  </property>
  <property fmtid="{D5CDD505-2E9C-101B-9397-08002B2CF9AE}" pid="8" name="MSIP_Label_7084cbda-52b8-46fb-a7b7-cb5bd465ed85_ContentBits">
    <vt:lpwstr>0</vt:lpwstr>
  </property>
</Properties>
</file>