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CE304D" w:rsidP="00F44236">
            <w:pPr>
              <w:pStyle w:val="Header"/>
            </w:pPr>
            <w:hyperlink r:id="rId7" w:history="1">
              <w:r w:rsidR="009B4443"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CE304D" w:rsidRPr="00E01925" w14:paraId="236E8D20" w14:textId="77777777" w:rsidTr="00BC2D06">
        <w:trPr>
          <w:trHeight w:val="518"/>
        </w:trPr>
        <w:tc>
          <w:tcPr>
            <w:tcW w:w="2880" w:type="dxa"/>
            <w:gridSpan w:val="2"/>
            <w:shd w:val="clear" w:color="auto" w:fill="FFFFFF"/>
            <w:vAlign w:val="center"/>
          </w:tcPr>
          <w:p w14:paraId="10855500" w14:textId="0F44F158" w:rsidR="00CE304D" w:rsidRPr="00E01925" w:rsidRDefault="00CE304D" w:rsidP="00CE304D">
            <w:pPr>
              <w:pStyle w:val="Header"/>
              <w:rPr>
                <w:bCs w:val="0"/>
              </w:rPr>
            </w:pPr>
            <w:r w:rsidRPr="00E01925">
              <w:rPr>
                <w:bCs w:val="0"/>
              </w:rPr>
              <w:t xml:space="preserve">Date </w:t>
            </w:r>
            <w:r>
              <w:rPr>
                <w:bCs w:val="0"/>
              </w:rPr>
              <w:t>of Decision</w:t>
            </w:r>
          </w:p>
        </w:tc>
        <w:tc>
          <w:tcPr>
            <w:tcW w:w="7560" w:type="dxa"/>
            <w:gridSpan w:val="2"/>
            <w:vAlign w:val="center"/>
          </w:tcPr>
          <w:p w14:paraId="661A8BB5" w14:textId="13A0821C" w:rsidR="00CE304D" w:rsidRPr="00E01925" w:rsidRDefault="00CE304D" w:rsidP="00CE304D">
            <w:pPr>
              <w:pStyle w:val="NormalArial"/>
              <w:spacing w:before="120" w:after="120"/>
            </w:pPr>
            <w:r>
              <w:t>February 14, 2024</w:t>
            </w:r>
          </w:p>
        </w:tc>
      </w:tr>
      <w:tr w:rsidR="00CE304D" w:rsidRPr="00E01925" w14:paraId="17DC0100" w14:textId="77777777" w:rsidTr="00BC2D06">
        <w:trPr>
          <w:trHeight w:val="518"/>
        </w:trPr>
        <w:tc>
          <w:tcPr>
            <w:tcW w:w="2880" w:type="dxa"/>
            <w:gridSpan w:val="2"/>
            <w:shd w:val="clear" w:color="auto" w:fill="FFFFFF"/>
            <w:vAlign w:val="center"/>
          </w:tcPr>
          <w:p w14:paraId="1829E100" w14:textId="08B5D5C0" w:rsidR="00CE304D" w:rsidRPr="00E01925" w:rsidRDefault="00CE304D" w:rsidP="00CE304D">
            <w:pPr>
              <w:pStyle w:val="Header"/>
              <w:rPr>
                <w:bCs w:val="0"/>
              </w:rPr>
            </w:pPr>
            <w:r w:rsidRPr="00FD7AC3">
              <w:t>Action</w:t>
            </w:r>
          </w:p>
        </w:tc>
        <w:tc>
          <w:tcPr>
            <w:tcW w:w="7560" w:type="dxa"/>
            <w:gridSpan w:val="2"/>
            <w:vAlign w:val="center"/>
          </w:tcPr>
          <w:p w14:paraId="19A9883B" w14:textId="42D5CE89" w:rsidR="00CE304D" w:rsidRDefault="00CE304D" w:rsidP="00CE304D">
            <w:pPr>
              <w:pStyle w:val="NormalArial"/>
              <w:spacing w:before="120" w:after="120"/>
            </w:pPr>
            <w:r>
              <w:t>Tabled</w:t>
            </w:r>
          </w:p>
        </w:tc>
      </w:tr>
      <w:tr w:rsidR="00CE304D" w:rsidRPr="00E01925" w14:paraId="62F21706" w14:textId="77777777" w:rsidTr="00BC2D06">
        <w:trPr>
          <w:trHeight w:val="518"/>
        </w:trPr>
        <w:tc>
          <w:tcPr>
            <w:tcW w:w="2880" w:type="dxa"/>
            <w:gridSpan w:val="2"/>
            <w:shd w:val="clear" w:color="auto" w:fill="FFFFFF"/>
            <w:vAlign w:val="center"/>
          </w:tcPr>
          <w:p w14:paraId="72EEBEEB" w14:textId="1F6148EB" w:rsidR="00CE304D" w:rsidRPr="00E01925" w:rsidRDefault="00CE304D" w:rsidP="00CE304D">
            <w:pPr>
              <w:pStyle w:val="Header"/>
              <w:rPr>
                <w:bCs w:val="0"/>
              </w:rPr>
            </w:pPr>
            <w:r>
              <w:t>Estimated Impacts</w:t>
            </w:r>
          </w:p>
        </w:tc>
        <w:tc>
          <w:tcPr>
            <w:tcW w:w="7560" w:type="dxa"/>
            <w:gridSpan w:val="2"/>
            <w:vAlign w:val="center"/>
          </w:tcPr>
          <w:p w14:paraId="72372F77" w14:textId="7D2C1D8F" w:rsidR="00CE304D" w:rsidRDefault="00CE304D" w:rsidP="00CE304D">
            <w:pPr>
              <w:pStyle w:val="NormalArial"/>
              <w:spacing w:before="120" w:after="120"/>
            </w:pPr>
            <w:r>
              <w:t>Cost/Budgetary:  See Nodal Protocol Revision Request (NPRR) 1188, Implementation of Emergency Pricing Program</w:t>
            </w:r>
          </w:p>
          <w:p w14:paraId="4C1F2C44" w14:textId="14C657E9" w:rsidR="00CE304D" w:rsidRDefault="00CE304D" w:rsidP="00CE304D">
            <w:pPr>
              <w:pStyle w:val="NormalArial"/>
              <w:spacing w:before="120" w:after="120"/>
            </w:pPr>
            <w:r>
              <w:t>Project Duration:  See NPRR</w:t>
            </w:r>
            <w:r>
              <w:t>1216</w:t>
            </w:r>
          </w:p>
        </w:tc>
      </w:tr>
      <w:tr w:rsidR="00CE304D" w:rsidRPr="00E01925" w14:paraId="3FEFDD2C" w14:textId="77777777" w:rsidTr="00BC2D06">
        <w:trPr>
          <w:trHeight w:val="518"/>
        </w:trPr>
        <w:tc>
          <w:tcPr>
            <w:tcW w:w="2880" w:type="dxa"/>
            <w:gridSpan w:val="2"/>
            <w:shd w:val="clear" w:color="auto" w:fill="FFFFFF"/>
            <w:vAlign w:val="center"/>
          </w:tcPr>
          <w:p w14:paraId="7C43378D" w14:textId="05F5907D" w:rsidR="00CE304D" w:rsidRPr="00E01925" w:rsidRDefault="00CE304D" w:rsidP="00CE304D">
            <w:pPr>
              <w:pStyle w:val="Header"/>
              <w:rPr>
                <w:bCs w:val="0"/>
              </w:rPr>
            </w:pPr>
            <w:r>
              <w:t>Proposed Effective Date</w:t>
            </w:r>
          </w:p>
        </w:tc>
        <w:tc>
          <w:tcPr>
            <w:tcW w:w="7560" w:type="dxa"/>
            <w:gridSpan w:val="2"/>
            <w:vAlign w:val="center"/>
          </w:tcPr>
          <w:p w14:paraId="39B716BB" w14:textId="38B4CF4C" w:rsidR="00CE304D" w:rsidRDefault="00CE304D" w:rsidP="00CE304D">
            <w:pPr>
              <w:pStyle w:val="NormalArial"/>
              <w:spacing w:before="120" w:after="120"/>
            </w:pPr>
            <w:r>
              <w:t>To be determined</w:t>
            </w:r>
          </w:p>
        </w:tc>
      </w:tr>
      <w:tr w:rsidR="00CE304D"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7D459A28" w:rsidR="00CE304D" w:rsidRDefault="00CE304D" w:rsidP="00CE304D">
            <w:pPr>
              <w:pStyle w:val="Header"/>
            </w:pPr>
            <w:r>
              <w:t>Priority and Rank Assigned</w:t>
            </w:r>
          </w:p>
        </w:tc>
        <w:tc>
          <w:tcPr>
            <w:tcW w:w="7560" w:type="dxa"/>
            <w:gridSpan w:val="2"/>
            <w:tcBorders>
              <w:top w:val="single" w:sz="4" w:space="0" w:color="auto"/>
            </w:tcBorders>
            <w:vAlign w:val="center"/>
          </w:tcPr>
          <w:p w14:paraId="43894448" w14:textId="6629B8E8" w:rsidR="00CE304D" w:rsidRPr="00FB509B" w:rsidRDefault="00CE304D" w:rsidP="00CE304D">
            <w:pPr>
              <w:pStyle w:val="NormalArial"/>
              <w:spacing w:before="120" w:after="120"/>
            </w:pPr>
            <w:r>
              <w:t>To be determined</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C37198">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538D812C" w:rsidR="00D252D1" w:rsidRDefault="00C37198" w:rsidP="00C37198">
            <w:pPr>
              <w:pStyle w:val="NormalArial"/>
              <w:spacing w:before="120" w:after="120"/>
            </w:pPr>
            <w:r>
              <w:t>Nodal Protocol Revision Request (</w:t>
            </w:r>
            <w:r w:rsidR="00653C1C">
              <w:t>NPRR</w:t>
            </w:r>
            <w:r>
              <w:t>)</w:t>
            </w:r>
            <w:r w:rsidR="00653C1C">
              <w:t xml:space="preserve"> </w:t>
            </w:r>
            <w:r w:rsidR="009B4443">
              <w:t>1216</w:t>
            </w:r>
            <w:r w:rsidR="00C95D8B">
              <w:t>,</w:t>
            </w:r>
            <w:r w:rsidR="00653C1C">
              <w:t xml:space="preserve"> Implement</w:t>
            </w:r>
            <w:r w:rsidR="00C95D8B">
              <w:t>ation of</w:t>
            </w:r>
            <w:r w:rsidR="00653C1C">
              <w:t xml:space="preserve"> Emergency Pricing Program</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5D7E7E6A"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8" o:title=""/>
                </v:shape>
                <w:control r:id="rId9" w:name="TextBox112" w:shapeid="_x0000_i105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5C57F978"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53" type="#_x0000_t75" style="width:15.6pt;height:15pt" o:ole="">
                  <v:imagedata r:id="rId8" o:title=""/>
                </v:shape>
                <w:control r:id="rId11" w:name="TextBox17" w:shapeid="_x0000_i105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5BD4277D"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55" type="#_x0000_t75" style="width:15.6pt;height:15pt" o:ole="">
                  <v:imagedata r:id="rId8" o:title=""/>
                </v:shape>
                <w:control r:id="rId13" w:name="TextBox122" w:shapeid="_x0000_i105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26AE085B" w:rsidR="00D252D1" w:rsidRDefault="00D252D1" w:rsidP="00D252D1">
            <w:pPr>
              <w:pStyle w:val="NormalArial"/>
              <w:spacing w:before="120"/>
              <w:rPr>
                <w:iCs/>
                <w:kern w:val="24"/>
              </w:rPr>
            </w:pPr>
            <w:r w:rsidRPr="006629C8">
              <w:object w:dxaOrig="225" w:dyaOrig="225" w14:anchorId="4FB41842">
                <v:shape id="_x0000_i1057" type="#_x0000_t75" style="width:15.6pt;height:15pt" o:ole="">
                  <v:imagedata r:id="rId8" o:title=""/>
                </v:shape>
                <w:control r:id="rId15" w:name="TextBox13" w:shapeid="_x0000_i1057"/>
              </w:object>
            </w:r>
            <w:r w:rsidRPr="006629C8">
              <w:t xml:space="preserve">  </w:t>
            </w:r>
            <w:r>
              <w:rPr>
                <w:iCs/>
                <w:kern w:val="24"/>
              </w:rPr>
              <w:t>Administrative</w:t>
            </w:r>
          </w:p>
          <w:p w14:paraId="6B00E6F0" w14:textId="699C5906" w:rsidR="00D252D1" w:rsidRDefault="00D252D1" w:rsidP="00D252D1">
            <w:pPr>
              <w:pStyle w:val="NormalArial"/>
              <w:spacing w:before="120"/>
              <w:rPr>
                <w:iCs/>
                <w:kern w:val="24"/>
              </w:rPr>
            </w:pPr>
            <w:r w:rsidRPr="006629C8">
              <w:object w:dxaOrig="225" w:dyaOrig="225" w14:anchorId="4B137C42">
                <v:shape id="_x0000_i1059" type="#_x0000_t75" style="width:15.6pt;height:15pt" o:ole="">
                  <v:imagedata r:id="rId16" o:title=""/>
                </v:shape>
                <w:control r:id="rId17" w:name="TextBox14" w:shapeid="_x0000_i1059"/>
              </w:object>
            </w:r>
            <w:r w:rsidRPr="006629C8">
              <w:t xml:space="preserve">  </w:t>
            </w:r>
            <w:r>
              <w:rPr>
                <w:iCs/>
                <w:kern w:val="24"/>
              </w:rPr>
              <w:t>Regulatory requirements</w:t>
            </w:r>
          </w:p>
          <w:p w14:paraId="1CA86DF1" w14:textId="200AEA6F" w:rsidR="00D252D1" w:rsidRPr="00CD242D" w:rsidRDefault="00D252D1" w:rsidP="00D252D1">
            <w:pPr>
              <w:pStyle w:val="NormalArial"/>
              <w:spacing w:before="120"/>
              <w:rPr>
                <w:rFonts w:cs="Arial"/>
                <w:color w:val="000000"/>
              </w:rPr>
            </w:pPr>
            <w:r w:rsidRPr="006629C8">
              <w:object w:dxaOrig="225" w:dyaOrig="225" w14:anchorId="4592D97A">
                <v:shape id="_x0000_i1061" type="#_x0000_t75" style="width:15.6pt;height:15pt" o:ole="">
                  <v:imagedata r:id="rId8" o:title=""/>
                </v:shape>
                <w:control r:id="rId18" w:name="TextBox15" w:shapeid="_x0000_i106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r w:rsidR="00CE304D" w:rsidRPr="00D30239" w14:paraId="6779E8AC"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0FBF1" w14:textId="77777777" w:rsidR="00CE304D" w:rsidRDefault="00CE304D" w:rsidP="009161C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7E1F0D" w14:textId="66839C80" w:rsidR="00CE304D" w:rsidRPr="00D30239" w:rsidRDefault="00CE304D" w:rsidP="00CE304D">
            <w:pPr>
              <w:pStyle w:val="NormalArial"/>
              <w:spacing w:before="100" w:beforeAutospacing="1" w:after="120"/>
            </w:pPr>
            <w:r w:rsidRPr="00D30239">
              <w:t xml:space="preserve">On </w:t>
            </w:r>
            <w:r>
              <w:t>2/14/24</w:t>
            </w:r>
            <w:r w:rsidRPr="00D30239">
              <w:t>, TAC voted unanimously to table OBDRR0</w:t>
            </w:r>
            <w:r>
              <w:t>51</w:t>
            </w:r>
            <w:r w:rsidRPr="00D30239">
              <w:t>.  All Market Segments participated in the vote.</w:t>
            </w:r>
          </w:p>
        </w:tc>
      </w:tr>
      <w:tr w:rsidR="00CE304D" w:rsidRPr="00D30239" w14:paraId="1BB1702E"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DFFC1B" w14:textId="77777777" w:rsidR="00CE304D" w:rsidRDefault="00CE304D" w:rsidP="009161C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D767AF" w14:textId="0BD3F320" w:rsidR="00CE304D" w:rsidRPr="00D30239" w:rsidRDefault="00CE304D" w:rsidP="00CE304D">
            <w:pPr>
              <w:pStyle w:val="NormalArial"/>
              <w:spacing w:before="100" w:beforeAutospacing="1" w:after="120"/>
            </w:pPr>
            <w:r w:rsidRPr="00D30239">
              <w:t xml:space="preserve">On </w:t>
            </w:r>
            <w:r>
              <w:t>2/14/24</w:t>
            </w:r>
            <w:r w:rsidRPr="00D30239">
              <w:t xml:space="preserve">, </w:t>
            </w:r>
            <w:r>
              <w:t>participants discussed the possibility of moving VOLL language out of this Other Binding Document and into the Protocols alongside other parameters and values proposed within NPRR1216</w:t>
            </w:r>
            <w:r w:rsidRPr="00D30239">
              <w:t>.</w:t>
            </w:r>
          </w:p>
        </w:tc>
      </w:tr>
      <w:tr w:rsidR="00CE304D" w:rsidRPr="00D30239" w14:paraId="504536DB"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2952C1" w14:textId="77777777" w:rsidR="00CE304D" w:rsidRDefault="00CE304D" w:rsidP="009161CB">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878E0" w14:textId="5C3B8CF8" w:rsidR="00CE304D" w:rsidRPr="00246274" w:rsidRDefault="00CE304D" w:rsidP="00CE304D">
            <w:pPr>
              <w:pStyle w:val="NormalArial"/>
              <w:spacing w:before="100" w:beforeAutospacing="1" w:after="120"/>
            </w:pPr>
            <w:r w:rsidRPr="00246274">
              <w:object w:dxaOrig="225" w:dyaOrig="225" w14:anchorId="64DF5459">
                <v:shape id="_x0000_i1077" type="#_x0000_t75" style="width:15.6pt;height:15pt" o:ole="">
                  <v:imagedata r:id="rId8" o:title=""/>
                </v:shape>
                <w:control r:id="rId19" w:name="TextBox111" w:shapeid="_x0000_i1077"/>
              </w:object>
            </w:r>
            <w:r w:rsidRPr="00246274">
              <w:t xml:space="preserve">  Revision Request ties to Reason for Revision as explained in </w:t>
            </w:r>
            <w:proofErr w:type="gramStart"/>
            <w:r w:rsidRPr="00246274">
              <w:t>Justification</w:t>
            </w:r>
            <w:proofErr w:type="gramEnd"/>
            <w:r w:rsidRPr="00246274">
              <w:t xml:space="preserve"> </w:t>
            </w:r>
          </w:p>
          <w:p w14:paraId="4221FD25" w14:textId="008326FC" w:rsidR="00CE304D" w:rsidRPr="00246274" w:rsidRDefault="00CE304D" w:rsidP="00CE304D">
            <w:pPr>
              <w:pStyle w:val="NormalArial"/>
              <w:spacing w:before="100" w:beforeAutospacing="1" w:after="120"/>
            </w:pPr>
            <w:r w:rsidRPr="00246274">
              <w:object w:dxaOrig="225" w:dyaOrig="225" w14:anchorId="66B3D729">
                <v:shape id="_x0000_i1076" type="#_x0000_t75" style="width:15.6pt;height:15pt" o:ole="">
                  <v:imagedata r:id="rId8" o:title=""/>
                </v:shape>
                <w:control r:id="rId20" w:name="TextBox16" w:shapeid="_x0000_i1076"/>
              </w:object>
            </w:r>
            <w:r w:rsidRPr="00246274">
              <w:t xml:space="preserve">  Impact Analysis reviewed and impacts are justified as explained in </w:t>
            </w:r>
            <w:proofErr w:type="gramStart"/>
            <w:r w:rsidRPr="00246274">
              <w:t>Justification</w:t>
            </w:r>
            <w:proofErr w:type="gramEnd"/>
          </w:p>
          <w:p w14:paraId="2CF95CA1" w14:textId="664A8B1E" w:rsidR="00CE304D" w:rsidRPr="00246274" w:rsidRDefault="00CE304D" w:rsidP="00CE304D">
            <w:pPr>
              <w:pStyle w:val="NormalArial"/>
              <w:spacing w:before="100" w:beforeAutospacing="1" w:after="120"/>
            </w:pPr>
            <w:r w:rsidRPr="00246274">
              <w:object w:dxaOrig="225" w:dyaOrig="225" w14:anchorId="1C523143">
                <v:shape id="_x0000_i1075" type="#_x0000_t75" style="width:15.6pt;height:15pt" o:ole="">
                  <v:imagedata r:id="rId8" o:title=""/>
                </v:shape>
                <w:control r:id="rId21" w:name="TextBox121" w:shapeid="_x0000_i1075"/>
              </w:object>
            </w:r>
            <w:r w:rsidRPr="00246274">
              <w:t xml:space="preserve">  Opinions were reviewed and </w:t>
            </w:r>
            <w:proofErr w:type="gramStart"/>
            <w:r w:rsidRPr="00246274">
              <w:t>discussed</w:t>
            </w:r>
            <w:proofErr w:type="gramEnd"/>
          </w:p>
          <w:p w14:paraId="75636919" w14:textId="776B2F6C" w:rsidR="00CE304D" w:rsidRPr="00246274" w:rsidRDefault="00CE304D" w:rsidP="00CE304D">
            <w:pPr>
              <w:pStyle w:val="NormalArial"/>
              <w:spacing w:before="100" w:beforeAutospacing="1" w:after="120"/>
            </w:pPr>
            <w:r w:rsidRPr="00246274">
              <w:object w:dxaOrig="225" w:dyaOrig="225" w14:anchorId="1838AA5D">
                <v:shape id="_x0000_i1074" type="#_x0000_t75" style="width:15.6pt;height:15pt" o:ole="">
                  <v:imagedata r:id="rId8" o:title=""/>
                </v:shape>
                <w:control r:id="rId22" w:name="TextBox131" w:shapeid="_x0000_i1074"/>
              </w:object>
            </w:r>
            <w:r w:rsidRPr="00246274">
              <w:t xml:space="preserve">  Comments were reviewed and </w:t>
            </w:r>
            <w:proofErr w:type="gramStart"/>
            <w:r w:rsidRPr="00246274">
              <w:t>discussed</w:t>
            </w:r>
            <w:proofErr w:type="gramEnd"/>
          </w:p>
          <w:p w14:paraId="01C3D168" w14:textId="79AEA9A5" w:rsidR="00CE304D" w:rsidRPr="00D30239" w:rsidRDefault="00CE304D" w:rsidP="00CE304D">
            <w:pPr>
              <w:pStyle w:val="NormalArial"/>
              <w:spacing w:before="100" w:beforeAutospacing="1" w:after="120"/>
            </w:pPr>
            <w:r w:rsidRPr="00246274">
              <w:object w:dxaOrig="225" w:dyaOrig="225" w14:anchorId="50EC6F27">
                <v:shape id="_x0000_i1073" type="#_x0000_t75" style="width:15.6pt;height:15pt" o:ole="">
                  <v:imagedata r:id="rId8" o:title=""/>
                </v:shape>
                <w:control r:id="rId23" w:name="TextBox141" w:shapeid="_x0000_i1073"/>
              </w:object>
            </w:r>
            <w:r w:rsidRPr="00246274">
              <w:t xml:space="preserve"> </w:t>
            </w:r>
            <w:r>
              <w:t xml:space="preserve"> </w:t>
            </w:r>
            <w:r w:rsidRPr="00246274">
              <w:t>Other: (explain)</w:t>
            </w:r>
          </w:p>
        </w:tc>
      </w:tr>
      <w:tr w:rsidR="00CE304D" w14:paraId="0062A577" w14:textId="77777777" w:rsidTr="009161CB">
        <w:trPr>
          <w:trHeight w:val="60"/>
        </w:trPr>
        <w:tc>
          <w:tcPr>
            <w:tcW w:w="2880" w:type="dxa"/>
            <w:gridSpan w:val="2"/>
            <w:tcBorders>
              <w:left w:val="nil"/>
              <w:right w:val="nil"/>
            </w:tcBorders>
            <w:shd w:val="clear" w:color="auto" w:fill="FFFFFF"/>
            <w:vAlign w:val="center"/>
          </w:tcPr>
          <w:p w14:paraId="3D729960" w14:textId="77777777" w:rsidR="00CE304D" w:rsidRDefault="00CE304D" w:rsidP="009161CB">
            <w:pPr>
              <w:pStyle w:val="Header"/>
            </w:pPr>
          </w:p>
        </w:tc>
        <w:tc>
          <w:tcPr>
            <w:tcW w:w="7560" w:type="dxa"/>
            <w:gridSpan w:val="2"/>
            <w:tcBorders>
              <w:left w:val="nil"/>
              <w:right w:val="nil"/>
            </w:tcBorders>
            <w:vAlign w:val="center"/>
          </w:tcPr>
          <w:p w14:paraId="7072D502" w14:textId="77777777" w:rsidR="00CE304D" w:rsidRDefault="00CE304D" w:rsidP="009161CB">
            <w:pPr>
              <w:pStyle w:val="NormalArial"/>
            </w:pPr>
          </w:p>
        </w:tc>
      </w:tr>
      <w:tr w:rsidR="00CE304D" w14:paraId="3B3AD4D7" w14:textId="77777777" w:rsidTr="009161CB">
        <w:trPr>
          <w:trHeight w:val="80"/>
        </w:trPr>
        <w:tc>
          <w:tcPr>
            <w:tcW w:w="10440" w:type="dxa"/>
            <w:gridSpan w:val="4"/>
            <w:shd w:val="clear" w:color="auto" w:fill="FFFFFF"/>
            <w:vAlign w:val="center"/>
          </w:tcPr>
          <w:p w14:paraId="637283E5" w14:textId="77777777" w:rsidR="00CE304D" w:rsidRDefault="00CE304D" w:rsidP="009161CB">
            <w:pPr>
              <w:pStyle w:val="NormalArial"/>
              <w:spacing w:before="120" w:after="120"/>
              <w:jc w:val="center"/>
            </w:pPr>
            <w:r>
              <w:rPr>
                <w:b/>
                <w:bCs/>
              </w:rPr>
              <w:t>Opinions</w:t>
            </w:r>
          </w:p>
        </w:tc>
      </w:tr>
      <w:tr w:rsidR="00CE304D" w14:paraId="232353A9" w14:textId="77777777" w:rsidTr="009161CB">
        <w:trPr>
          <w:trHeight w:val="179"/>
        </w:trPr>
        <w:tc>
          <w:tcPr>
            <w:tcW w:w="2880" w:type="dxa"/>
            <w:gridSpan w:val="2"/>
            <w:shd w:val="clear" w:color="auto" w:fill="FFFFFF"/>
            <w:vAlign w:val="center"/>
          </w:tcPr>
          <w:p w14:paraId="5B040C81" w14:textId="77777777" w:rsidR="00CE304D" w:rsidRDefault="00CE304D" w:rsidP="009161CB">
            <w:pPr>
              <w:pStyle w:val="Header"/>
              <w:spacing w:before="120" w:after="120"/>
            </w:pPr>
            <w:r w:rsidRPr="00F6614D">
              <w:t>Credit Review</w:t>
            </w:r>
          </w:p>
        </w:tc>
        <w:tc>
          <w:tcPr>
            <w:tcW w:w="7560" w:type="dxa"/>
            <w:gridSpan w:val="2"/>
            <w:vAlign w:val="center"/>
          </w:tcPr>
          <w:p w14:paraId="456086E2" w14:textId="77777777" w:rsidR="00CE304D" w:rsidRDefault="00CE304D" w:rsidP="009161CB">
            <w:pPr>
              <w:pStyle w:val="NormalArial"/>
              <w:spacing w:before="120" w:after="120"/>
            </w:pPr>
            <w:r>
              <w:t>Not applicable</w:t>
            </w:r>
          </w:p>
        </w:tc>
      </w:tr>
      <w:tr w:rsidR="00CE304D" w14:paraId="5A690FD5" w14:textId="77777777" w:rsidTr="009161CB">
        <w:trPr>
          <w:trHeight w:val="179"/>
        </w:trPr>
        <w:tc>
          <w:tcPr>
            <w:tcW w:w="2880" w:type="dxa"/>
            <w:gridSpan w:val="2"/>
            <w:shd w:val="clear" w:color="auto" w:fill="FFFFFF"/>
            <w:vAlign w:val="center"/>
          </w:tcPr>
          <w:p w14:paraId="1D4D3FC8" w14:textId="77777777" w:rsidR="00CE304D" w:rsidRDefault="00CE304D" w:rsidP="009161CB">
            <w:pPr>
              <w:pStyle w:val="Header"/>
              <w:spacing w:before="120" w:after="120"/>
            </w:pPr>
            <w:r>
              <w:t xml:space="preserve">Independent Market Monitor </w:t>
            </w:r>
            <w:r w:rsidRPr="00F6614D">
              <w:t>Opinion</w:t>
            </w:r>
          </w:p>
        </w:tc>
        <w:tc>
          <w:tcPr>
            <w:tcW w:w="7560" w:type="dxa"/>
            <w:gridSpan w:val="2"/>
            <w:vAlign w:val="center"/>
          </w:tcPr>
          <w:p w14:paraId="379496C7" w14:textId="77777777" w:rsidR="00CE304D" w:rsidRDefault="00CE304D" w:rsidP="009161CB">
            <w:pPr>
              <w:pStyle w:val="NormalArial"/>
              <w:spacing w:before="120" w:after="120"/>
            </w:pPr>
            <w:r>
              <w:t>To be determined</w:t>
            </w:r>
          </w:p>
        </w:tc>
      </w:tr>
      <w:tr w:rsidR="00CE304D" w14:paraId="0F89A719" w14:textId="77777777" w:rsidTr="009161CB">
        <w:trPr>
          <w:trHeight w:val="179"/>
        </w:trPr>
        <w:tc>
          <w:tcPr>
            <w:tcW w:w="2880" w:type="dxa"/>
            <w:gridSpan w:val="2"/>
            <w:shd w:val="clear" w:color="auto" w:fill="FFFFFF"/>
            <w:vAlign w:val="center"/>
          </w:tcPr>
          <w:p w14:paraId="0B91396C" w14:textId="77777777" w:rsidR="00CE304D" w:rsidRDefault="00CE304D" w:rsidP="009161CB">
            <w:pPr>
              <w:pStyle w:val="Header"/>
              <w:spacing w:before="120" w:after="120"/>
            </w:pPr>
            <w:r w:rsidRPr="00F6614D">
              <w:t>ERCOT Opinion</w:t>
            </w:r>
          </w:p>
        </w:tc>
        <w:tc>
          <w:tcPr>
            <w:tcW w:w="7560" w:type="dxa"/>
            <w:gridSpan w:val="2"/>
            <w:vAlign w:val="center"/>
          </w:tcPr>
          <w:p w14:paraId="5D548BF2" w14:textId="77777777" w:rsidR="00CE304D" w:rsidRDefault="00CE304D" w:rsidP="009161CB">
            <w:pPr>
              <w:pStyle w:val="NormalArial"/>
              <w:spacing w:before="120" w:after="120"/>
            </w:pPr>
            <w:r>
              <w:t>To be determined</w:t>
            </w:r>
          </w:p>
        </w:tc>
      </w:tr>
      <w:tr w:rsidR="00CE304D" w14:paraId="2C8A4F5A" w14:textId="77777777" w:rsidTr="009161CB">
        <w:trPr>
          <w:trHeight w:val="287"/>
        </w:trPr>
        <w:tc>
          <w:tcPr>
            <w:tcW w:w="2880" w:type="dxa"/>
            <w:gridSpan w:val="2"/>
            <w:shd w:val="clear" w:color="auto" w:fill="FFFFFF"/>
            <w:vAlign w:val="center"/>
          </w:tcPr>
          <w:p w14:paraId="2EDC17F1" w14:textId="77777777" w:rsidR="00CE304D" w:rsidRDefault="00CE304D" w:rsidP="009161CB">
            <w:pPr>
              <w:pStyle w:val="Header"/>
              <w:spacing w:before="120" w:after="120"/>
            </w:pPr>
            <w:r w:rsidRPr="00F6614D">
              <w:t>ERCOT Market Impact Statement</w:t>
            </w:r>
          </w:p>
        </w:tc>
        <w:tc>
          <w:tcPr>
            <w:tcW w:w="7560" w:type="dxa"/>
            <w:gridSpan w:val="2"/>
            <w:vAlign w:val="center"/>
          </w:tcPr>
          <w:p w14:paraId="4C8F3252" w14:textId="77777777" w:rsidR="00CE304D" w:rsidRDefault="00CE304D" w:rsidP="009161CB">
            <w:pPr>
              <w:pStyle w:val="NormalArial"/>
              <w:spacing w:before="120" w:after="120"/>
            </w:pPr>
            <w:r>
              <w:t>To be determined</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CE304D">
            <w:pPr>
              <w:pStyle w:val="NormalArial"/>
            </w:pPr>
            <w:hyperlink r:id="rId24"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CE304D">
            <w:pPr>
              <w:pStyle w:val="NormalArial"/>
            </w:pPr>
            <w:hyperlink r:id="rId25"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71814831" w14:textId="77777777" w:rsidR="00CE304D"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04D" w14:paraId="3D810B40" w14:textId="77777777" w:rsidTr="009161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BB74EB" w14:textId="77777777" w:rsidR="00CE304D" w:rsidRDefault="00CE304D" w:rsidP="009161CB">
            <w:pPr>
              <w:pStyle w:val="NormalArial"/>
              <w:jc w:val="center"/>
              <w:rPr>
                <w:b/>
              </w:rPr>
            </w:pPr>
            <w:r>
              <w:rPr>
                <w:b/>
              </w:rPr>
              <w:t>Comments Received</w:t>
            </w:r>
          </w:p>
        </w:tc>
      </w:tr>
      <w:tr w:rsidR="00CE304D" w14:paraId="27D8041C"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972B7" w14:textId="77777777" w:rsidR="00CE304D" w:rsidRDefault="00CE304D" w:rsidP="009161C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D28F81" w14:textId="77777777" w:rsidR="00CE304D" w:rsidRDefault="00CE304D" w:rsidP="009161CB">
            <w:pPr>
              <w:pStyle w:val="NormalArial"/>
              <w:rPr>
                <w:b/>
              </w:rPr>
            </w:pPr>
            <w:r>
              <w:rPr>
                <w:b/>
              </w:rPr>
              <w:t>Comment Summary</w:t>
            </w:r>
          </w:p>
        </w:tc>
      </w:tr>
      <w:tr w:rsidR="00CE304D" w14:paraId="1856C407"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225B26" w14:textId="77777777" w:rsidR="00CE304D" w:rsidRDefault="00CE304D" w:rsidP="009161C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20F8464" w14:textId="77777777" w:rsidR="00CE304D" w:rsidRDefault="00CE304D" w:rsidP="009161CB">
            <w:pPr>
              <w:pStyle w:val="NormalArial"/>
              <w:spacing w:before="120" w:after="120"/>
            </w:pPr>
          </w:p>
        </w:tc>
      </w:tr>
    </w:tbl>
    <w:p w14:paraId="53AAEFE6" w14:textId="77777777" w:rsidR="00CE304D" w:rsidRPr="00033F74"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04D" w:rsidRPr="00033F74" w14:paraId="34D015D0" w14:textId="77777777" w:rsidTr="009161CB">
        <w:trPr>
          <w:trHeight w:val="350"/>
        </w:trPr>
        <w:tc>
          <w:tcPr>
            <w:tcW w:w="10440" w:type="dxa"/>
            <w:tcBorders>
              <w:bottom w:val="single" w:sz="4" w:space="0" w:color="auto"/>
            </w:tcBorders>
            <w:shd w:val="clear" w:color="auto" w:fill="FFFFFF"/>
            <w:vAlign w:val="center"/>
          </w:tcPr>
          <w:p w14:paraId="5FC21C99" w14:textId="77777777" w:rsidR="00CE304D" w:rsidRPr="00033F74" w:rsidRDefault="00CE304D" w:rsidP="009161CB">
            <w:pPr>
              <w:tabs>
                <w:tab w:val="center" w:pos="4320"/>
                <w:tab w:val="right" w:pos="8640"/>
              </w:tabs>
              <w:jc w:val="center"/>
              <w:rPr>
                <w:rFonts w:ascii="Arial" w:hAnsi="Arial"/>
                <w:b/>
                <w:bCs/>
              </w:rPr>
            </w:pPr>
            <w:r w:rsidRPr="00033F74">
              <w:rPr>
                <w:rFonts w:ascii="Arial" w:hAnsi="Arial"/>
                <w:b/>
                <w:bCs/>
              </w:rPr>
              <w:t>Market Rules Notes</w:t>
            </w:r>
          </w:p>
        </w:tc>
      </w:tr>
    </w:tbl>
    <w:p w14:paraId="4787BB96" w14:textId="4E915C7B" w:rsidR="009A3772" w:rsidRPr="00D56D61" w:rsidRDefault="00CE304D" w:rsidP="00CE304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175F5">
        <w:t xml:space="preserve"> Real-Time Ancillary Service Imbalance </w:t>
      </w:r>
      <w:proofErr w:type="gramStart"/>
      <w:r w:rsidRPr="007175F5">
        <w:t>Payment</w:t>
      </w:r>
      <w:proofErr w:type="gramEnd"/>
      <w:r w:rsidRPr="007175F5">
        <w:t xml:space="preserve">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The ERCOT Board-approved methodology that ERCOT uses for determining the Real-Time reserve price adders based on ORDC;</w:t>
      </w:r>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lastRenderedPageBreak/>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probability of reserves falling below the minimum contingency level</w:t>
      </w:r>
      <w:r w:rsidRPr="007175F5">
        <w:t xml:space="preserve"> (PBMCL) multiplied by the difference between Value of Lost Load (VOLL) and System Lambda.  This approach is needed with the current rules </w:t>
      </w:r>
      <w:proofErr w:type="gramStart"/>
      <w:r w:rsidRPr="007175F5">
        <w:t>in order to</w:t>
      </w:r>
      <w:proofErr w:type="gramEnd"/>
      <w:r w:rsidRPr="007175F5">
        <w:t xml:space="preserve">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given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lastRenderedPageBreak/>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154E534B" w14:textId="77777777" w:rsidR="007175F5" w:rsidRPr="007175F5" w:rsidRDefault="007175F5" w:rsidP="007175F5">
            <w:pPr>
              <w:spacing w:after="120"/>
              <w:ind w:left="403"/>
              <w:jc w:val="both"/>
            </w:pPr>
            <w:proofErr w:type="gramStart"/>
            <w:r w:rsidRPr="007175F5">
              <w:t>For the purpose of</w:t>
            </w:r>
            <w:proofErr w:type="gramEnd"/>
            <w:r w:rsidRPr="007175F5">
              <w:t xml:space="preserve">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t>2)</w:t>
      </w:r>
      <w:r w:rsidRPr="007175F5">
        <w:tab/>
        <w:t xml:space="preserve">For each SCED interval in the study period, calculate the </w:t>
      </w:r>
      <w:proofErr w:type="gramStart"/>
      <w:r w:rsidRPr="007175F5">
        <w:t>system-wide</w:t>
      </w:r>
      <w:proofErr w:type="gramEnd"/>
      <w:r w:rsidRPr="007175F5">
        <w:t xml:space="preserv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w:t>
      </w:r>
      <w:r w:rsidRPr="007175F5">
        <w:rPr>
          <w:i/>
          <w:iCs/>
        </w:rPr>
        <w:lastRenderedPageBreak/>
        <w:t xml:space="preserve">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Nuclear Resources;</w:t>
      </w:r>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(i)</w:t>
      </w:r>
      <w:r w:rsidRPr="007175F5">
        <w:tab/>
        <w:t>ONTEST or ONHOLD;</w:t>
      </w:r>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t>3)</w:t>
      </w:r>
      <w:r w:rsidRPr="007175F5">
        <w:tab/>
        <w:t xml:space="preserve">For each Operating Hour in the study period, calculate the hourly average </w:t>
      </w:r>
      <w:proofErr w:type="gramStart"/>
      <w:r w:rsidRPr="007175F5">
        <w:t>system-wide</w:t>
      </w:r>
      <w:proofErr w:type="gramEnd"/>
      <w:r w:rsidRPr="007175F5">
        <w:t xml:space="preserv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 xml:space="preserve">Reserve Error = HA Reserve – SCED Reserve (Hourly Average) + </w:t>
      </w:r>
      <w:proofErr w:type="spellStart"/>
      <w:r w:rsidRPr="007175F5">
        <w:rPr>
          <w:i/>
        </w:rPr>
        <w:t>Firm_Load_Shed</w:t>
      </w:r>
      <w:proofErr w:type="spellEnd"/>
      <w:r w:rsidRPr="007175F5">
        <w:rPr>
          <w:i/>
        </w:rPr>
        <w:t xml:space="preserve">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lastRenderedPageBreak/>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w:t>
      </w:r>
      <w:proofErr w:type="spellStart"/>
      <w:r w:rsidRPr="007175F5">
        <w:rPr>
          <w:b/>
          <w:i/>
          <w:szCs w:val="20"/>
        </w:rPr>
        <w:t>R</w:t>
      </w:r>
      <w:r w:rsidRPr="007175F5">
        <w:rPr>
          <w:b/>
          <w:i/>
          <w:szCs w:val="20"/>
          <w:vertAlign w:val="subscript"/>
        </w:rPr>
        <w:t>sns</w:t>
      </w:r>
      <w:bookmarkEnd w:id="67"/>
      <w:bookmarkEnd w:id="68"/>
      <w:bookmarkEnd w:id="69"/>
      <w:bookmarkEnd w:id="70"/>
      <w:bookmarkEnd w:id="71"/>
      <w:bookmarkEnd w:id="72"/>
      <w:bookmarkEnd w:id="73"/>
      <w:bookmarkEnd w:id="74"/>
      <w:bookmarkEnd w:id="75"/>
      <w:proofErr w:type="spellEnd"/>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proofErr w:type="spellStart"/>
      <w:r w:rsidRPr="007175F5">
        <w:rPr>
          <w:bCs/>
          <w:i/>
        </w:rPr>
        <w:t>R</w:t>
      </w:r>
      <w:r w:rsidRPr="007175F5">
        <w:rPr>
          <w:bCs/>
          <w:i/>
          <w:vertAlign w:val="subscript"/>
        </w:rPr>
        <w:t>sns</w:t>
      </w:r>
      <w:proofErr w:type="spellEnd"/>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proofErr w:type="gramStart"/>
      <w:r w:rsidRPr="007175F5">
        <w:rPr>
          <w:bCs/>
          <w:i/>
        </w:rPr>
        <w:t>Where</w:t>
      </w:r>
      <w:proofErr w:type="gramEnd"/>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lastRenderedPageBreak/>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Resources with telemetered net real power (in MW) less than 95% of their telemetered LSL;</w:t>
      </w:r>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ONHOLD;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lastRenderedPageBreak/>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lastRenderedPageBreak/>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lastRenderedPageBreak/>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w:t>
            </w:r>
            <w:proofErr w:type="gramStart"/>
            <w:r w:rsidRPr="007175F5">
              <w:rPr>
                <w:rFonts w:cs="Arial"/>
                <w:iCs/>
              </w:rPr>
              <w:t>time period</w:t>
            </w:r>
            <w:proofErr w:type="gramEnd"/>
            <w:r w:rsidRPr="007175F5">
              <w:rPr>
                <w:rFonts w:cs="Arial"/>
                <w:iCs/>
              </w:rPr>
              <w:t xml:space="preserve"> is required.  This </w:t>
            </w:r>
            <w:proofErr w:type="gramStart"/>
            <w:r w:rsidRPr="007175F5">
              <w:rPr>
                <w:rFonts w:cs="Arial"/>
                <w:iCs/>
              </w:rPr>
              <w:t>time period</w:t>
            </w:r>
            <w:proofErr w:type="gramEnd"/>
            <w:r w:rsidRPr="007175F5">
              <w:rPr>
                <w:rFonts w:cs="Arial"/>
                <w:iCs/>
              </w:rPr>
              <w:t xml:space="preserve">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ONHOLD;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emergency; </w:t>
            </w:r>
          </w:p>
          <w:p w14:paraId="39DBCE53" w14:textId="77777777" w:rsidR="007175F5" w:rsidRPr="007175F5" w:rsidRDefault="007175F5" w:rsidP="007175F5">
            <w:pPr>
              <w:numPr>
                <w:ilvl w:val="1"/>
                <w:numId w:val="32"/>
              </w:numPr>
              <w:ind w:hanging="310"/>
              <w:contextualSpacing/>
              <w:jc w:val="both"/>
            </w:pPr>
            <w:r w:rsidRPr="007175F5">
              <w:t>RTCDCTICL is the curtailment of DC Tie imports below the higher of DC Tie advisory import limit as of 0600 in the Day-Ahead or subsequent advisory import limit to address local transmission system limitations;</w:t>
            </w:r>
          </w:p>
          <w:p w14:paraId="408706AA" w14:textId="77777777" w:rsidR="007175F5" w:rsidRPr="007175F5" w:rsidRDefault="007175F5" w:rsidP="007175F5">
            <w:pPr>
              <w:numPr>
                <w:ilvl w:val="1"/>
                <w:numId w:val="32"/>
              </w:numPr>
              <w:ind w:hanging="310"/>
              <w:contextualSpacing/>
              <w:jc w:val="both"/>
            </w:pPr>
            <w:r w:rsidRPr="007175F5">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proofErr w:type="spellStart"/>
      <w:r w:rsidRPr="007175F5">
        <w:rPr>
          <w:bCs/>
          <w:i/>
        </w:rPr>
        <w:t>R</w:t>
      </w:r>
      <w:r w:rsidRPr="007175F5">
        <w:rPr>
          <w:bCs/>
          <w:i/>
          <w:vertAlign w:val="subscript"/>
        </w:rPr>
        <w:t>sns</w:t>
      </w:r>
      <w:proofErr w:type="spellEnd"/>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proofErr w:type="spellStart"/>
      <w:r w:rsidRPr="007175F5">
        <w:rPr>
          <w:bCs/>
          <w:i/>
        </w:rPr>
        <w:lastRenderedPageBreak/>
        <w:t>R</w:t>
      </w:r>
      <w:r w:rsidRPr="007175F5">
        <w:rPr>
          <w:bCs/>
          <w:i/>
          <w:vertAlign w:val="subscript"/>
        </w:rPr>
        <w:t>sns</w:t>
      </w:r>
      <w:proofErr w:type="spellEnd"/>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Min(Max(RTNCLRNPC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lastRenderedPageBreak/>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lastRenderedPageBreak/>
        <w:t>The system-wide discount factor used to discount inputs used in the calculation of reserves R</w:t>
      </w:r>
      <w:r w:rsidRPr="007175F5">
        <w:rPr>
          <w:vertAlign w:val="subscript"/>
        </w:rPr>
        <w:t>s</w:t>
      </w:r>
      <w:r w:rsidRPr="007175F5">
        <w:t xml:space="preserve"> and </w:t>
      </w:r>
      <w:proofErr w:type="spellStart"/>
      <w:r w:rsidRPr="007175F5">
        <w:t>R</w:t>
      </w:r>
      <w:r w:rsidRPr="007175F5">
        <w:rPr>
          <w:vertAlign w:val="subscript"/>
        </w:rPr>
        <w:t>sns</w:t>
      </w:r>
      <w:proofErr w:type="spellEnd"/>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37" type="#_x0000_t75" style="width:35.4pt;height:21.6pt" o:ole="">
            <v:imagedata r:id="rId26" o:title=""/>
          </v:shape>
          <o:OLEObject Type="Embed" ProgID="Equation.3" ShapeID="_x0000_i1037" DrawAspect="Content" ObjectID="_1769417569" r:id="rId27"/>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38" type="#_x0000_t75" style="width:50.4pt;height:21.6pt" o:ole="">
            <v:imagedata r:id="rId28" o:title=""/>
          </v:shape>
          <o:OLEObject Type="Embed" ProgID="Equation.3" ShapeID="_x0000_i1038" DrawAspect="Content" ObjectID="_1769417570" r:id="rId29"/>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39" type="#_x0000_t75" style="width:35.4pt;height:21.6pt" o:ole="">
            <v:imagedata r:id="rId30" o:title=""/>
          </v:shape>
          <o:OLEObject Type="Embed" ProgID="Equation.3" ShapeID="_x0000_i1039" DrawAspect="Content" ObjectID="_1769417571" r:id="rId31"/>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40" type="#_x0000_t75" style="width:50.4pt;height:21.6pt" o:ole="">
            <v:imagedata r:id="rId32" o:title=""/>
          </v:shape>
          <o:OLEObject Type="Embed" ProgID="Equation.3" ShapeID="_x0000_i1040" DrawAspect="Content" ObjectID="_1769417572" r:id="rId33"/>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41" type="#_x0000_t75" style="width:35.4pt;height:21.6pt" o:ole="">
            <v:imagedata r:id="rId30" o:title=""/>
          </v:shape>
          <o:OLEObject Type="Embed" ProgID="Equation.3" ShapeID="_x0000_i1041" DrawAspect="Content" ObjectID="_1769417573" r:id="rId34"/>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42" type="#_x0000_t75" style="width:35.4pt;height:21.6pt" o:ole="">
            <v:imagedata r:id="rId30" o:title=""/>
          </v:shape>
          <o:OLEObject Type="Embed" ProgID="Equation.3" ShapeID="_x0000_i1042" DrawAspect="Content" ObjectID="_1769417574" r:id="rId35"/>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43" type="#_x0000_t75" style="width:35.4pt;height:21.6pt" o:ole="">
            <v:imagedata r:id="rId30" o:title=""/>
          </v:shape>
          <o:OLEObject Type="Embed" ProgID="Equation.3" ShapeID="_x0000_i1043" DrawAspect="Content" ObjectID="_1769417575" r:id="rId36"/>
        </w:object>
      </w:r>
      <w:r w:rsidRPr="007175F5">
        <w:t xml:space="preserve"> </w:t>
      </w:r>
      <w:r w:rsidRPr="007175F5">
        <w:rPr>
          <w:bCs/>
        </w:rPr>
        <w:t>is:</w:t>
      </w:r>
    </w:p>
    <w:p w14:paraId="139C2DBD" w14:textId="77777777" w:rsidR="007175F5" w:rsidRPr="007175F5" w:rsidRDefault="00CE304D"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could be made available in 30 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44" type="#_x0000_t75" style="width:35.4pt;height:21.6pt" o:ole="">
            <v:imagedata r:id="rId37" o:title=""/>
          </v:shape>
          <o:OLEObject Type="Embed" ProgID="Equation.3" ShapeID="_x0000_i1044" DrawAspect="Content" ObjectID="_1769417576" r:id="rId38"/>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45" type="#_x0000_t75" style="width:35.4pt;height:14.4pt" o:ole="">
            <v:imagedata r:id="rId39" o:title=""/>
          </v:shape>
          <o:OLEObject Type="Embed" ProgID="Equation.3" ShapeID="_x0000_i1045" DrawAspect="Content" ObjectID="_1769417577" r:id="rId40"/>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CE304D"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46" type="#_x0000_t75" style="width:165.6pt;height:35.4pt" o:ole="">
            <v:imagedata r:id="rId41" o:title=""/>
          </v:shape>
          <o:OLEObject Type="Embed" ProgID="Equation.3" ShapeID="_x0000_i1046" DrawAspect="Content" ObjectID="_1769417578" r:id="rId42"/>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proofErr w:type="gramStart"/>
      <w:r w:rsidRPr="007175F5">
        <w:t>So</w:t>
      </w:r>
      <w:proofErr w:type="gramEnd"/>
      <w:r w:rsidRPr="007175F5">
        <w:t xml:space="preserve">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CE304D"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47" type="#_x0000_t75" style="width:50.4pt;height:21.6pt" o:ole="">
            <v:imagedata r:id="rId43" o:title=""/>
          </v:shape>
          <o:OLEObject Type="Embed" ProgID="Equation.3" ShapeID="_x0000_i1047" DrawAspect="Content" ObjectID="_1769417579" r:id="rId44"/>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48" type="#_x0000_t75" style="width:50.4pt;height:21.6pt" o:ole="">
            <v:imagedata r:id="rId43" o:title=""/>
          </v:shape>
          <o:OLEObject Type="Embed" ProgID="Equation.3" ShapeID="_x0000_i1048" DrawAspect="Content" ObjectID="_1769417580" r:id="rId45"/>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49" type="#_x0000_t75" style="width:50.4pt;height:21.6pt" o:ole="">
            <v:imagedata r:id="rId43" o:title=""/>
          </v:shape>
          <o:OLEObject Type="Embed" ProgID="Equation.3" ShapeID="_x0000_i1049" DrawAspect="Content" ObjectID="_1769417581" r:id="rId46"/>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CE304D"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w:t>
      </w:r>
      <w:proofErr w:type="gramStart"/>
      <w:r w:rsidRPr="007175F5">
        <w:rPr>
          <w:bCs/>
        </w:rPr>
        <w:t>SLOLP</w:t>
      </w:r>
      <w:proofErr w:type="gramEnd"/>
      <w:r w:rsidRPr="007175F5">
        <w:rPr>
          <w:bCs/>
        </w:rPr>
        <w:t xml:space="preserve"> </w:t>
      </w:r>
    </w:p>
    <w:p w14:paraId="67175F87" w14:textId="77777777" w:rsidR="007175F5" w:rsidRPr="007175F5" w:rsidRDefault="007175F5" w:rsidP="007175F5">
      <w:pPr>
        <w:numPr>
          <w:ilvl w:val="0"/>
          <w:numId w:val="32"/>
        </w:numPr>
        <w:spacing w:after="120"/>
        <w:ind w:left="1080"/>
        <w:jc w:val="both"/>
        <w:rPr>
          <w:i/>
        </w:rPr>
      </w:pPr>
      <w:r w:rsidRPr="007175F5">
        <w:rPr>
          <w:i/>
        </w:rPr>
        <w:t xml:space="preserve">The total On-Line and Off-Line applies for the full change in net Load over the hour and there </w:t>
      </w:r>
      <w:proofErr w:type="gramStart"/>
      <w:r w:rsidRPr="007175F5">
        <w:rPr>
          <w:i/>
        </w:rPr>
        <w:t>is</w:t>
      </w:r>
      <w:proofErr w:type="gramEnd"/>
      <w:r w:rsidRPr="007175F5">
        <w:rPr>
          <w:i/>
        </w:rPr>
        <w:t xml:space="preserve"> no scaling adjustments needed for </w:t>
      </w:r>
      <w:proofErr w:type="spellStart"/>
      <w:r w:rsidRPr="007175F5">
        <w:rPr>
          <w:i/>
        </w:rPr>
        <w:t>μ</w:t>
      </w:r>
      <w:r w:rsidRPr="007175F5">
        <w:rPr>
          <w:i/>
          <w:vertAlign w:val="subscript"/>
        </w:rPr>
        <w:t>s</w:t>
      </w:r>
      <w:proofErr w:type="spellEnd"/>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50" type="#_x0000_t75" style="width:50.4pt;height:21.6pt" o:ole="">
            <v:imagedata r:id="rId47" o:title=""/>
          </v:shape>
          <o:OLEObject Type="Embed" ProgID="Equation.3" ShapeID="_x0000_i1050" DrawAspect="Content" ObjectID="_1769417582" r:id="rId48"/>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lastRenderedPageBreak/>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19C7B3AD"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w:t>
    </w:r>
    <w:r w:rsidR="00CE304D">
      <w:rPr>
        <w:rFonts w:ascii="Arial" w:hAnsi="Arial" w:cs="Arial"/>
        <w:sz w:val="18"/>
      </w:rPr>
      <w:t>4 TAC Report 0214</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1F468AE" w:rsidR="003A4138" w:rsidRDefault="00CE304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4463BA"/>
    <w:rsid w:val="00474489"/>
    <w:rsid w:val="004822D4"/>
    <w:rsid w:val="00483953"/>
    <w:rsid w:val="00534C6C"/>
    <w:rsid w:val="005F25D2"/>
    <w:rsid w:val="006424E7"/>
    <w:rsid w:val="00653565"/>
    <w:rsid w:val="00653C1C"/>
    <w:rsid w:val="006A137E"/>
    <w:rsid w:val="006E6E27"/>
    <w:rsid w:val="007175F5"/>
    <w:rsid w:val="00743968"/>
    <w:rsid w:val="00791CB9"/>
    <w:rsid w:val="00963A51"/>
    <w:rsid w:val="009A3772"/>
    <w:rsid w:val="009B4443"/>
    <w:rsid w:val="00A51CDE"/>
    <w:rsid w:val="00A8000E"/>
    <w:rsid w:val="00A954D0"/>
    <w:rsid w:val="00AF56C6"/>
    <w:rsid w:val="00B13805"/>
    <w:rsid w:val="00B57F96"/>
    <w:rsid w:val="00BC2D06"/>
    <w:rsid w:val="00BE5A71"/>
    <w:rsid w:val="00C37198"/>
    <w:rsid w:val="00C90702"/>
    <w:rsid w:val="00C917FF"/>
    <w:rsid w:val="00C95D8B"/>
    <w:rsid w:val="00CE304D"/>
    <w:rsid w:val="00D252D1"/>
    <w:rsid w:val="00D47783"/>
    <w:rsid w:val="00D47A80"/>
    <w:rsid w:val="00D97220"/>
    <w:rsid w:val="00DC7B5D"/>
    <w:rsid w:val="00E37AB0"/>
    <w:rsid w:val="00E72B3F"/>
    <w:rsid w:val="00E93772"/>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image" Target="media/image3.wmf"/><Relationship Id="rId39" Type="http://schemas.openxmlformats.org/officeDocument/2006/relationships/image" Target="media/image8.wmf"/><Relationship Id="rId21" Type="http://schemas.openxmlformats.org/officeDocument/2006/relationships/control" Target="activeX/activeX9.xml"/><Relationship Id="rId34" Type="http://schemas.openxmlformats.org/officeDocument/2006/relationships/oleObject" Target="embeddings/oleObject5.bin"/><Relationship Id="rId42" Type="http://schemas.openxmlformats.org/officeDocument/2006/relationships/oleObject" Target="embeddings/oleObject10.bin"/><Relationship Id="rId47" Type="http://schemas.openxmlformats.org/officeDocument/2006/relationships/image" Target="media/image11.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oleObject" Target="embeddings/oleObject2.bin"/><Relationship Id="rId11" Type="http://schemas.openxmlformats.org/officeDocument/2006/relationships/control" Target="activeX/activeX2.xml"/><Relationship Id="rId24" Type="http://schemas.openxmlformats.org/officeDocument/2006/relationships/hyperlink" Target="mailto:david.maggio@ercot.com" TargetMode="External"/><Relationship Id="rId32" Type="http://schemas.openxmlformats.org/officeDocument/2006/relationships/image" Target="media/image6.wmf"/><Relationship Id="rId37" Type="http://schemas.openxmlformats.org/officeDocument/2006/relationships/image" Target="media/image7.wmf"/><Relationship Id="rId40" Type="http://schemas.openxmlformats.org/officeDocument/2006/relationships/oleObject" Target="embeddings/oleObject9.bin"/><Relationship Id="rId45" Type="http://schemas.openxmlformats.org/officeDocument/2006/relationships/oleObject" Target="embeddings/oleObject12.bin"/><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7.xml"/><Relationship Id="rId31" Type="http://schemas.openxmlformats.org/officeDocument/2006/relationships/oleObject" Target="embeddings/oleObject3.bin"/><Relationship Id="rId44" Type="http://schemas.openxmlformats.org/officeDocument/2006/relationships/oleObject" Target="embeddings/oleObject11.bin"/><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10.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oleObject" Target="embeddings/oleObject6.bin"/><Relationship Id="rId43" Type="http://schemas.openxmlformats.org/officeDocument/2006/relationships/image" Target="media/image10.wmf"/><Relationship Id="rId48" Type="http://schemas.openxmlformats.org/officeDocument/2006/relationships/oleObject" Target="embeddings/oleObject14.bin"/><Relationship Id="rId8" Type="http://schemas.openxmlformats.org/officeDocument/2006/relationships/image" Target="media/image1.wmf"/><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mailto:cory.phillips@ercot.com" TargetMode="External"/><Relationship Id="rId33" Type="http://schemas.openxmlformats.org/officeDocument/2006/relationships/oleObject" Target="embeddings/oleObject4.bin"/><Relationship Id="rId38" Type="http://schemas.openxmlformats.org/officeDocument/2006/relationships/oleObject" Target="embeddings/oleObject8.bin"/><Relationship Id="rId46" Type="http://schemas.openxmlformats.org/officeDocument/2006/relationships/oleObject" Target="embeddings/oleObject13.bin"/><Relationship Id="rId20" Type="http://schemas.openxmlformats.org/officeDocument/2006/relationships/control" Target="activeX/activeX8.xml"/><Relationship Id="rId41" Type="http://schemas.openxmlformats.org/officeDocument/2006/relationships/image" Target="media/image9.wmf"/><Relationship Id="rId54"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image" Target="media/image4.wmf"/><Relationship Id="rId36" Type="http://schemas.openxmlformats.org/officeDocument/2006/relationships/oleObject" Target="embeddings/oleObject7.bin"/><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4457</Words>
  <Characters>27959</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32352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2024-02-14T18:05:00Z</dcterms:created>
  <dcterms:modified xsi:type="dcterms:W3CDTF">2024-02-14T18:05:00Z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