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B79C46D" w:rsidR="0011691A" w:rsidRDefault="00616A36" w:rsidP="0011691A">
      <w:pPr>
        <w:pStyle w:val="BodyText"/>
        <w:jc w:val="center"/>
        <w:rPr>
          <w:b/>
          <w:szCs w:val="24"/>
        </w:rPr>
      </w:pPr>
      <w:r>
        <w:rPr>
          <w:b/>
          <w:szCs w:val="24"/>
        </w:rPr>
        <w:t>April</w:t>
      </w:r>
      <w:r w:rsidR="00A532F5">
        <w:rPr>
          <w:b/>
          <w:szCs w:val="24"/>
        </w:rPr>
        <w:t xml:space="preserve"> 1</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AF6DAA"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lastRenderedPageBreak/>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AF6DAA">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lastRenderedPageBreak/>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lastRenderedPageBreak/>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lastRenderedPageBreak/>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AF6DAA">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AF6DAA">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lastRenderedPageBreak/>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lastRenderedPageBreak/>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AF6DAA">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lastRenderedPageBreak/>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lastRenderedPageBreak/>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lastRenderedPageBreak/>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lastRenderedPageBreak/>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AF6DAA">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lastRenderedPageBreak/>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lastRenderedPageBreak/>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 xml:space="preserve">For validation of Three-Part Supply Offers in the Day-Ahead Market (DAM), Day-Ahead Reliability Unit Commitment (DRUC), and Hourly Reliability Unit Commitment (HRUC) occurring before midnight of the Operating Day, the FIP effective for the prior Operating Day </w:t>
      </w:r>
      <w:r w:rsidRPr="00AB40F7">
        <w:lastRenderedPageBreak/>
        <w:t>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AF6DAA">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lastRenderedPageBreak/>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lastRenderedPageBreak/>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AF6DAA">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lastRenderedPageBreak/>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lastRenderedPageBreak/>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AF6DAA"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lastRenderedPageBreak/>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lastRenderedPageBreak/>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1"/>
    <w:p w14:paraId="769A5A9B" w14:textId="77777777" w:rsidR="005D1947" w:rsidRDefault="00A442A0" w:rsidP="00EC7906">
      <w:pPr>
        <w:pStyle w:val="BodyText"/>
        <w:keepNext/>
        <w:spacing w:before="240"/>
        <w:rPr>
          <w:b/>
          <w:sz w:val="40"/>
          <w:szCs w:val="40"/>
        </w:rPr>
      </w:pPr>
      <w:r>
        <w:rPr>
          <w:b/>
          <w:sz w:val="40"/>
          <w:szCs w:val="40"/>
        </w:rPr>
        <w:t>J</w:t>
      </w:r>
      <w:bookmarkStart w:id="465" w:name="J"/>
      <w:bookmarkEnd w:id="465"/>
    </w:p>
    <w:p w14:paraId="1A92D968" w14:textId="77777777" w:rsidR="00B75513" w:rsidRDefault="00AF6DAA">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AF6DAA">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AF6DAA">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w:t>
      </w:r>
      <w:r w:rsidRPr="0089065D">
        <w:lastRenderedPageBreak/>
        <w:t xml:space="preserve">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lastRenderedPageBreak/>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AF6DAA">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lastRenderedPageBreak/>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AF6DAA">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lastRenderedPageBreak/>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lastRenderedPageBreak/>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AF6DAA">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lastRenderedPageBreak/>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87" w:name="_Toc118224556"/>
      <w:bookmarkStart w:id="688" w:name="_Toc118909624"/>
      <w:bookmarkStart w:id="689" w:name="_Toc205190449"/>
      <w:bookmarkStart w:id="690"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lastRenderedPageBreak/>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AF6DAA"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lastRenderedPageBreak/>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AF6DAA">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lastRenderedPageBreak/>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AF6DAA">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3" w:name="_Toc73847931"/>
      <w:bookmarkStart w:id="814" w:name="_Toc118224588"/>
      <w:bookmarkStart w:id="815" w:name="_Toc118909656"/>
      <w:bookmarkStart w:id="816" w:name="_Toc205190487"/>
      <w:bookmarkEnd w:id="809"/>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lastRenderedPageBreak/>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2"/>
      <w:bookmarkEnd w:id="833"/>
      <w:bookmarkEnd w:id="834"/>
      <w:bookmarkEnd w:id="835"/>
    </w:p>
    <w:p w14:paraId="41CD42B4" w14:textId="3921D85D" w:rsidR="005D1947" w:rsidRDefault="0020238E">
      <w:pPr>
        <w:pStyle w:val="BodyText"/>
      </w:pPr>
      <w:bookmarkStart w:id="836"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5" w:name="_Toc205190512"/>
      <w:r w:rsidRPr="00585E54">
        <w:rPr>
          <w:b/>
        </w:rPr>
        <w:lastRenderedPageBreak/>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66" w:name="S"/>
      <w:bookmarkEnd w:id="866"/>
    </w:p>
    <w:p w14:paraId="77DD348A" w14:textId="77777777" w:rsidR="00B75513" w:rsidRDefault="00AF6DAA">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lastRenderedPageBreak/>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1" w:name="_Hlk117499314"/>
      <w:bookmarkStart w:id="872" w:name="_Hlk147911310"/>
      <w:bookmarkStart w:id="873" w:name="_Hlk85616131"/>
      <w:bookmarkStart w:id="874" w:name="_Toc205190518"/>
      <w:r w:rsidRPr="00D377D8">
        <w:rPr>
          <w:b/>
        </w:rPr>
        <w:t>Secure Private Network (SPN)</w:t>
      </w:r>
      <w:bookmarkEnd w:id="871"/>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2"/>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5"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5"/>
      <w:r w:rsidRPr="00ED3498">
        <w:rPr>
          <w:bCs/>
        </w:rPr>
        <w:t xml:space="preserve"> (PUCT), but which may not exceed $800 million. </w:t>
      </w:r>
    </w:p>
    <w:p w14:paraId="635F4E53" w14:textId="77777777" w:rsidR="00E83DC9" w:rsidRPr="00E83DC9" w:rsidRDefault="00E83DC9" w:rsidP="00E83DC9">
      <w:pPr>
        <w:pStyle w:val="H2"/>
        <w:rPr>
          <w:b/>
        </w:rPr>
      </w:pPr>
      <w:bookmarkStart w:id="876" w:name="_Hlk83969962"/>
      <w:r w:rsidRPr="00E83DC9">
        <w:rPr>
          <w:b/>
        </w:rPr>
        <w:t>Securitization Default Charge</w:t>
      </w:r>
    </w:p>
    <w:bookmarkEnd w:id="876"/>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7" w:name="_Hlk90630914"/>
      <w:bookmarkEnd w:id="873"/>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8" w:name="_Hlk90036153"/>
      <w:r w:rsidRPr="00ED3498">
        <w:rPr>
          <w:bCs/>
        </w:rPr>
        <w:t>Public Utility Commission of Texas (PUCT)</w:t>
      </w:r>
      <w:bookmarkEnd w:id="878"/>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7"/>
    <w:p w14:paraId="14CD0A46" w14:textId="49F0C2B9" w:rsidR="005D1947" w:rsidRPr="004222A1" w:rsidRDefault="00A442A0" w:rsidP="00537A50">
      <w:pPr>
        <w:pStyle w:val="H2"/>
        <w:rPr>
          <w:b/>
        </w:rPr>
      </w:pPr>
      <w:r w:rsidRPr="004222A1">
        <w:rPr>
          <w:b/>
        </w:rPr>
        <w:t>Security-Constrained Economic Dispatch (SCED)</w:t>
      </w:r>
      <w:bookmarkEnd w:id="867"/>
      <w:bookmarkEnd w:id="868"/>
      <w:bookmarkEnd w:id="874"/>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9" w:name="_Toc80425757"/>
            <w:bookmarkStart w:id="880" w:name="_Toc118224608"/>
            <w:bookmarkStart w:id="881" w:name="_Toc118909676"/>
            <w:bookmarkStart w:id="882" w:name="_Toc205190519"/>
            <w:bookmarkStart w:id="88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9"/>
      <w:r w:rsidRPr="004222A1">
        <w:rPr>
          <w:b/>
        </w:rPr>
        <w:t xml:space="preserve"> Quantity</w:t>
      </w:r>
      <w:bookmarkEnd w:id="880"/>
      <w:bookmarkEnd w:id="881"/>
      <w:bookmarkEnd w:id="882"/>
    </w:p>
    <w:p w14:paraId="10E34D96" w14:textId="6628C545" w:rsidR="005D1947" w:rsidRDefault="00A442A0">
      <w:pPr>
        <w:pStyle w:val="BodyText"/>
      </w:pPr>
      <w:bookmarkStart w:id="884" w:name="_Toc80425758"/>
      <w:bookmarkStart w:id="885" w:name="_Toc73847959"/>
      <w:bookmarkEnd w:id="88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6" w:name="_Toc118224609"/>
            <w:bookmarkStart w:id="887" w:name="_Toc118909677"/>
            <w:bookmarkStart w:id="888" w:name="_Toc205190520"/>
            <w:bookmarkStart w:id="889" w:name="_Toc80425760"/>
            <w:bookmarkStart w:id="890" w:name="_Toc73847963"/>
            <w:bookmarkEnd w:id="884"/>
            <w:bookmarkEnd w:id="88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6"/>
      <w:bookmarkEnd w:id="887"/>
      <w:bookmarkEnd w:id="88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1" w:name="_Toc205190521"/>
      <w:bookmarkStart w:id="892" w:name="_Toc118224610"/>
      <w:bookmarkStart w:id="893" w:name="_Toc118909678"/>
      <w:r w:rsidRPr="004222A1">
        <w:rPr>
          <w:b/>
        </w:rPr>
        <w:lastRenderedPageBreak/>
        <w:t>Service Address</w:t>
      </w:r>
      <w:bookmarkEnd w:id="89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4" w:name="_Toc205190522"/>
      <w:r w:rsidRPr="004222A1">
        <w:rPr>
          <w:b/>
        </w:rPr>
        <w:t>Service Delivery Point</w:t>
      </w:r>
      <w:bookmarkEnd w:id="889"/>
      <w:bookmarkEnd w:id="892"/>
      <w:bookmarkEnd w:id="893"/>
      <w:bookmarkEnd w:id="89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5" w:name="_Toc118224611"/>
      <w:bookmarkStart w:id="896" w:name="_Toc118909679"/>
      <w:bookmarkStart w:id="897" w:name="_Toc205190523"/>
      <w:bookmarkStart w:id="898" w:name="_Toc73847964"/>
      <w:bookmarkStart w:id="899" w:name="_Toc80425764"/>
      <w:bookmarkStart w:id="900" w:name="_Toc73847967"/>
      <w:bookmarkEnd w:id="890"/>
      <w:r w:rsidRPr="004222A1">
        <w:rPr>
          <w:b/>
        </w:rPr>
        <w:t>Settlement</w:t>
      </w:r>
      <w:bookmarkEnd w:id="895"/>
      <w:bookmarkEnd w:id="896"/>
      <w:bookmarkEnd w:id="89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1" w:name="_Toc205190524"/>
      <w:bookmarkStart w:id="902" w:name="_Toc118224612"/>
      <w:bookmarkStart w:id="903" w:name="_Toc118909680"/>
      <w:r w:rsidRPr="004222A1">
        <w:rPr>
          <w:b/>
        </w:rPr>
        <w:t>Settlement Calendar</w:t>
      </w:r>
      <w:bookmarkEnd w:id="90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4" w:name="_Toc205190525"/>
      <w:r w:rsidRPr="004222A1">
        <w:rPr>
          <w:b/>
        </w:rPr>
        <w:t>Settlement Interval</w:t>
      </w:r>
      <w:bookmarkEnd w:id="898"/>
      <w:bookmarkEnd w:id="899"/>
      <w:bookmarkEnd w:id="902"/>
      <w:bookmarkEnd w:id="903"/>
      <w:bookmarkEnd w:id="90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5" w:name="_Toc73847966"/>
      <w:bookmarkStart w:id="906" w:name="_Toc80425766"/>
      <w:bookmarkStart w:id="907" w:name="_Toc118224613"/>
      <w:bookmarkStart w:id="908" w:name="_Toc118909681"/>
      <w:bookmarkStart w:id="90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5"/>
      <w:bookmarkEnd w:id="906"/>
      <w:bookmarkEnd w:id="907"/>
      <w:bookmarkEnd w:id="908"/>
      <w:bookmarkEnd w:id="909"/>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0" w:name="_Toc80425767"/>
            <w:bookmarkStart w:id="911" w:name="_Toc118224614"/>
            <w:bookmarkStart w:id="912" w:name="_Toc118909682"/>
            <w:bookmarkStart w:id="913" w:name="_Toc205190527"/>
            <w:bookmarkEnd w:id="900"/>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4"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4"/>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5"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5"/>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0"/>
      <w:bookmarkEnd w:id="911"/>
      <w:bookmarkEnd w:id="912"/>
      <w:bookmarkEnd w:id="91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6" w:name="_Toc80425768"/>
      <w:bookmarkStart w:id="917" w:name="_Toc118224615"/>
      <w:bookmarkStart w:id="918" w:name="_Toc118909683"/>
      <w:bookmarkStart w:id="919" w:name="_Toc205190528"/>
      <w:r w:rsidRPr="004222A1">
        <w:rPr>
          <w:b/>
        </w:rPr>
        <w:t>Settlement Point Price</w:t>
      </w:r>
      <w:bookmarkEnd w:id="916"/>
      <w:bookmarkEnd w:id="917"/>
      <w:bookmarkEnd w:id="918"/>
      <w:bookmarkEnd w:id="91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0" w:name="_Toc118224616"/>
      <w:bookmarkStart w:id="921" w:name="_Toc118909684"/>
      <w:bookmarkStart w:id="922" w:name="_Toc205190529"/>
      <w:r w:rsidRPr="004222A1">
        <w:rPr>
          <w:b/>
        </w:rPr>
        <w:t>Settlement Quality Meter Data</w:t>
      </w:r>
      <w:bookmarkEnd w:id="920"/>
      <w:bookmarkEnd w:id="921"/>
      <w:bookmarkEnd w:id="92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3" w:name="_Toc73847972"/>
      <w:bookmarkStart w:id="924" w:name="_Toc118224617"/>
      <w:bookmarkStart w:id="925" w:name="_Toc118909685"/>
      <w:bookmarkStart w:id="926" w:name="_Toc205190530"/>
      <w:r w:rsidRPr="004222A1">
        <w:rPr>
          <w:b/>
        </w:rPr>
        <w:lastRenderedPageBreak/>
        <w:t>Settlement Statement</w:t>
      </w:r>
      <w:bookmarkStart w:id="927" w:name="Settlementstatement"/>
      <w:bookmarkEnd w:id="92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3"/>
      <w:bookmarkEnd w:id="924"/>
      <w:bookmarkEnd w:id="925"/>
      <w:bookmarkEnd w:id="926"/>
    </w:p>
    <w:p w14:paraId="51E37754" w14:textId="77777777" w:rsidR="005D1947" w:rsidRDefault="00A442A0">
      <w:pPr>
        <w:pStyle w:val="BodyText"/>
      </w:pPr>
      <w:bookmarkStart w:id="92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9" w:name="_Toc118224618"/>
      <w:bookmarkStart w:id="930" w:name="_Toc118909686"/>
      <w:bookmarkStart w:id="931" w:name="_Toc205190531"/>
      <w:r w:rsidRPr="004222A1">
        <w:rPr>
          <w:b/>
        </w:rPr>
        <w:lastRenderedPageBreak/>
        <w:t>Shift Factor</w:t>
      </w:r>
      <w:bookmarkEnd w:id="928"/>
      <w:bookmarkEnd w:id="929"/>
      <w:bookmarkEnd w:id="930"/>
      <w:bookmarkEnd w:id="93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2" w:name="_Toc118224619"/>
      <w:bookmarkStart w:id="933" w:name="_Toc118909687"/>
      <w:bookmarkStart w:id="934" w:name="_Toc205190532"/>
      <w:bookmarkStart w:id="935" w:name="_Toc73847975"/>
      <w:bookmarkStart w:id="936" w:name="_Toc80425774"/>
      <w:bookmarkStart w:id="937" w:name="_Toc73847976"/>
      <w:r w:rsidRPr="004222A1">
        <w:rPr>
          <w:b/>
        </w:rPr>
        <w:t>Short-Term Wind Power Forecast</w:t>
      </w:r>
      <w:bookmarkEnd w:id="932"/>
      <w:bookmarkEnd w:id="933"/>
      <w:bookmarkEnd w:id="93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8" w:name="_Toc118224620"/>
      <w:bookmarkStart w:id="939" w:name="_Toc118909688"/>
      <w:bookmarkStart w:id="940" w:name="_Toc205190533"/>
      <w:bookmarkEnd w:id="935"/>
      <w:bookmarkEnd w:id="93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8"/>
      <w:bookmarkEnd w:id="939"/>
      <w:bookmarkEnd w:id="940"/>
    </w:p>
    <w:p w14:paraId="317995E0" w14:textId="56B62BCE" w:rsidR="00B75513" w:rsidRPr="004222A1" w:rsidRDefault="00A442A0">
      <w:pPr>
        <w:pStyle w:val="H2"/>
        <w:keepNext w:val="0"/>
        <w:ind w:left="907" w:hanging="907"/>
        <w:rPr>
          <w:b/>
        </w:rPr>
      </w:pPr>
      <w:bookmarkStart w:id="941" w:name="_Toc118224622"/>
      <w:bookmarkStart w:id="942" w:name="_Toc118909690"/>
      <w:bookmarkStart w:id="943" w:name="_Toc205190535"/>
      <w:bookmarkStart w:id="944" w:name="_Toc80425775"/>
      <w:bookmarkEnd w:id="937"/>
      <w:r w:rsidRPr="004222A1">
        <w:rPr>
          <w:b/>
        </w:rPr>
        <w:t>Split Generation Resource</w:t>
      </w:r>
      <w:bookmarkEnd w:id="941"/>
      <w:bookmarkEnd w:id="942"/>
      <w:bookmarkEnd w:id="94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5" w:name="_Toc118224623"/>
      <w:bookmarkStart w:id="946" w:name="_Toc118909691"/>
      <w:bookmarkStart w:id="947" w:name="_Toc205190536"/>
      <w:r w:rsidRPr="004222A1">
        <w:rPr>
          <w:b/>
        </w:rPr>
        <w:t>Startup Cost</w:t>
      </w:r>
      <w:bookmarkEnd w:id="945"/>
      <w:bookmarkEnd w:id="946"/>
      <w:bookmarkEnd w:id="947"/>
      <w:r w:rsidRPr="004222A1">
        <w:rPr>
          <w:b/>
        </w:rPr>
        <w:t xml:space="preserve"> </w:t>
      </w:r>
      <w:bookmarkEnd w:id="94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8" w:name="_Toc80425776"/>
      <w:bookmarkStart w:id="949" w:name="_Toc118224624"/>
      <w:bookmarkStart w:id="950" w:name="_Toc118909692"/>
      <w:bookmarkStart w:id="951" w:name="_Toc205190537"/>
      <w:bookmarkStart w:id="952" w:name="_Toc73847977"/>
      <w:r w:rsidRPr="004222A1">
        <w:rPr>
          <w:b/>
        </w:rPr>
        <w:t>Startup Offer</w:t>
      </w:r>
      <w:bookmarkEnd w:id="948"/>
      <w:bookmarkEnd w:id="949"/>
      <w:bookmarkEnd w:id="950"/>
      <w:bookmarkEnd w:id="95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3" w:name="_Toc118224625"/>
      <w:bookmarkStart w:id="954" w:name="_Toc118909693"/>
      <w:bookmarkStart w:id="955" w:name="_Toc205190538"/>
      <w:r w:rsidRPr="004222A1">
        <w:rPr>
          <w:b/>
        </w:rPr>
        <w:lastRenderedPageBreak/>
        <w:t>State Estimator</w:t>
      </w:r>
      <w:bookmarkEnd w:id="952"/>
      <w:bookmarkEnd w:id="953"/>
      <w:bookmarkEnd w:id="954"/>
      <w:bookmarkEnd w:id="955"/>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40348D">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6" w:name="_Toc205190539"/>
      <w:bookmarkStart w:id="957" w:name="_Toc73847983"/>
      <w:bookmarkStart w:id="958" w:name="_Toc118224626"/>
      <w:bookmarkStart w:id="95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lastRenderedPageBreak/>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0" w:name="_Toc205190540"/>
      <w:r w:rsidRPr="004222A1">
        <w:rPr>
          <w:b/>
        </w:rPr>
        <w:t>System-Wide Offer Cap (SWC</w:t>
      </w:r>
      <w:r w:rsidR="00EF4BE7" w:rsidRPr="004222A1">
        <w:rPr>
          <w:b/>
        </w:rPr>
        <w:t>A</w:t>
      </w:r>
      <w:r w:rsidRPr="004222A1">
        <w:rPr>
          <w:b/>
        </w:rPr>
        <w:t>P)</w:t>
      </w:r>
      <w:bookmarkEnd w:id="96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7"/>
          <w:bookmarkEnd w:id="958"/>
          <w:bookmarkEnd w:id="95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1" w:name="T"/>
      <w:bookmarkEnd w:id="961"/>
    </w:p>
    <w:p w14:paraId="76806BF3" w14:textId="77777777" w:rsidR="00B75513" w:rsidRDefault="00AF6DAA">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2" w:name="_Toc73847986"/>
      <w:bookmarkStart w:id="963" w:name="_Toc118224627"/>
      <w:bookmarkStart w:id="964" w:name="_Toc118909695"/>
      <w:bookmarkStart w:id="965" w:name="_Toc205190541"/>
      <w:r w:rsidRPr="004222A1">
        <w:rPr>
          <w:b/>
        </w:rPr>
        <w:t>T</w:t>
      </w:r>
      <w:r w:rsidR="00EF4BE7" w:rsidRPr="004222A1">
        <w:rPr>
          <w:b/>
        </w:rPr>
        <w:t xml:space="preserve">SP and </w:t>
      </w:r>
      <w:r w:rsidRPr="004222A1">
        <w:rPr>
          <w:b/>
        </w:rPr>
        <w:t>DSP Metered Entity</w:t>
      </w:r>
      <w:bookmarkEnd w:id="962"/>
      <w:bookmarkEnd w:id="963"/>
      <w:bookmarkEnd w:id="964"/>
      <w:bookmarkEnd w:id="96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lastRenderedPageBreak/>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6" w:name="_Toc80425787"/>
      <w:bookmarkStart w:id="967" w:name="_Toc118224629"/>
      <w:bookmarkStart w:id="968" w:name="_Toc118909697"/>
      <w:bookmarkStart w:id="969" w:name="_Toc205190543"/>
      <w:bookmarkStart w:id="97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6"/>
      <w:bookmarkEnd w:id="967"/>
      <w:bookmarkEnd w:id="968"/>
      <w:bookmarkEnd w:id="96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1" w:name="_Toc118224630"/>
      <w:bookmarkStart w:id="972" w:name="_Toc118909698"/>
      <w:bookmarkStart w:id="973" w:name="_Toc205190544"/>
      <w:r w:rsidRPr="004222A1">
        <w:rPr>
          <w:b/>
        </w:rPr>
        <w:t xml:space="preserve">Texas </w:t>
      </w:r>
      <w:r w:rsidR="00EF4BE7" w:rsidRPr="004222A1">
        <w:rPr>
          <w:b/>
        </w:rPr>
        <w:t xml:space="preserve">Standard Electronic Transaction (TX </w:t>
      </w:r>
      <w:r w:rsidRPr="004222A1">
        <w:rPr>
          <w:b/>
        </w:rPr>
        <w:t>SET</w:t>
      </w:r>
      <w:bookmarkEnd w:id="970"/>
      <w:bookmarkEnd w:id="971"/>
      <w:bookmarkEnd w:id="972"/>
      <w:bookmarkEnd w:id="97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4" w:name="_Toc118224631"/>
      <w:bookmarkStart w:id="975" w:name="_Toc118909699"/>
      <w:bookmarkStart w:id="976" w:name="_Toc205190545"/>
      <w:bookmarkStart w:id="977" w:name="_Toc80425796"/>
      <w:r w:rsidRPr="004222A1">
        <w:rPr>
          <w:b/>
        </w:rPr>
        <w:t>Three-Part Supply Offer</w:t>
      </w:r>
      <w:bookmarkEnd w:id="974"/>
      <w:bookmarkEnd w:id="975"/>
      <w:bookmarkEnd w:id="97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8" w:name="_Toc118224632"/>
      <w:bookmarkStart w:id="979" w:name="_Toc118909700"/>
      <w:bookmarkStart w:id="980"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7"/>
      <w:bookmarkEnd w:id="978"/>
      <w:bookmarkEnd w:id="979"/>
      <w:bookmarkEnd w:id="98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1" w:name="_Toc73848000"/>
      <w:bookmarkStart w:id="982" w:name="_Toc118224633"/>
      <w:bookmarkStart w:id="983" w:name="_Toc118909701"/>
      <w:bookmarkStart w:id="984" w:name="_Toc205190547"/>
      <w:r w:rsidRPr="004222A1">
        <w:rPr>
          <w:b/>
        </w:rPr>
        <w:lastRenderedPageBreak/>
        <w:t>Transmission and/or Distribution Service Provider (TDSP)</w:t>
      </w:r>
      <w:bookmarkEnd w:id="981"/>
      <w:bookmarkEnd w:id="982"/>
      <w:bookmarkEnd w:id="983"/>
      <w:bookmarkEnd w:id="984"/>
    </w:p>
    <w:p w14:paraId="0F29D92C" w14:textId="77777777" w:rsidR="0011691A" w:rsidRDefault="0011691A" w:rsidP="0011691A">
      <w:pPr>
        <w:pStyle w:val="BodyText"/>
      </w:pPr>
      <w:bookmarkStart w:id="985" w:name="_Toc118224634"/>
      <w:bookmarkStart w:id="986" w:name="_Toc118909702"/>
      <w:bookmarkStart w:id="98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5"/>
      <w:bookmarkEnd w:id="986"/>
      <w:bookmarkEnd w:id="987"/>
    </w:p>
    <w:bookmarkEnd w:id="98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9" w:name="_Toc80425802"/>
      <w:bookmarkStart w:id="990" w:name="_Toc118224635"/>
      <w:bookmarkStart w:id="991" w:name="_Toc118909703"/>
      <w:bookmarkStart w:id="992" w:name="_Toc205190549"/>
      <w:bookmarkStart w:id="993" w:name="_Toc73848001"/>
      <w:r w:rsidRPr="004222A1">
        <w:rPr>
          <w:b/>
        </w:rPr>
        <w:t>Transmission Facilities</w:t>
      </w:r>
      <w:bookmarkEnd w:id="989"/>
      <w:bookmarkEnd w:id="990"/>
      <w:bookmarkEnd w:id="991"/>
      <w:bookmarkEnd w:id="99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4" w:name="_Toc80425803"/>
            <w:bookmarkStart w:id="995" w:name="_Toc118224636"/>
            <w:bookmarkStart w:id="996" w:name="_Toc118909704"/>
            <w:bookmarkStart w:id="997" w:name="_Toc205190550"/>
            <w:bookmarkStart w:id="998" w:name="_Toc73848002"/>
            <w:bookmarkEnd w:id="99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994"/>
      <w:bookmarkEnd w:id="995"/>
      <w:bookmarkEnd w:id="996"/>
      <w:bookmarkEnd w:id="99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9" w:name="_Toc73848003"/>
            <w:bookmarkStart w:id="1000" w:name="_Toc80425804"/>
            <w:bookmarkStart w:id="1001" w:name="_Toc118224637"/>
            <w:bookmarkStart w:id="1002" w:name="_Toc118909705"/>
            <w:bookmarkStart w:id="1003" w:name="_Toc205190551"/>
            <w:bookmarkStart w:id="1004" w:name="_Toc73848004"/>
            <w:bookmarkEnd w:id="998"/>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9"/>
      <w:bookmarkEnd w:id="1000"/>
      <w:bookmarkEnd w:id="1001"/>
      <w:bookmarkEnd w:id="1002"/>
      <w:bookmarkEnd w:id="100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5" w:name="_Toc118224638"/>
      <w:bookmarkStart w:id="1006" w:name="_Toc118909706"/>
      <w:bookmarkStart w:id="100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lastRenderedPageBreak/>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4"/>
      <w:bookmarkEnd w:id="1005"/>
      <w:bookmarkEnd w:id="1006"/>
      <w:bookmarkEnd w:id="100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8" w:name="_Toc73848005"/>
      <w:bookmarkStart w:id="1009" w:name="_Toc118224639"/>
      <w:bookmarkStart w:id="1010" w:name="_Toc118909707"/>
      <w:bookmarkStart w:id="1011" w:name="_Toc205190553"/>
      <w:r w:rsidRPr="004222A1">
        <w:rPr>
          <w:b/>
        </w:rPr>
        <w:t>Transmission Service Provider</w:t>
      </w:r>
      <w:bookmarkEnd w:id="1008"/>
      <w:r w:rsidRPr="004222A1">
        <w:rPr>
          <w:b/>
        </w:rPr>
        <w:t xml:space="preserve"> (TSP)</w:t>
      </w:r>
      <w:bookmarkEnd w:id="1009"/>
      <w:bookmarkEnd w:id="1010"/>
      <w:bookmarkEnd w:id="101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2" w:name="U"/>
      <w:bookmarkEnd w:id="1012"/>
    </w:p>
    <w:p w14:paraId="1E3F674E" w14:textId="77777777" w:rsidR="00B75513" w:rsidRDefault="00AF6DAA">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3" w:name="_Toc73848008"/>
      <w:bookmarkStart w:id="1014" w:name="_Toc80425809"/>
      <w:bookmarkStart w:id="1015" w:name="_Toc118224640"/>
      <w:bookmarkStart w:id="1016" w:name="_Toc118909708"/>
      <w:bookmarkStart w:id="1017" w:name="_Toc205190554"/>
      <w:bookmarkStart w:id="1018" w:name="_Toc73848010"/>
      <w:r w:rsidRPr="004222A1">
        <w:rPr>
          <w:b/>
        </w:rPr>
        <w:t>Unaccounted for Energy (UFE)</w:t>
      </w:r>
      <w:bookmarkEnd w:id="1013"/>
      <w:bookmarkEnd w:id="1014"/>
      <w:bookmarkEnd w:id="1015"/>
      <w:bookmarkEnd w:id="1016"/>
      <w:bookmarkEnd w:id="101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9" w:name="_Toc118224641"/>
      <w:bookmarkStart w:id="1020" w:name="_Toc118909709"/>
      <w:bookmarkStart w:id="1021" w:name="_Toc205190555"/>
      <w:bookmarkStart w:id="1022" w:name="_Toc73848014"/>
      <w:bookmarkEnd w:id="1018"/>
      <w:r w:rsidRPr="004222A1">
        <w:rPr>
          <w:b/>
        </w:rPr>
        <w:t>Unit Reactive Limit</w:t>
      </w:r>
      <w:bookmarkEnd w:id="1019"/>
      <w:bookmarkEnd w:id="1020"/>
      <w:bookmarkEnd w:id="102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3" w:name="_Toc205190556"/>
      <w:bookmarkStart w:id="1024" w:name="_Toc118224642"/>
      <w:bookmarkStart w:id="1025" w:name="_Toc118909710"/>
      <w:r w:rsidRPr="004222A1">
        <w:rPr>
          <w:b/>
        </w:rPr>
        <w:t>Updated Desired Base Point</w:t>
      </w:r>
      <w:bookmarkEnd w:id="1023"/>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lastRenderedPageBreak/>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lastRenderedPageBreak/>
        <w:t>Updated Network Model</w:t>
      </w:r>
      <w:bookmarkEnd w:id="1024"/>
      <w:bookmarkEnd w:id="1025"/>
      <w:bookmarkEnd w:id="102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2"/>
    <w:p w14:paraId="2421C9E7" w14:textId="77777777" w:rsidR="005D1947" w:rsidRDefault="00A442A0">
      <w:pPr>
        <w:pStyle w:val="BodyText"/>
        <w:keepNext/>
        <w:rPr>
          <w:b/>
          <w:sz w:val="40"/>
          <w:szCs w:val="40"/>
        </w:rPr>
      </w:pPr>
      <w:r>
        <w:rPr>
          <w:b/>
          <w:sz w:val="40"/>
          <w:szCs w:val="40"/>
        </w:rPr>
        <w:t>V</w:t>
      </w:r>
      <w:bookmarkStart w:id="1027" w:name="V"/>
      <w:bookmarkEnd w:id="1027"/>
    </w:p>
    <w:p w14:paraId="3F4B6B86" w14:textId="77777777" w:rsidR="00B75513" w:rsidRDefault="00AF6DAA">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8" w:name="_Toc80425818"/>
      <w:bookmarkStart w:id="1029" w:name="_Toc118224645"/>
      <w:bookmarkStart w:id="1030" w:name="_Toc118909713"/>
      <w:bookmarkStart w:id="1031" w:name="_Toc205190560"/>
      <w:r w:rsidRPr="004222A1">
        <w:rPr>
          <w:b/>
        </w:rPr>
        <w:t>Verbal Dispatch Instruction (VDI)</w:t>
      </w:r>
      <w:bookmarkEnd w:id="1028"/>
      <w:bookmarkEnd w:id="1029"/>
      <w:bookmarkEnd w:id="1030"/>
      <w:bookmarkEnd w:id="103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2" w:name="_Toc205190561"/>
      <w:bookmarkStart w:id="1033" w:name="_Toc73848017"/>
      <w:bookmarkStart w:id="1034" w:name="_Toc118224646"/>
      <w:bookmarkStart w:id="1035" w:name="_Toc118909714"/>
      <w:r w:rsidRPr="004222A1">
        <w:rPr>
          <w:b/>
        </w:rPr>
        <w:t>Voltage Profile</w:t>
      </w:r>
      <w:bookmarkEnd w:id="1032"/>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36"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33"/>
      <w:bookmarkEnd w:id="1034"/>
      <w:bookmarkEnd w:id="1035"/>
      <w:bookmarkEnd w:id="103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7" w:name="W"/>
      <w:bookmarkEnd w:id="1037"/>
    </w:p>
    <w:p w14:paraId="79345C73" w14:textId="77777777" w:rsidR="00B75513" w:rsidRDefault="00AF6DAA">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8" w:name="_Toc73848019"/>
      <w:bookmarkStart w:id="1039" w:name="_Toc118224647"/>
      <w:bookmarkStart w:id="1040" w:name="_Toc118909715"/>
      <w:bookmarkStart w:id="1041" w:name="_Toc205190563"/>
      <w:r w:rsidRPr="004222A1">
        <w:rPr>
          <w:b/>
        </w:rPr>
        <w:lastRenderedPageBreak/>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8"/>
      <w:bookmarkEnd w:id="1039"/>
      <w:bookmarkEnd w:id="1040"/>
      <w:bookmarkEnd w:id="104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2" w:name="_Toc73848020"/>
      <w:bookmarkStart w:id="1043" w:name="_Toc80425825"/>
      <w:bookmarkStart w:id="1044" w:name="_Toc118224648"/>
      <w:bookmarkStart w:id="1045" w:name="_Toc118909716"/>
      <w:bookmarkStart w:id="1046" w:name="_Toc205190564"/>
      <w:r w:rsidRPr="004222A1">
        <w:rPr>
          <w:b/>
        </w:rPr>
        <w:t>Wholesale Customer</w:t>
      </w:r>
      <w:bookmarkEnd w:id="1042"/>
      <w:bookmarkEnd w:id="1043"/>
      <w:bookmarkEnd w:id="1044"/>
      <w:bookmarkEnd w:id="1045"/>
      <w:bookmarkEnd w:id="104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8"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lastRenderedPageBreak/>
        <w:t>d</w:t>
      </w:r>
      <w:r>
        <w:t xml:space="preserve">ata, or any of the operational voice data described in Nodal Operating Guide Section 7.1, </w:t>
      </w:r>
      <w:r w:rsidRPr="0061443E">
        <w:t>ERCOT Wide Area Network</w:t>
      </w:r>
      <w:r w:rsidRPr="003737D7">
        <w:t>.</w:t>
      </w:r>
    </w:p>
    <w:bookmarkEnd w:id="104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9" w:name="_Toc205190566"/>
      <w:r w:rsidRPr="004222A1">
        <w:rPr>
          <w:b/>
        </w:rPr>
        <w:t>Wind-powered Generation Resource Production Potential (WGRPP)</w:t>
      </w:r>
      <w:bookmarkEnd w:id="104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0" w:name="X"/>
      <w:bookmarkEnd w:id="1050"/>
    </w:p>
    <w:p w14:paraId="14574AFC" w14:textId="77777777" w:rsidR="00B75513" w:rsidRDefault="00AF6DAA">
      <w:pPr>
        <w:pStyle w:val="ListIntroduction"/>
        <w:keepNext w:val="0"/>
      </w:pPr>
      <w:hyperlink w:anchor="_DEFINITIONS" w:history="1">
        <w:r w:rsidR="00842B9A">
          <w:rPr>
            <w:rStyle w:val="Hyperlink"/>
          </w:rPr>
          <w:t>[Back to Top]</w:t>
        </w:r>
      </w:hyperlink>
    </w:p>
    <w:p w14:paraId="73E46C47" w14:textId="77777777" w:rsidR="005D1947" w:rsidRDefault="00AF6DAA">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1" w:name="Y"/>
      <w:bookmarkEnd w:id="1051"/>
    </w:p>
    <w:p w14:paraId="28022E90" w14:textId="77777777" w:rsidR="00B75513" w:rsidRDefault="00AF6DAA">
      <w:pPr>
        <w:pStyle w:val="ListIntroduction"/>
        <w:keepNext w:val="0"/>
      </w:pPr>
      <w:hyperlink w:anchor="_DEFINITIONS" w:history="1">
        <w:r w:rsidR="00842B9A">
          <w:rPr>
            <w:rStyle w:val="Hyperlink"/>
          </w:rPr>
          <w:t>[Back to Top]</w:t>
        </w:r>
      </w:hyperlink>
    </w:p>
    <w:p w14:paraId="76C10CB2" w14:textId="77777777" w:rsidR="005D1947" w:rsidRDefault="00AF6DAA">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AF6DAA">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2" w:name="_ACRONYMS_AND_ABBREVIATIONS"/>
      <w:bookmarkStart w:id="1053" w:name="_Toc118224650"/>
      <w:bookmarkStart w:id="1054" w:name="_Toc118909718"/>
      <w:bookmarkStart w:id="1055" w:name="_Toc205190567"/>
      <w:bookmarkEnd w:id="1052"/>
      <w:r>
        <w:t>2.2</w:t>
      </w:r>
      <w:r>
        <w:tab/>
      </w:r>
      <w:r w:rsidR="00A442A0">
        <w:t>ACRONYMS AND ABBREVIATIONS</w:t>
      </w:r>
      <w:bookmarkEnd w:id="1053"/>
      <w:bookmarkEnd w:id="1054"/>
      <w:bookmarkEnd w:id="105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lastRenderedPageBreak/>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lastRenderedPageBreak/>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lastRenderedPageBreak/>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lastRenderedPageBreak/>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lastRenderedPageBreak/>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lastRenderedPageBreak/>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lastRenderedPageBreak/>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lastRenderedPageBreak/>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FA64945" w:rsidR="003109F8" w:rsidRPr="00F909A2" w:rsidRDefault="003109F8">
    <w:pPr>
      <w:pStyle w:val="Footer"/>
      <w:tabs>
        <w:tab w:val="clear" w:pos="4680"/>
      </w:tabs>
      <w:spacing w:before="0" w:after="0"/>
    </w:pPr>
    <w:r w:rsidRPr="00F909A2">
      <w:t>ERCOT Nodal Protocols –</w:t>
    </w:r>
    <w:r w:rsidR="007A6E43">
      <w:t xml:space="preserve"> </w:t>
    </w:r>
    <w:r w:rsidR="00616A36">
      <w:t>April</w:t>
    </w:r>
    <w:r w:rsidR="00A532F5">
      <w:t xml:space="preserve"> 1</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09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37DCB"/>
    <w:rsid w:val="00242D43"/>
    <w:rsid w:val="00243E63"/>
    <w:rsid w:val="0024584E"/>
    <w:rsid w:val="00245956"/>
    <w:rsid w:val="00247AAB"/>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96878"/>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772"/>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32F5"/>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099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120</Pages>
  <Words>30285</Words>
  <Characters>178909</Characters>
  <Application>Microsoft Office Word</Application>
  <DocSecurity>0</DocSecurity>
  <Lines>1490</Lines>
  <Paragraphs>417</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208777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2024-03-28T19:59:00Z</dcterms:created>
  <dcterms:modified xsi:type="dcterms:W3CDTF">2024-03-28T19:59:00Z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