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4E2590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4E2590" w:rsidRDefault="004E2590" w:rsidP="004E2590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DA7D66D" w:rsidR="004E2590" w:rsidRPr="00595DDC" w:rsidRDefault="004E2590" w:rsidP="004E2590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BF3518">
                <w:rPr>
                  <w:rStyle w:val="Hyperlink"/>
                </w:rPr>
                <w:t>1224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141E5C" w:rsidR="004E2590" w:rsidRDefault="004E2590" w:rsidP="004E2590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094FF5E9" w:rsidR="004E2590" w:rsidRPr="009F3D0E" w:rsidRDefault="004E2590" w:rsidP="004E259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ECRS Manual Deployment Triggers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4D9C449" w:rsidR="00FC0BDC" w:rsidRPr="009F3D0E" w:rsidRDefault="004E2590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27,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2C9D21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E2590">
      <w:rPr>
        <w:rFonts w:ascii="Arial" w:hAnsi="Arial"/>
        <w:noProof/>
        <w:sz w:val="18"/>
      </w:rPr>
      <w:t>1224NPRR-02 Impact Analysis 032724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03XX24</cp:lastModifiedBy>
  <cp:revision>4</cp:revision>
  <cp:lastPrinted>2007-01-12T13:31:00Z</cp:lastPrinted>
  <dcterms:created xsi:type="dcterms:W3CDTF">2024-03-22T15:45:00Z</dcterms:created>
  <dcterms:modified xsi:type="dcterms:W3CDTF">2024-03-27T15:16:00Z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