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410BEE5B" w:rsidR="002F5868" w:rsidRDefault="003E0FF7" w:rsidP="00A927C1">
      <w:pPr>
        <w:spacing w:before="360"/>
        <w:jc w:val="center"/>
        <w:rPr>
          <w:b/>
          <w:szCs w:val="24"/>
        </w:rPr>
      </w:pPr>
      <w:r>
        <w:rPr>
          <w:b/>
          <w:szCs w:val="24"/>
        </w:rPr>
        <w:t>March</w:t>
      </w:r>
      <w:r w:rsidR="0064455F">
        <w:rPr>
          <w:b/>
          <w:szCs w:val="24"/>
        </w:rPr>
        <w:t xml:space="preserve"> </w:t>
      </w:r>
      <w:r w:rsidR="003026B4">
        <w:rPr>
          <w:b/>
          <w:szCs w:val="24"/>
        </w:rPr>
        <w:t>1</w:t>
      </w:r>
      <w:r w:rsidR="001349D5">
        <w:rPr>
          <w:b/>
          <w:szCs w:val="24"/>
        </w:rPr>
        <w:t>, 20</w:t>
      </w:r>
      <w:r w:rsidR="006D4C93">
        <w:rPr>
          <w:b/>
          <w:szCs w:val="24"/>
        </w:rPr>
        <w:t>2</w:t>
      </w:r>
      <w:r>
        <w:rPr>
          <w:b/>
          <w:szCs w:val="24"/>
        </w:rPr>
        <w:t>4</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7EBDAF86"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D465F5">
          <w:rPr>
            <w:webHidden/>
          </w:rPr>
          <w:t>9-1</w:t>
        </w:r>
        <w:r w:rsidR="008F5C1F">
          <w:rPr>
            <w:webHidden/>
          </w:rPr>
          <w:fldChar w:fldCharType="end"/>
        </w:r>
      </w:hyperlink>
    </w:p>
    <w:p w14:paraId="1FDA568D" w14:textId="7560BA9E" w:rsidR="008F5C1F" w:rsidRPr="008F5C1F" w:rsidRDefault="00D465F5">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Pr>
            <w:noProof/>
            <w:webHidden/>
          </w:rPr>
          <w:t>9-1</w:t>
        </w:r>
        <w:r w:rsidR="008F5C1F" w:rsidRPr="008F5C1F">
          <w:rPr>
            <w:noProof/>
            <w:webHidden/>
          </w:rPr>
          <w:fldChar w:fldCharType="end"/>
        </w:r>
      </w:hyperlink>
    </w:p>
    <w:p w14:paraId="16371CE4" w14:textId="6432D88A" w:rsidR="008F5C1F" w:rsidRPr="008F5C1F" w:rsidRDefault="00D465F5">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5B5C1D1C" w14:textId="0BD1921F" w:rsidR="008F5C1F" w:rsidRPr="008F5C1F" w:rsidRDefault="00D465F5">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77D5A38B" w14:textId="664BD425" w:rsidR="008F5C1F" w:rsidRPr="008F5C1F" w:rsidRDefault="00D465F5">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w:t>
        </w:r>
        <w:r w:rsidR="008F5C1F" w:rsidRPr="008F5C1F">
          <w:rPr>
            <w:i w:val="0"/>
            <w:iCs w:val="0"/>
            <w:noProof/>
            <w:webHidden/>
          </w:rPr>
          <w:fldChar w:fldCharType="end"/>
        </w:r>
      </w:hyperlink>
    </w:p>
    <w:p w14:paraId="59F00CAC" w14:textId="39224207" w:rsidR="008F5C1F" w:rsidRPr="008F5C1F" w:rsidRDefault="00D465F5">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69230204" w14:textId="5AB06DBC" w:rsidR="008F5C1F" w:rsidRPr="008F5C1F" w:rsidRDefault="00D465F5">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F1143FE" w14:textId="686A596B" w:rsidR="008F5C1F" w:rsidRPr="008F5C1F" w:rsidRDefault="00D465F5">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Pr>
            <w:noProof/>
            <w:webHidden/>
          </w:rPr>
          <w:t>9-3</w:t>
        </w:r>
        <w:r w:rsidR="008F5C1F" w:rsidRPr="008F5C1F">
          <w:rPr>
            <w:noProof/>
            <w:webHidden/>
          </w:rPr>
          <w:fldChar w:fldCharType="end"/>
        </w:r>
      </w:hyperlink>
    </w:p>
    <w:p w14:paraId="546A60BB" w14:textId="5CAECE6E" w:rsidR="008F5C1F" w:rsidRPr="008F5C1F" w:rsidRDefault="00D465F5">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100DD0B6" w14:textId="67F19E45" w:rsidR="008F5C1F" w:rsidRPr="008F5C1F" w:rsidRDefault="00D465F5">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D0C835F" w14:textId="534C2213" w:rsidR="008F5C1F" w:rsidRPr="008F5C1F" w:rsidRDefault="00D465F5">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w:t>
        </w:r>
        <w:r w:rsidR="008F5C1F" w:rsidRPr="008F5C1F">
          <w:rPr>
            <w:i w:val="0"/>
            <w:iCs w:val="0"/>
            <w:noProof/>
            <w:webHidden/>
          </w:rPr>
          <w:fldChar w:fldCharType="end"/>
        </w:r>
      </w:hyperlink>
    </w:p>
    <w:p w14:paraId="6418C89F" w14:textId="648CCC9A" w:rsidR="008F5C1F" w:rsidRPr="008F5C1F" w:rsidRDefault="00D465F5">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25D5785F" w14:textId="12AB5C3C" w:rsidR="008F5C1F" w:rsidRPr="008F5C1F" w:rsidRDefault="00D465F5">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09778A9D" w14:textId="5F5C4D73" w:rsidR="008F5C1F" w:rsidRPr="008F5C1F" w:rsidRDefault="00D465F5">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4A0D620E" w14:textId="3C1C3B8B" w:rsidR="008F5C1F" w:rsidRPr="008F5C1F" w:rsidRDefault="00D465F5">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7E7795B0" w14:textId="29C32D49" w:rsidR="008F5C1F" w:rsidRPr="008F5C1F" w:rsidRDefault="00D465F5">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4CB682A3" w14:textId="4529BC40" w:rsidR="008F5C1F" w:rsidRPr="008F5C1F" w:rsidRDefault="00D465F5">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10BE913E" w14:textId="7CCB2557" w:rsidR="008F5C1F" w:rsidRPr="008F5C1F" w:rsidRDefault="00D465F5">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79D6ABD2" w14:textId="42AF2CDC" w:rsidR="008F5C1F" w:rsidRPr="008F5C1F" w:rsidRDefault="00D465F5">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3B8A8F40" w14:textId="6279F400" w:rsidR="008F5C1F" w:rsidRPr="008F5C1F" w:rsidRDefault="00D465F5">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4DA65CBF" w14:textId="686555BD" w:rsidR="008F5C1F" w:rsidRPr="008F5C1F" w:rsidRDefault="00D465F5">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240E4B5" w14:textId="69CB27A7" w:rsidR="008F5C1F" w:rsidRPr="008F5C1F" w:rsidRDefault="00D465F5">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E9294A7" w14:textId="61BDE186" w:rsidR="008F5C1F" w:rsidRPr="008F5C1F" w:rsidRDefault="00D465F5">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9-9</w:t>
        </w:r>
        <w:r w:rsidR="008F5C1F" w:rsidRPr="008F5C1F">
          <w:rPr>
            <w:i w:val="0"/>
            <w:iCs w:val="0"/>
            <w:noProof/>
            <w:webHidden/>
          </w:rPr>
          <w:fldChar w:fldCharType="end"/>
        </w:r>
      </w:hyperlink>
    </w:p>
    <w:p w14:paraId="285D742F" w14:textId="6491CE4D" w:rsidR="008F5C1F" w:rsidRPr="008F5C1F" w:rsidRDefault="00D465F5">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243EEB52" w14:textId="3AF077FE" w:rsidR="008F5C1F" w:rsidRPr="008F5C1F" w:rsidRDefault="00D465F5">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1CD65DC4" w14:textId="0B16FB1B" w:rsidR="008F5C1F" w:rsidRPr="008F5C1F" w:rsidRDefault="00D465F5">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66D7EBC9" w14:textId="1135B0B5" w:rsidR="008F5C1F" w:rsidRPr="008F5C1F" w:rsidRDefault="00D465F5">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9-16</w:t>
        </w:r>
        <w:r w:rsidR="008F5C1F" w:rsidRPr="008F5C1F">
          <w:rPr>
            <w:i w:val="0"/>
            <w:iCs w:val="0"/>
            <w:noProof/>
            <w:webHidden/>
          </w:rPr>
          <w:fldChar w:fldCharType="end"/>
        </w:r>
      </w:hyperlink>
    </w:p>
    <w:p w14:paraId="047D7815" w14:textId="68CA2A3D" w:rsidR="008F5C1F" w:rsidRPr="008F5C1F" w:rsidRDefault="00D465F5">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5C746CFB" w14:textId="201D03CA" w:rsidR="008F5C1F" w:rsidRPr="008F5C1F" w:rsidRDefault="00D465F5">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7985D197" w14:textId="5280E608" w:rsidR="008F5C1F" w:rsidRPr="008F5C1F" w:rsidRDefault="00D465F5">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1DC68A17" w14:textId="2F91284D" w:rsidR="008F5C1F" w:rsidRPr="008F5C1F" w:rsidRDefault="00D465F5">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64AC4E20" w14:textId="5887D246" w:rsidR="008F5C1F" w:rsidRPr="008F5C1F" w:rsidRDefault="00D465F5">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413DFD30" w14:textId="2A01451F" w:rsidR="008F5C1F" w:rsidRPr="008F5C1F" w:rsidRDefault="00D465F5">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Pr>
            <w:noProof/>
            <w:webHidden/>
          </w:rPr>
          <w:t>9-18</w:t>
        </w:r>
        <w:r w:rsidR="008F5C1F" w:rsidRPr="008F5C1F">
          <w:rPr>
            <w:noProof/>
            <w:webHidden/>
          </w:rPr>
          <w:fldChar w:fldCharType="end"/>
        </w:r>
      </w:hyperlink>
    </w:p>
    <w:p w14:paraId="0226F2EF" w14:textId="0FB0D73F" w:rsidR="008F5C1F" w:rsidRPr="008F5C1F" w:rsidRDefault="00D465F5">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Pr>
            <w:noProof/>
            <w:webHidden/>
          </w:rPr>
          <w:t>9-19</w:t>
        </w:r>
        <w:r w:rsidR="008F5C1F" w:rsidRPr="008F5C1F">
          <w:rPr>
            <w:noProof/>
            <w:webHidden/>
          </w:rPr>
          <w:fldChar w:fldCharType="end"/>
        </w:r>
      </w:hyperlink>
    </w:p>
    <w:p w14:paraId="2B425BCB" w14:textId="7F6C330D" w:rsidR="008F5C1F" w:rsidRPr="008F5C1F" w:rsidRDefault="00D465F5">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2BC85198" w14:textId="1DE7BAE8" w:rsidR="008F5C1F" w:rsidRPr="008F5C1F" w:rsidRDefault="00D465F5">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3EEEEC57" w14:textId="6588B6D2" w:rsidR="008F5C1F" w:rsidRPr="008F5C1F" w:rsidRDefault="00D465F5">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6EEDA151" w14:textId="70C51C06" w:rsidR="008F5C1F" w:rsidRPr="008F5C1F" w:rsidRDefault="00D465F5">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Pr>
            <w:noProof/>
            <w:webHidden/>
          </w:rPr>
          <w:t>9-21</w:t>
        </w:r>
        <w:r w:rsidR="008F5C1F" w:rsidRPr="008F5C1F">
          <w:rPr>
            <w:noProof/>
            <w:webHidden/>
          </w:rPr>
          <w:fldChar w:fldCharType="end"/>
        </w:r>
      </w:hyperlink>
    </w:p>
    <w:p w14:paraId="2D5286DB" w14:textId="5626DC4A" w:rsidR="008F5C1F" w:rsidRPr="008F5C1F" w:rsidRDefault="00D465F5">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Pr>
            <w:noProof/>
            <w:webHidden/>
          </w:rPr>
          <w:t>9-22</w:t>
        </w:r>
        <w:r w:rsidR="008F5C1F" w:rsidRPr="008F5C1F">
          <w:rPr>
            <w:noProof/>
            <w:webHidden/>
          </w:rPr>
          <w:fldChar w:fldCharType="end"/>
        </w:r>
      </w:hyperlink>
    </w:p>
    <w:p w14:paraId="520C3EB9" w14:textId="2EC06B91" w:rsidR="008F5C1F" w:rsidRPr="008F5C1F" w:rsidRDefault="00D465F5">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3ACF1DC4" w14:textId="40EFCB48" w:rsidR="008F5C1F" w:rsidRPr="008F5C1F" w:rsidRDefault="00D465F5">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36B5CAE2" w14:textId="524C2B81" w:rsidR="008F5C1F" w:rsidRPr="008F5C1F" w:rsidRDefault="00D465F5">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77352268" w14:textId="380C199C" w:rsidR="008F5C1F" w:rsidRPr="008F5C1F" w:rsidRDefault="00D465F5">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Pr>
            <w:noProof/>
            <w:webHidden/>
          </w:rPr>
          <w:t>9-23</w:t>
        </w:r>
        <w:r w:rsidR="008F5C1F" w:rsidRPr="008F5C1F">
          <w:rPr>
            <w:noProof/>
            <w:webHidden/>
          </w:rPr>
          <w:fldChar w:fldCharType="end"/>
        </w:r>
      </w:hyperlink>
    </w:p>
    <w:p w14:paraId="4C75D59C" w14:textId="20ACEEFD" w:rsidR="008F5C1F" w:rsidRPr="008F5C1F" w:rsidRDefault="00D465F5">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Pr>
            <w:noProof/>
            <w:webHidden/>
          </w:rPr>
          <w:t>9-24</w:t>
        </w:r>
        <w:r w:rsidR="008F5C1F" w:rsidRPr="008F5C1F">
          <w:rPr>
            <w:noProof/>
            <w:webHidden/>
          </w:rPr>
          <w:fldChar w:fldCharType="end"/>
        </w:r>
      </w:hyperlink>
    </w:p>
    <w:p w14:paraId="5F9095D1" w14:textId="4A957CA5" w:rsidR="008F5C1F" w:rsidRPr="008F5C1F" w:rsidRDefault="00D465F5">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48D04C17" w14:textId="2E2D5687" w:rsidR="008F5C1F" w:rsidRPr="008F5C1F" w:rsidRDefault="00D465F5">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7A03EE09" w14:textId="66AA55B8" w:rsidR="008F5C1F" w:rsidRPr="008F5C1F" w:rsidRDefault="00D465F5">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03CFCDC1" w14:textId="2135CEB6" w:rsidR="008F5C1F" w:rsidRPr="008F5C1F" w:rsidRDefault="00D465F5">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9-25</w:t>
        </w:r>
        <w:r w:rsidR="008F5C1F" w:rsidRPr="008F5C1F">
          <w:rPr>
            <w:i w:val="0"/>
            <w:iCs w:val="0"/>
            <w:noProof/>
            <w:webHidden/>
          </w:rPr>
          <w:fldChar w:fldCharType="end"/>
        </w:r>
      </w:hyperlink>
    </w:p>
    <w:p w14:paraId="5615099A" w14:textId="6F27D839" w:rsidR="008F5C1F" w:rsidRPr="008F5C1F" w:rsidRDefault="00D465F5">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Pr>
            <w:noProof/>
            <w:webHidden/>
          </w:rPr>
          <w:t>9-25</w:t>
        </w:r>
        <w:r w:rsidR="008F5C1F" w:rsidRPr="008F5C1F">
          <w:rPr>
            <w:noProof/>
            <w:webHidden/>
          </w:rPr>
          <w:fldChar w:fldCharType="end"/>
        </w:r>
      </w:hyperlink>
    </w:p>
    <w:p w14:paraId="001E4466" w14:textId="00629036" w:rsidR="008F5C1F" w:rsidRPr="008F5C1F" w:rsidRDefault="00D465F5">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Pr>
            <w:noProof/>
            <w:webHidden/>
          </w:rPr>
          <w:t>9-27</w:t>
        </w:r>
        <w:r w:rsidR="008F5C1F" w:rsidRPr="008F5C1F">
          <w:rPr>
            <w:noProof/>
            <w:webHidden/>
          </w:rPr>
          <w:fldChar w:fldCharType="end"/>
        </w:r>
      </w:hyperlink>
    </w:p>
    <w:p w14:paraId="24329C4D" w14:textId="7403A7CD" w:rsidR="008F5C1F" w:rsidRPr="008F5C1F" w:rsidRDefault="00D465F5">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9-27</w:t>
        </w:r>
        <w:r w:rsidR="008F5C1F" w:rsidRPr="008F5C1F">
          <w:rPr>
            <w:i w:val="0"/>
            <w:iCs w:val="0"/>
            <w:noProof/>
            <w:webHidden/>
          </w:rPr>
          <w:fldChar w:fldCharType="end"/>
        </w:r>
      </w:hyperlink>
    </w:p>
    <w:p w14:paraId="44A305FF" w14:textId="0F0A4B3A" w:rsidR="008F5C1F" w:rsidRPr="008F5C1F" w:rsidRDefault="00D465F5">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9-27</w:t>
        </w:r>
        <w:r w:rsidR="008F5C1F" w:rsidRPr="008F5C1F">
          <w:rPr>
            <w:i w:val="0"/>
            <w:iCs w:val="0"/>
            <w:noProof/>
            <w:webHidden/>
          </w:rPr>
          <w:fldChar w:fldCharType="end"/>
        </w:r>
      </w:hyperlink>
    </w:p>
    <w:p w14:paraId="3D29EF90" w14:textId="2206A1BA" w:rsidR="008F5C1F" w:rsidRPr="008F5C1F" w:rsidRDefault="00D465F5" w:rsidP="003E0FF7">
      <w:pPr>
        <w:pStyle w:val="TOC4"/>
        <w:rPr>
          <w:rFonts w:eastAsiaTheme="minorEastAsia"/>
          <w:noProof/>
        </w:rPr>
      </w:pPr>
      <w:hyperlink w:anchor="_Toc80175286" w:history="1">
        <w:r w:rsidR="008F5C1F" w:rsidRPr="008F5C1F">
          <w:rPr>
            <w:rStyle w:val="Hyperlink"/>
            <w:noProof/>
            <w:sz w:val="20"/>
            <w:szCs w:val="20"/>
          </w:rPr>
          <w:t>9.13.2.1</w:t>
        </w:r>
        <w:r w:rsidR="008F5C1F" w:rsidRPr="008F5C1F">
          <w:rPr>
            <w:rFonts w:eastAsiaTheme="minorEastAsia"/>
            <w:noProof/>
          </w:rPr>
          <w:tab/>
        </w:r>
        <w:r w:rsidR="008F5C1F" w:rsidRPr="008F5C1F">
          <w:rPr>
            <w:rStyle w:val="Hyperlink"/>
            <w:noProof/>
            <w:sz w:val="20"/>
            <w:szCs w:val="20"/>
          </w:rPr>
          <w:t>Invoice Recipient Payment to ERCOT for Resettlement of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_Toc80175286 \h </w:instrText>
        </w:r>
        <w:r w:rsidR="008F5C1F" w:rsidRPr="008F5C1F">
          <w:rPr>
            <w:noProof/>
            <w:webHidden/>
          </w:rPr>
        </w:r>
        <w:r w:rsidR="008F5C1F" w:rsidRPr="008F5C1F">
          <w:rPr>
            <w:noProof/>
            <w:webHidden/>
          </w:rPr>
          <w:fldChar w:fldCharType="separate"/>
        </w:r>
        <w:r>
          <w:rPr>
            <w:noProof/>
            <w:webHidden/>
          </w:rPr>
          <w:t>9-27</w:t>
        </w:r>
        <w:r w:rsidR="008F5C1F" w:rsidRPr="008F5C1F">
          <w:rPr>
            <w:noProof/>
            <w:webHidden/>
          </w:rPr>
          <w:fldChar w:fldCharType="end"/>
        </w:r>
      </w:hyperlink>
    </w:p>
    <w:p w14:paraId="0CD83EAF" w14:textId="4638F95D" w:rsidR="008F5C1F" w:rsidRPr="008F5C1F" w:rsidRDefault="00D465F5" w:rsidP="003E0FF7">
      <w:pPr>
        <w:pStyle w:val="TOC4"/>
        <w:rPr>
          <w:rFonts w:eastAsiaTheme="minorEastAsia"/>
          <w:noProof/>
        </w:rPr>
      </w:pPr>
      <w:hyperlink w:anchor="_Toc80175287" w:history="1">
        <w:r w:rsidR="008F5C1F" w:rsidRPr="008F5C1F">
          <w:rPr>
            <w:rStyle w:val="Hyperlink"/>
            <w:noProof/>
            <w:sz w:val="20"/>
            <w:szCs w:val="20"/>
          </w:rPr>
          <w:t>9.13.2.2</w:t>
        </w:r>
        <w:r w:rsidR="008F5C1F" w:rsidRPr="008F5C1F">
          <w:rPr>
            <w:rFonts w:eastAsiaTheme="minorEastAsia"/>
            <w:noProof/>
          </w:rPr>
          <w:tab/>
        </w:r>
        <w:r w:rsidR="008F5C1F" w:rsidRPr="008F5C1F">
          <w:rPr>
            <w:rStyle w:val="Hyperlink"/>
            <w:noProof/>
            <w:sz w:val="20"/>
            <w:szCs w:val="20"/>
          </w:rPr>
          <w:t>ERCOT Payment to Invoice Recipients for Resettlement of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_Toc80175287 \h </w:instrText>
        </w:r>
        <w:r w:rsidR="008F5C1F" w:rsidRPr="008F5C1F">
          <w:rPr>
            <w:noProof/>
            <w:webHidden/>
          </w:rPr>
        </w:r>
        <w:r w:rsidR="008F5C1F" w:rsidRPr="008F5C1F">
          <w:rPr>
            <w:noProof/>
            <w:webHidden/>
          </w:rPr>
          <w:fldChar w:fldCharType="separate"/>
        </w:r>
        <w:r>
          <w:rPr>
            <w:noProof/>
            <w:webHidden/>
          </w:rPr>
          <w:t>9-28</w:t>
        </w:r>
        <w:r w:rsidR="008F5C1F" w:rsidRPr="008F5C1F">
          <w:rPr>
            <w:noProof/>
            <w:webHidden/>
          </w:rPr>
          <w:fldChar w:fldCharType="end"/>
        </w:r>
      </w:hyperlink>
    </w:p>
    <w:p w14:paraId="5EE96B1B" w14:textId="039EA6FA" w:rsidR="008F5C1F" w:rsidRPr="008F5C1F" w:rsidRDefault="00D465F5" w:rsidP="003E0FF7">
      <w:pPr>
        <w:pStyle w:val="TOC4"/>
        <w:rPr>
          <w:rFonts w:eastAsiaTheme="minorEastAsia"/>
          <w:noProof/>
        </w:rPr>
      </w:pPr>
      <w:hyperlink w:anchor="_Toc80175288" w:history="1">
        <w:r w:rsidR="008F5C1F" w:rsidRPr="008F5C1F">
          <w:rPr>
            <w:rStyle w:val="Hyperlink"/>
            <w:noProof/>
            <w:sz w:val="20"/>
            <w:szCs w:val="20"/>
          </w:rPr>
          <w:t>9.13.2.3</w:t>
        </w:r>
        <w:r w:rsidR="008F5C1F" w:rsidRPr="008F5C1F">
          <w:rPr>
            <w:rFonts w:eastAsiaTheme="minorEastAsia"/>
            <w:noProof/>
          </w:rPr>
          <w:tab/>
        </w:r>
        <w:r w:rsidR="008F5C1F" w:rsidRPr="008F5C1F">
          <w:rPr>
            <w:rStyle w:val="Hyperlink"/>
            <w:noProof/>
            <w:sz w:val="20"/>
            <w:szCs w:val="20"/>
          </w:rPr>
          <w:t>Partial Payments by Invoice Recipients for Resettlement of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_Toc80175288 \h </w:instrText>
        </w:r>
        <w:r w:rsidR="008F5C1F" w:rsidRPr="008F5C1F">
          <w:rPr>
            <w:noProof/>
            <w:webHidden/>
          </w:rPr>
        </w:r>
        <w:r w:rsidR="008F5C1F" w:rsidRPr="008F5C1F">
          <w:rPr>
            <w:noProof/>
            <w:webHidden/>
          </w:rPr>
          <w:fldChar w:fldCharType="separate"/>
        </w:r>
        <w:r>
          <w:rPr>
            <w:noProof/>
            <w:webHidden/>
          </w:rPr>
          <w:t>9-28</w:t>
        </w:r>
        <w:r w:rsidR="008F5C1F" w:rsidRPr="008F5C1F">
          <w:rPr>
            <w:noProof/>
            <w:webHidden/>
          </w:rPr>
          <w:fldChar w:fldCharType="end"/>
        </w:r>
      </w:hyperlink>
    </w:p>
    <w:p w14:paraId="3BBED91B" w14:textId="77CA7B9B" w:rsidR="008F5C1F" w:rsidRPr="008F5C1F" w:rsidRDefault="00D465F5">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Pr>
            <w:noProof/>
            <w:webHidden/>
          </w:rPr>
          <w:t>9-29</w:t>
        </w:r>
        <w:r w:rsidR="008F5C1F" w:rsidRPr="008F5C1F">
          <w:rPr>
            <w:noProof/>
            <w:webHidden/>
          </w:rPr>
          <w:fldChar w:fldCharType="end"/>
        </w:r>
      </w:hyperlink>
    </w:p>
    <w:p w14:paraId="239BA2AC" w14:textId="6572E153" w:rsidR="008F5C1F" w:rsidRPr="008F5C1F" w:rsidRDefault="00D465F5">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24BC6D5D" w14:textId="3CCB259C" w:rsidR="008F5C1F" w:rsidRPr="008F5C1F" w:rsidRDefault="00D465F5">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6BBC4A32" w14:textId="2044C64E" w:rsidR="008F5C1F" w:rsidRPr="008F5C1F" w:rsidRDefault="00D465F5">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9-30</w:t>
        </w:r>
        <w:r w:rsidR="008F5C1F" w:rsidRPr="008F5C1F">
          <w:rPr>
            <w:i w:val="0"/>
            <w:iCs w:val="0"/>
            <w:noProof/>
            <w:webHidden/>
          </w:rPr>
          <w:fldChar w:fldCharType="end"/>
        </w:r>
      </w:hyperlink>
    </w:p>
    <w:p w14:paraId="31774FF5" w14:textId="5A096E9E" w:rsidR="008F5C1F" w:rsidRPr="008F5C1F" w:rsidRDefault="00D465F5">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9-31</w:t>
        </w:r>
        <w:r w:rsidR="008F5C1F" w:rsidRPr="008F5C1F">
          <w:rPr>
            <w:i w:val="0"/>
            <w:iCs w:val="0"/>
            <w:noProof/>
            <w:webHidden/>
          </w:rPr>
          <w:fldChar w:fldCharType="end"/>
        </w:r>
      </w:hyperlink>
    </w:p>
    <w:p w14:paraId="49434424" w14:textId="01E489A1" w:rsidR="008F5C1F" w:rsidRPr="008F5C1F" w:rsidRDefault="00D465F5" w:rsidP="003E0FF7">
      <w:pPr>
        <w:pStyle w:val="TOC4"/>
        <w:rPr>
          <w:rFonts w:eastAsiaTheme="minorEastAsia"/>
          <w:noProof/>
        </w:rPr>
      </w:pPr>
      <w:hyperlink w:anchor="_Toc80175294" w:history="1">
        <w:r w:rsidR="008F5C1F" w:rsidRPr="008F5C1F">
          <w:rPr>
            <w:rStyle w:val="Hyperlink"/>
            <w:noProof/>
            <w:sz w:val="20"/>
            <w:szCs w:val="20"/>
          </w:rPr>
          <w:t>9.14.4.1</w:t>
        </w:r>
        <w:r w:rsidR="008F5C1F" w:rsidRPr="008F5C1F">
          <w:rPr>
            <w:rFonts w:eastAsiaTheme="minorEastAsia"/>
            <w:noProof/>
          </w:rPr>
          <w:tab/>
        </w:r>
        <w:r w:rsidR="008F5C1F" w:rsidRPr="008F5C1F">
          <w:rPr>
            <w:rStyle w:val="Hyperlink"/>
            <w:noProof/>
            <w:sz w:val="20"/>
            <w:szCs w:val="20"/>
          </w:rPr>
          <w:t>Status of Dispute</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_Toc80175294 \h </w:instrText>
        </w:r>
        <w:r w:rsidR="008F5C1F" w:rsidRPr="008F5C1F">
          <w:rPr>
            <w:noProof/>
            <w:webHidden/>
          </w:rPr>
        </w:r>
        <w:r w:rsidR="008F5C1F" w:rsidRPr="008F5C1F">
          <w:rPr>
            <w:noProof/>
            <w:webHidden/>
          </w:rPr>
          <w:fldChar w:fldCharType="separate"/>
        </w:r>
        <w:r>
          <w:rPr>
            <w:noProof/>
            <w:webHidden/>
          </w:rPr>
          <w:t>9-32</w:t>
        </w:r>
        <w:r w:rsidR="008F5C1F" w:rsidRPr="008F5C1F">
          <w:rPr>
            <w:noProof/>
            <w:webHidden/>
          </w:rPr>
          <w:fldChar w:fldCharType="end"/>
        </w:r>
      </w:hyperlink>
    </w:p>
    <w:p w14:paraId="349A06A0" w14:textId="7BAF3751" w:rsidR="008F5C1F" w:rsidRPr="008F5C1F" w:rsidRDefault="00D465F5">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13FCF109" w14:textId="6CC8A530" w:rsidR="008F5C1F" w:rsidRPr="008F5C1F" w:rsidRDefault="00D465F5">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69B78FA1" w14:textId="533D233F" w:rsidR="008F5C1F" w:rsidRPr="008F5C1F" w:rsidRDefault="00D465F5">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420DF785" w14:textId="551530E0" w:rsidR="008F5C1F" w:rsidRPr="008F5C1F" w:rsidRDefault="00D465F5">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2CDD6F9A" w14:textId="761088B9" w:rsidR="008F5C1F" w:rsidRPr="008F5C1F" w:rsidRDefault="00D465F5">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60F28F5" w14:textId="3EB61A75" w:rsidR="008F5C1F" w:rsidRPr="008F5C1F" w:rsidRDefault="00D465F5">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EA319D1" w14:textId="61C8DEEC" w:rsidR="008F5C1F" w:rsidRPr="008F5C1F" w:rsidRDefault="00D465F5" w:rsidP="003E0FF7">
      <w:pPr>
        <w:pStyle w:val="TOC4"/>
        <w:rPr>
          <w:rFonts w:eastAsiaTheme="minorEastAsia"/>
          <w:noProof/>
        </w:rPr>
      </w:pPr>
      <w:hyperlink w:anchor="_Toc80175301" w:history="1">
        <w:r w:rsidR="008F5C1F" w:rsidRPr="008F5C1F">
          <w:rPr>
            <w:rStyle w:val="Hyperlink"/>
            <w:noProof/>
            <w:sz w:val="20"/>
            <w:szCs w:val="20"/>
          </w:rPr>
          <w:t>9.14.4.2</w:t>
        </w:r>
        <w:r w:rsidR="008F5C1F" w:rsidRPr="008F5C1F">
          <w:rPr>
            <w:rFonts w:eastAsiaTheme="minorEastAsia"/>
            <w:noProof/>
          </w:rPr>
          <w:tab/>
        </w:r>
        <w:r w:rsidR="008F5C1F" w:rsidRPr="008F5C1F">
          <w:rPr>
            <w:rStyle w:val="Hyperlink"/>
            <w:noProof/>
            <w:sz w:val="20"/>
            <w:szCs w:val="20"/>
          </w:rPr>
          <w:t>Resolution of Dispute</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_Toc80175301 \h </w:instrText>
        </w:r>
        <w:r w:rsidR="008F5C1F" w:rsidRPr="008F5C1F">
          <w:rPr>
            <w:noProof/>
            <w:webHidden/>
          </w:rPr>
        </w:r>
        <w:r w:rsidR="008F5C1F" w:rsidRPr="008F5C1F">
          <w:rPr>
            <w:noProof/>
            <w:webHidden/>
          </w:rPr>
          <w:fldChar w:fldCharType="separate"/>
        </w:r>
        <w:r>
          <w:rPr>
            <w:noProof/>
            <w:webHidden/>
          </w:rPr>
          <w:t>9-34</w:t>
        </w:r>
        <w:r w:rsidR="008F5C1F" w:rsidRPr="008F5C1F">
          <w:rPr>
            <w:noProof/>
            <w:webHidden/>
          </w:rPr>
          <w:fldChar w:fldCharType="end"/>
        </w:r>
      </w:hyperlink>
    </w:p>
    <w:p w14:paraId="62224675" w14:textId="2DCCBF8C" w:rsidR="008F5C1F" w:rsidRPr="008F5C1F" w:rsidRDefault="00D465F5">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57F5E70C" w14:textId="33544C0D" w:rsidR="008F5C1F" w:rsidRPr="008F5C1F" w:rsidRDefault="00D465F5">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9-35</w:t>
        </w:r>
        <w:r w:rsidR="008F5C1F" w:rsidRPr="008F5C1F">
          <w:rPr>
            <w:i w:val="0"/>
            <w:webHidden/>
            <w:sz w:val="20"/>
            <w:szCs w:val="20"/>
          </w:rPr>
          <w:fldChar w:fldCharType="end"/>
        </w:r>
      </w:hyperlink>
    </w:p>
    <w:p w14:paraId="0FAD8A75" w14:textId="4609499F" w:rsidR="008F5C1F" w:rsidRPr="008F5C1F" w:rsidRDefault="00D465F5">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9-35</w:t>
        </w:r>
        <w:r w:rsidR="008F5C1F" w:rsidRPr="008F5C1F">
          <w:rPr>
            <w:i w:val="0"/>
            <w:webHidden/>
            <w:sz w:val="20"/>
            <w:szCs w:val="20"/>
          </w:rPr>
          <w:fldChar w:fldCharType="end"/>
        </w:r>
      </w:hyperlink>
    </w:p>
    <w:p w14:paraId="0FA56ED7" w14:textId="2CB94624" w:rsidR="008F5C1F" w:rsidRPr="008F5C1F" w:rsidRDefault="00D465F5">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5899FAC2" w14:textId="468B051C" w:rsidR="008F5C1F" w:rsidRPr="008F5C1F" w:rsidRDefault="00D465F5">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2635B759" w14:textId="3C0D71AC" w:rsidR="008F5C1F" w:rsidRPr="008F5C1F" w:rsidRDefault="00D465F5">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75C7A71F" w14:textId="566790BA" w:rsidR="008F5C1F" w:rsidRPr="008F5C1F" w:rsidRDefault="00D465F5">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07634FA5" w14:textId="1DC2B1E1" w:rsidR="008F5C1F" w:rsidRPr="008F5C1F" w:rsidRDefault="00D465F5">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9-38</w:t>
        </w:r>
        <w:r w:rsidR="008F5C1F" w:rsidRPr="008F5C1F">
          <w:rPr>
            <w:i w:val="0"/>
            <w:iCs w:val="0"/>
            <w:noProof/>
            <w:webHidden/>
          </w:rPr>
          <w:fldChar w:fldCharType="end"/>
        </w:r>
      </w:hyperlink>
    </w:p>
    <w:p w14:paraId="07F31854" w14:textId="1B0E602E" w:rsidR="008F5C1F" w:rsidRPr="008F5C1F" w:rsidRDefault="00D465F5">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9-39</w:t>
        </w:r>
        <w:r w:rsidR="008F5C1F" w:rsidRPr="008F5C1F">
          <w:rPr>
            <w:i w:val="0"/>
            <w:iCs w:val="0"/>
            <w:noProof/>
            <w:webHidden/>
          </w:rPr>
          <w:fldChar w:fldCharType="end"/>
        </w:r>
      </w:hyperlink>
    </w:p>
    <w:p w14:paraId="13F90883" w14:textId="584475CA" w:rsidR="008F5C1F" w:rsidRPr="008F5C1F" w:rsidRDefault="00D465F5">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53C853B1" w14:textId="0197A0BD" w:rsidR="008F5C1F" w:rsidRPr="008F5C1F" w:rsidRDefault="00D465F5">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473F9FCB" w14:textId="5F3B1678" w:rsidR="008F5C1F" w:rsidRPr="008F5C1F" w:rsidRDefault="00D465F5">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Pr>
            <w:noProof/>
            <w:webHidden/>
          </w:rPr>
          <w:t>9-43</w:t>
        </w:r>
        <w:r w:rsidR="008F5C1F" w:rsidRPr="008F5C1F">
          <w:rPr>
            <w:noProof/>
            <w:webHidden/>
          </w:rPr>
          <w:fldChar w:fldCharType="end"/>
        </w:r>
      </w:hyperlink>
    </w:p>
    <w:p w14:paraId="6EE1F733" w14:textId="2CA1BF54" w:rsidR="008F5C1F" w:rsidRPr="008F5C1F" w:rsidRDefault="00D465F5">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6DD5522A" w14:textId="7B58B51C" w:rsidR="008F5C1F" w:rsidRPr="008F5C1F" w:rsidRDefault="00D465F5">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2BBE122A" w14:textId="123F42C2" w:rsidR="008F5C1F" w:rsidRPr="008F5C1F" w:rsidRDefault="00D465F5">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Pr>
            <w:noProof/>
            <w:webHidden/>
          </w:rPr>
          <w:t>9-44</w:t>
        </w:r>
        <w:r w:rsidR="008F5C1F" w:rsidRPr="008F5C1F">
          <w:rPr>
            <w:noProof/>
            <w:webHidden/>
          </w:rPr>
          <w:fldChar w:fldCharType="end"/>
        </w:r>
      </w:hyperlink>
    </w:p>
    <w:p w14:paraId="35CBA74E" w14:textId="545A65F2" w:rsidR="008F5C1F" w:rsidRPr="008F5C1F" w:rsidRDefault="00D465F5">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9-44</w:t>
        </w:r>
        <w:r w:rsidR="008F5C1F" w:rsidRPr="008F5C1F">
          <w:rPr>
            <w:i w:val="0"/>
            <w:iCs w:val="0"/>
            <w:noProof/>
            <w:webHidden/>
          </w:rPr>
          <w:fldChar w:fldCharType="end"/>
        </w:r>
      </w:hyperlink>
    </w:p>
    <w:p w14:paraId="60DE3134" w14:textId="475BC625" w:rsidR="008F5C1F" w:rsidRPr="008F5C1F" w:rsidRDefault="00D465F5">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9-45</w:t>
        </w:r>
        <w:r w:rsidR="008F5C1F" w:rsidRPr="008F5C1F">
          <w:rPr>
            <w:i w:val="0"/>
            <w:iCs w:val="0"/>
            <w:noProof/>
            <w:webHidden/>
          </w:rPr>
          <w:fldChar w:fldCharType="end"/>
        </w:r>
      </w:hyperlink>
    </w:p>
    <w:p w14:paraId="471277E0" w14:textId="0EDCD4B6" w:rsidR="008F5C1F" w:rsidRPr="008F5C1F" w:rsidRDefault="00D465F5">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Pr>
            <w:noProof/>
            <w:webHidden/>
          </w:rPr>
          <w:t>9-46</w:t>
        </w:r>
        <w:r w:rsidR="008F5C1F" w:rsidRPr="008F5C1F">
          <w:rPr>
            <w:noProof/>
            <w:webHidden/>
          </w:rPr>
          <w:fldChar w:fldCharType="end"/>
        </w:r>
      </w:hyperlink>
    </w:p>
    <w:p w14:paraId="2A8D9A01" w14:textId="0346E916" w:rsidR="008F5C1F" w:rsidRPr="008F5C1F" w:rsidRDefault="00D465F5">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Pr>
            <w:noProof/>
            <w:webHidden/>
          </w:rPr>
          <w:t>9-47</w:t>
        </w:r>
        <w:r w:rsidR="008F5C1F" w:rsidRPr="008F5C1F">
          <w:rPr>
            <w:noProof/>
            <w:webHidden/>
          </w:rPr>
          <w:fldChar w:fldCharType="end"/>
        </w:r>
      </w:hyperlink>
    </w:p>
    <w:p w14:paraId="1559D2BC" w14:textId="0F7BBDA3" w:rsidR="008F5C1F" w:rsidRPr="008F5C1F" w:rsidRDefault="00D465F5">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9-49</w:t>
        </w:r>
        <w:r w:rsidR="008F5C1F" w:rsidRPr="008F5C1F">
          <w:rPr>
            <w:i w:val="0"/>
            <w:iCs w:val="0"/>
            <w:noProof/>
            <w:webHidden/>
          </w:rPr>
          <w:fldChar w:fldCharType="end"/>
        </w:r>
      </w:hyperlink>
    </w:p>
    <w:p w14:paraId="31F63CE1" w14:textId="2C705472" w:rsidR="008F5C1F" w:rsidRPr="008F5C1F" w:rsidRDefault="00D465F5">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9-58</w:t>
        </w:r>
        <w:r w:rsidR="008F5C1F" w:rsidRPr="008F5C1F">
          <w:rPr>
            <w:i w:val="0"/>
            <w:iCs w:val="0"/>
            <w:noProof/>
            <w:webHidden/>
          </w:rPr>
          <w:fldChar w:fldCharType="end"/>
        </w:r>
      </w:hyperlink>
    </w:p>
    <w:p w14:paraId="4E8A619F" w14:textId="037764CB" w:rsidR="008F5C1F" w:rsidRPr="008F5C1F" w:rsidRDefault="00D465F5" w:rsidP="003E0FF7">
      <w:pPr>
        <w:pStyle w:val="TOC4"/>
        <w:rPr>
          <w:rFonts w:eastAsiaTheme="minorEastAsia"/>
          <w:noProof/>
        </w:rPr>
      </w:pPr>
      <w:hyperlink w:anchor="_Toc80175323" w:history="1">
        <w:r w:rsidR="008F5C1F" w:rsidRPr="008F5C1F">
          <w:rPr>
            <w:rStyle w:val="Hyperlink"/>
            <w:noProof/>
            <w:sz w:val="20"/>
            <w:szCs w:val="20"/>
          </w:rPr>
          <w:t>9.19.2.1</w:t>
        </w:r>
        <w:r w:rsidR="008F5C1F" w:rsidRPr="008F5C1F">
          <w:rPr>
            <w:rFonts w:eastAsiaTheme="minorEastAsia"/>
            <w:noProof/>
          </w:rPr>
          <w:tab/>
        </w:r>
        <w:r w:rsidR="008F5C1F" w:rsidRPr="008F5C1F">
          <w:rPr>
            <w:rStyle w:val="Hyperlink"/>
            <w:noProof/>
            <w:sz w:val="20"/>
            <w:szCs w:val="20"/>
          </w:rPr>
          <w:t>Invoice Recipient Payment to ERCOT for Default Uplift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_Toc80175323 \h </w:instrText>
        </w:r>
        <w:r w:rsidR="008F5C1F" w:rsidRPr="008F5C1F">
          <w:rPr>
            <w:noProof/>
            <w:webHidden/>
          </w:rPr>
        </w:r>
        <w:r w:rsidR="008F5C1F" w:rsidRPr="008F5C1F">
          <w:rPr>
            <w:noProof/>
            <w:webHidden/>
          </w:rPr>
          <w:fldChar w:fldCharType="separate"/>
        </w:r>
        <w:r>
          <w:rPr>
            <w:noProof/>
            <w:webHidden/>
          </w:rPr>
          <w:t>9-58</w:t>
        </w:r>
        <w:r w:rsidR="008F5C1F" w:rsidRPr="008F5C1F">
          <w:rPr>
            <w:noProof/>
            <w:webHidden/>
          </w:rPr>
          <w:fldChar w:fldCharType="end"/>
        </w:r>
      </w:hyperlink>
    </w:p>
    <w:p w14:paraId="2DD00175" w14:textId="46BC8A3D" w:rsidR="008F5C1F" w:rsidRPr="008F5C1F" w:rsidRDefault="00D465F5" w:rsidP="003E0FF7">
      <w:pPr>
        <w:pStyle w:val="TOC4"/>
        <w:rPr>
          <w:rFonts w:eastAsiaTheme="minorEastAsia"/>
          <w:noProof/>
        </w:rPr>
      </w:pPr>
      <w:hyperlink w:anchor="_Toc80175324" w:history="1">
        <w:r w:rsidR="008F5C1F" w:rsidRPr="008F5C1F">
          <w:rPr>
            <w:rStyle w:val="Hyperlink"/>
            <w:noProof/>
            <w:sz w:val="20"/>
            <w:szCs w:val="20"/>
          </w:rPr>
          <w:t>9.19.2.2</w:t>
        </w:r>
        <w:r w:rsidR="008F5C1F" w:rsidRPr="008F5C1F">
          <w:rPr>
            <w:rFonts w:eastAsiaTheme="minorEastAsia"/>
            <w:noProof/>
          </w:rPr>
          <w:tab/>
        </w:r>
        <w:r w:rsidR="008F5C1F" w:rsidRPr="008F5C1F">
          <w:rPr>
            <w:rStyle w:val="Hyperlink"/>
            <w:noProof/>
            <w:sz w:val="20"/>
            <w:szCs w:val="20"/>
          </w:rPr>
          <w:t>ERCOT Payment to Invoice Recipients for Default Uplift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_Toc80175324 \h </w:instrText>
        </w:r>
        <w:r w:rsidR="008F5C1F" w:rsidRPr="008F5C1F">
          <w:rPr>
            <w:noProof/>
            <w:webHidden/>
          </w:rPr>
        </w:r>
        <w:r w:rsidR="008F5C1F" w:rsidRPr="008F5C1F">
          <w:rPr>
            <w:noProof/>
            <w:webHidden/>
          </w:rPr>
          <w:fldChar w:fldCharType="separate"/>
        </w:r>
        <w:r>
          <w:rPr>
            <w:noProof/>
            <w:webHidden/>
          </w:rPr>
          <w:t>9-59</w:t>
        </w:r>
        <w:r w:rsidR="008F5C1F" w:rsidRPr="008F5C1F">
          <w:rPr>
            <w:noProof/>
            <w:webHidden/>
          </w:rPr>
          <w:fldChar w:fldCharType="end"/>
        </w:r>
      </w:hyperlink>
    </w:p>
    <w:p w14:paraId="1FD4A02D" w14:textId="04B48F7A" w:rsidR="008F5C1F" w:rsidRPr="008F5C1F" w:rsidRDefault="00D465F5">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3B119A71" w14:textId="29BBA047" w:rsidR="008F5C1F" w:rsidRPr="008F5C1F" w:rsidRDefault="00D465F5">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62F2457C" w:rsidR="00226940" w:rsidRPr="00ED3498" w:rsidRDefault="00226940" w:rsidP="00226940">
      <w:pPr>
        <w:tabs>
          <w:tab w:val="left" w:pos="2160"/>
        </w:tabs>
        <w:spacing w:after="240"/>
        <w:ind w:left="1440" w:hanging="720"/>
      </w:pPr>
      <w:r w:rsidRPr="00ED3498">
        <w:t>(m)</w:t>
      </w:r>
      <w:r w:rsidRPr="00ED3498">
        <w:tab/>
      </w:r>
      <w:r w:rsidR="003026B4" w:rsidRPr="00ED3498">
        <w:t>Securitization Default Charge Invoices will be issued in accordance with Section 26.3, Securitization Default Charge Invoices</w:t>
      </w:r>
      <w:r w:rsidRPr="00ED3498">
        <w:t xml:space="preserve">; </w:t>
      </w:r>
    </w:p>
    <w:p w14:paraId="02E2F808" w14:textId="000A6161" w:rsidR="00226940" w:rsidRDefault="00226940" w:rsidP="00226940">
      <w:pPr>
        <w:pStyle w:val="List"/>
        <w:tabs>
          <w:tab w:val="left" w:pos="2160"/>
        </w:tabs>
      </w:pPr>
      <w:r w:rsidRPr="00ED3498">
        <w:t>(n)</w:t>
      </w:r>
      <w:r w:rsidRPr="00ED3498">
        <w:tab/>
      </w:r>
      <w:r w:rsidR="003026B4" w:rsidRPr="00ED3498">
        <w:t>Payments for Securitization Default Charge Invoices are due under Section 26.3.1, Payment Process for Securitization Default Charge Invoices</w:t>
      </w:r>
      <w:r w:rsidRPr="00ED3498">
        <w:t>;</w:t>
      </w:r>
    </w:p>
    <w:p w14:paraId="349269B6" w14:textId="77777777" w:rsidR="00484E17" w:rsidRPr="006A7BA2" w:rsidRDefault="00484E17" w:rsidP="009F7EBA">
      <w:pPr>
        <w:tabs>
          <w:tab w:val="left" w:pos="2160"/>
        </w:tabs>
        <w:spacing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lastRenderedPageBreak/>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Section 7.9.1.1, Payments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Section 7.9.1.5, Payments and Charges for PTP Obligations with Refund Settled in DAM;</w:t>
      </w:r>
    </w:p>
    <w:p w14:paraId="4A77F34A" w14:textId="522AD1BB" w:rsidR="002F5868" w:rsidRDefault="00DD1AC6">
      <w:pPr>
        <w:pStyle w:val="List"/>
      </w:pPr>
      <w:r>
        <w:t>(</w:t>
      </w:r>
      <w:r w:rsidR="00397195">
        <w:t>t</w:t>
      </w:r>
      <w:r>
        <w:t>)</w:t>
      </w:r>
      <w:r>
        <w:tab/>
        <w:t>Section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5464CEB4"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w:t>
      </w:r>
      <w:r w:rsidR="004E366D" w:rsidRPr="004E366D">
        <w:t xml:space="preserve"> </w:t>
      </w:r>
      <w:r w:rsidR="004E366D">
        <w:t>and the correction of errors other than price errors pursuant to this Section</w:t>
      </w:r>
      <w:r w:rsidRPr="00A10FC3">
        <w:t>.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0587CF38"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w:t>
      </w:r>
    </w:p>
    <w:p w14:paraId="197EB6E6" w14:textId="77777777" w:rsidR="004E366D"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r w:rsidR="004E366D">
        <w:rPr>
          <w:iCs/>
        </w:rPr>
        <w:t>; and</w:t>
      </w:r>
    </w:p>
    <w:p w14:paraId="48B28B55" w14:textId="2758ECBC" w:rsidR="00D41086" w:rsidRPr="001044B0" w:rsidRDefault="004E366D" w:rsidP="00D41086">
      <w:pPr>
        <w:spacing w:after="240"/>
        <w:ind w:left="1440" w:hanging="720"/>
        <w:rPr>
          <w:iCs/>
        </w:rPr>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 xml:space="preserve">, within </w:t>
      </w:r>
      <w:r w:rsidRPr="00585E54">
        <w:t>one year of the Operating Day at issue</w:t>
      </w:r>
      <w:r w:rsidR="00D41086" w:rsidRPr="001044B0">
        <w:rPr>
          <w:iCs/>
        </w:rPr>
        <w:t>.</w:t>
      </w:r>
    </w:p>
    <w:p w14:paraId="04981AAB" w14:textId="77777777" w:rsidR="00D41086" w:rsidRPr="00A10FC3" w:rsidRDefault="00D41086" w:rsidP="00D41086">
      <w:pPr>
        <w:spacing w:after="240"/>
        <w:ind w:left="720" w:hanging="720"/>
      </w:pPr>
      <w:r w:rsidRPr="00A10FC3">
        <w:lastRenderedPageBreak/>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285CB07D" w14:textId="77777777" w:rsidR="004E366D" w:rsidRPr="00495A70" w:rsidRDefault="004E366D" w:rsidP="004E366D">
      <w:pPr>
        <w:spacing w:after="240"/>
        <w:ind w:left="720" w:hanging="720"/>
      </w:pPr>
      <w:bookmarkStart w:id="79" w:name="_Toc309731028"/>
      <w:bookmarkStart w:id="80" w:name="_Toc405814010"/>
      <w:bookmarkStart w:id="81" w:name="_Toc422207900"/>
      <w:bookmarkStart w:id="82" w:name="_Toc438044814"/>
      <w:bookmarkStart w:id="83" w:name="_Toc447622597"/>
      <w:bookmarkStart w:id="84" w:name="_Toc80175247"/>
      <w:r>
        <w:t>(6)</w:t>
      </w:r>
      <w:r>
        <w:tab/>
        <w:t>ERCOT may issue DAM Resettlement Statements after the timeline referenced in paragraph (2) above if directed by the ERCOT Board, the result of a resolution of an Alternative Dispute Resolution (ADR) procedure, or under the procedure for Return of Settlement Funds.</w:t>
      </w:r>
      <w:r w:rsidRPr="00495A70">
        <w:t xml:space="preserve">  </w:t>
      </w:r>
    </w:p>
    <w:p w14:paraId="06EB7CDC" w14:textId="77777777" w:rsidR="004E366D" w:rsidRDefault="004E366D" w:rsidP="004E366D">
      <w:pPr>
        <w:pStyle w:val="BodyText"/>
        <w:ind w:left="720" w:hanging="720"/>
      </w:pPr>
      <w:r>
        <w:t>(7)</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ettlement</w:t>
      </w:r>
      <w:r>
        <w:t>-</w:t>
      </w:r>
      <w:r w:rsidRPr="003760AA">
        <w:t>quality information, shall be supplied to all</w:t>
      </w:r>
      <w:r>
        <w:t xml:space="preserve"> impacted </w:t>
      </w:r>
      <w:r w:rsidRPr="003760AA">
        <w:t>Market Participants.</w:t>
      </w:r>
    </w:p>
    <w:p w14:paraId="1E721594" w14:textId="77777777" w:rsidR="002F5868" w:rsidRPr="008910B8" w:rsidRDefault="00DD1AC6" w:rsidP="00B34F9F">
      <w:pPr>
        <w:pStyle w:val="H3"/>
        <w:rPr>
          <w:b/>
          <w:i/>
        </w:rPr>
      </w:pPr>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w:t>
      </w:r>
      <w:r w:rsidR="00DD1AC6">
        <w:lastRenderedPageBreak/>
        <w:t xml:space="preserve">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lastRenderedPageBreak/>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lastRenderedPageBreak/>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54F575E6" w:rsidR="005F19AF" w:rsidRDefault="005F19AF" w:rsidP="005F19AF">
      <w:pPr>
        <w:spacing w:after="240"/>
        <w:ind w:left="1440" w:hanging="720"/>
      </w:pPr>
      <w:r>
        <w:t>(</w:t>
      </w:r>
      <w:r w:rsidR="00680ED0">
        <w:t>z</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r w:rsidR="00680ED0">
        <w:t>ee</w:t>
      </w:r>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r w:rsidR="00680ED0">
        <w:t>hh</w:t>
      </w:r>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r w:rsidR="00680ED0">
        <w:t>jj</w:t>
      </w:r>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r w:rsidR="00680ED0">
        <w:t>ll</w:t>
      </w:r>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r w:rsidR="00680ED0">
        <w:t>nn</w:t>
      </w:r>
      <w:r>
        <w:t>)</w:t>
      </w:r>
      <w:r>
        <w:tab/>
        <w:t xml:space="preserve">Paragraph </w:t>
      </w:r>
      <w:r w:rsidR="00522B6A">
        <w:t>(1)</w:t>
      </w:r>
      <w:r w:rsidR="006B4446">
        <w:t>(d)</w:t>
      </w:r>
      <w:r>
        <w:t xml:space="preserve"> of Section 6.7.1; </w:t>
      </w:r>
    </w:p>
    <w:p w14:paraId="11C7E0DA" w14:textId="1407BAD3" w:rsidR="00397195" w:rsidRPr="0003648D" w:rsidRDefault="00397195" w:rsidP="00397195">
      <w:pPr>
        <w:spacing w:after="240"/>
        <w:ind w:left="1440" w:hanging="720"/>
      </w:pPr>
      <w:r w:rsidRPr="0003648D">
        <w:t>(</w:t>
      </w:r>
      <w:r>
        <w:t>oo</w:t>
      </w:r>
      <w:r w:rsidRPr="0003648D">
        <w:t>)</w:t>
      </w:r>
      <w:r w:rsidRPr="0003648D">
        <w:tab/>
        <w:t xml:space="preserve">Paragraph (1)(e) of Section 6.7.1; </w:t>
      </w:r>
    </w:p>
    <w:p w14:paraId="30822A83" w14:textId="2109AC60" w:rsidR="00504253" w:rsidRDefault="00504253" w:rsidP="002B4852">
      <w:pPr>
        <w:pStyle w:val="List"/>
      </w:pPr>
      <w:r>
        <w:lastRenderedPageBreak/>
        <w:t>(</w:t>
      </w:r>
      <w:r w:rsidR="00397195">
        <w:t>pp</w:t>
      </w:r>
      <w:r>
        <w:t>)</w:t>
      </w:r>
      <w:r>
        <w:tab/>
      </w:r>
      <w:r w:rsidRPr="00A02D58">
        <w:t xml:space="preserve">Paragraph </w:t>
      </w:r>
      <w:r>
        <w:t>(1)</w:t>
      </w:r>
      <w:r w:rsidRPr="00A02D58">
        <w:t>(a) of Section 6.7.2, Payments for Ancillary Service Capacity Assigned in Real-Time Operations;</w:t>
      </w:r>
    </w:p>
    <w:p w14:paraId="0CA5C261" w14:textId="7CA1473E" w:rsidR="00504253" w:rsidRDefault="00504253" w:rsidP="00A75C9C">
      <w:pPr>
        <w:pStyle w:val="List"/>
      </w:pPr>
      <w:r>
        <w:t>(</w:t>
      </w:r>
      <w:r w:rsidR="00397195">
        <w:t>qq</w:t>
      </w:r>
      <w:r>
        <w:t>)</w:t>
      </w:r>
      <w:r>
        <w:tab/>
        <w:t>Paragraph (1)(b) of Section 6.7.2;</w:t>
      </w:r>
    </w:p>
    <w:p w14:paraId="35D444DE" w14:textId="4998A2F0" w:rsidR="00397195" w:rsidRPr="0003648D" w:rsidRDefault="00397195" w:rsidP="00397195">
      <w:pPr>
        <w:spacing w:after="240"/>
        <w:ind w:left="1440" w:hanging="720"/>
      </w:pPr>
      <w:r>
        <w:t>(rr)</w:t>
      </w:r>
      <w:r>
        <w:tab/>
        <w:t xml:space="preserve">Paragraph (1)(c) of Section 6.7.2; </w:t>
      </w:r>
    </w:p>
    <w:p w14:paraId="0D12BDDC" w14:textId="79879330" w:rsidR="00D6200E" w:rsidRDefault="00D6200E" w:rsidP="002B4852">
      <w:pPr>
        <w:spacing w:after="240"/>
        <w:ind w:left="1440" w:hanging="720"/>
      </w:pPr>
      <w:r w:rsidRPr="00D26EA8">
        <w:t>(</w:t>
      </w:r>
      <w:r w:rsidR="00397195">
        <w:t>ss</w:t>
      </w:r>
      <w:r w:rsidRPr="00D26EA8">
        <w:t>)</w:t>
      </w:r>
      <w:r w:rsidRPr="00D26EA8">
        <w:tab/>
      </w:r>
      <w:r>
        <w:t xml:space="preserve">Paragraph (1)(a) of </w:t>
      </w:r>
      <w:r w:rsidRPr="00D26EA8">
        <w:t>Section 6.7.2.1, Charges for Infeasible Ancillary Service Capacity Due to Transmission Constraints</w:t>
      </w:r>
      <w:r>
        <w:t>;</w:t>
      </w:r>
    </w:p>
    <w:p w14:paraId="230A5BAB" w14:textId="0B3F052C" w:rsidR="00D6200E" w:rsidRDefault="00D6200E" w:rsidP="00D6200E">
      <w:pPr>
        <w:spacing w:after="240"/>
        <w:ind w:left="1440" w:hanging="720"/>
      </w:pPr>
      <w:r>
        <w:t>(</w:t>
      </w:r>
      <w:r w:rsidR="00397195">
        <w:t>tt</w:t>
      </w:r>
      <w:r>
        <w:t>)</w:t>
      </w:r>
      <w:r>
        <w:tab/>
        <w:t>Paragraph (1)(b) of Section 6.7.2.1;</w:t>
      </w:r>
    </w:p>
    <w:p w14:paraId="5F6B722E" w14:textId="57EA8FCE" w:rsidR="00D6200E" w:rsidRDefault="00D6200E" w:rsidP="00D6200E">
      <w:pPr>
        <w:spacing w:after="240"/>
        <w:ind w:left="1440" w:hanging="720"/>
      </w:pPr>
      <w:r>
        <w:t>(</w:t>
      </w:r>
      <w:r w:rsidR="00397195">
        <w:t>uu</w:t>
      </w:r>
      <w:r>
        <w:t>)</w:t>
      </w:r>
      <w:r>
        <w:tab/>
        <w:t>Paragraph (1)(c) of Section 6.7.2.1;</w:t>
      </w:r>
    </w:p>
    <w:p w14:paraId="38083E5B" w14:textId="51D8981A" w:rsidR="005F3989" w:rsidRDefault="00D6200E" w:rsidP="00D6200E">
      <w:pPr>
        <w:pStyle w:val="List"/>
      </w:pPr>
      <w:r>
        <w:t>(</w:t>
      </w:r>
      <w:r w:rsidR="00397195">
        <w:t>vv</w:t>
      </w:r>
      <w:r>
        <w:t>)</w:t>
      </w:r>
      <w:r>
        <w:tab/>
        <w:t>Paragraph (1)(d) of Section 6.7.2.1;</w:t>
      </w:r>
    </w:p>
    <w:p w14:paraId="4E5A5A5D" w14:textId="01CEC57B" w:rsidR="00397195" w:rsidRPr="0003648D" w:rsidRDefault="00397195" w:rsidP="00397195">
      <w:pPr>
        <w:spacing w:after="240"/>
        <w:ind w:left="1440" w:hanging="720"/>
      </w:pPr>
      <w:r w:rsidRPr="0003648D">
        <w:t>(</w:t>
      </w:r>
      <w:r>
        <w:t>ww</w:t>
      </w:r>
      <w:r w:rsidRPr="0003648D">
        <w:t>)</w:t>
      </w:r>
      <w:r w:rsidRPr="0003648D">
        <w:tab/>
        <w:t>Paragraph (1)(e) of Section 6.7.2.1;</w:t>
      </w:r>
    </w:p>
    <w:p w14:paraId="6B017444" w14:textId="1E36697B" w:rsidR="002F5868" w:rsidRDefault="00DD1AC6" w:rsidP="002B4852">
      <w:pPr>
        <w:pStyle w:val="List"/>
      </w:pPr>
      <w:r>
        <w:t>(</w:t>
      </w:r>
      <w:r w:rsidR="00397195">
        <w:t>xx</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264A3BDD" w:rsidR="002F5868" w:rsidRDefault="00DD1AC6">
      <w:pPr>
        <w:pStyle w:val="List"/>
      </w:pPr>
      <w:r>
        <w:t>(</w:t>
      </w:r>
      <w:r w:rsidR="00397195">
        <w:t>yy</w:t>
      </w:r>
      <w:r>
        <w:t>)</w:t>
      </w:r>
      <w:r>
        <w:tab/>
        <w:t xml:space="preserve">Paragraph </w:t>
      </w:r>
      <w:r w:rsidR="00522B6A">
        <w:t>(1)</w:t>
      </w:r>
      <w:r>
        <w:t>(</w:t>
      </w:r>
      <w:r w:rsidR="00CD11DE">
        <w:t>b</w:t>
      </w:r>
      <w:r>
        <w:t>) of Section 6.7.</w:t>
      </w:r>
      <w:r w:rsidR="00504253">
        <w:t>3</w:t>
      </w:r>
      <w:r>
        <w:t>;</w:t>
      </w:r>
    </w:p>
    <w:p w14:paraId="048FF089" w14:textId="26E0BD91" w:rsidR="002F5868" w:rsidRDefault="00DD1AC6">
      <w:pPr>
        <w:pStyle w:val="List"/>
      </w:pPr>
      <w:r>
        <w:t>(</w:t>
      </w:r>
      <w:r w:rsidR="00397195">
        <w:t>zz</w:t>
      </w:r>
      <w:r>
        <w:t>)</w:t>
      </w:r>
      <w:r>
        <w:tab/>
        <w:t xml:space="preserve">Paragraph </w:t>
      </w:r>
      <w:r w:rsidR="00522B6A">
        <w:t>(1)</w:t>
      </w:r>
      <w:r>
        <w:t>(</w:t>
      </w:r>
      <w:r w:rsidR="00CD11DE">
        <w:t>c</w:t>
      </w:r>
      <w:r>
        <w:t>) of Section 6.7.</w:t>
      </w:r>
      <w:r w:rsidR="00504253">
        <w:t>3</w:t>
      </w:r>
      <w:r>
        <w:t>;</w:t>
      </w:r>
    </w:p>
    <w:p w14:paraId="210B65ED" w14:textId="4E638F64" w:rsidR="002F5868" w:rsidRDefault="00DD1AC6">
      <w:pPr>
        <w:pStyle w:val="List"/>
      </w:pPr>
      <w:r>
        <w:t>(</w:t>
      </w:r>
      <w:r w:rsidR="00397195">
        <w:t>aaa</w:t>
      </w:r>
      <w:r>
        <w:t>)</w:t>
      </w:r>
      <w:r>
        <w:tab/>
        <w:t xml:space="preserve">Paragraph </w:t>
      </w:r>
      <w:r w:rsidR="00522B6A">
        <w:t>(1)</w:t>
      </w:r>
      <w:r>
        <w:t>(</w:t>
      </w:r>
      <w:r w:rsidR="00763592">
        <w:t>d</w:t>
      </w:r>
      <w:r>
        <w:t>) of Section 6.7.</w:t>
      </w:r>
      <w:r w:rsidR="00504253">
        <w:t>3</w:t>
      </w:r>
      <w:r>
        <w:t>;</w:t>
      </w:r>
    </w:p>
    <w:p w14:paraId="5D76697E" w14:textId="397F8495" w:rsidR="00397195" w:rsidRPr="0003648D" w:rsidRDefault="00397195" w:rsidP="00397195">
      <w:pPr>
        <w:spacing w:after="240"/>
        <w:ind w:left="1440" w:hanging="720"/>
      </w:pPr>
      <w:r w:rsidRPr="0003648D">
        <w:t>(</w:t>
      </w:r>
      <w:r>
        <w:t>bbb</w:t>
      </w:r>
      <w:r w:rsidRPr="0003648D">
        <w:t>)</w:t>
      </w:r>
      <w:r w:rsidRPr="0003648D">
        <w:tab/>
        <w:t>Paragraph (1)(e) of Section 6.7.3;</w:t>
      </w:r>
    </w:p>
    <w:p w14:paraId="4B917AEF" w14:textId="46D59B64" w:rsidR="002F5868" w:rsidRPr="0039567D" w:rsidRDefault="00DD1AC6" w:rsidP="002B4852">
      <w:pPr>
        <w:pStyle w:val="List"/>
      </w:pPr>
      <w:r w:rsidRPr="0039567D">
        <w:t>(</w:t>
      </w:r>
      <w:r w:rsidR="00397195">
        <w:t>ccc</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32EE6296" w:rsidR="002F5868" w:rsidRPr="0039567D" w:rsidRDefault="00DD1AC6">
      <w:pPr>
        <w:pStyle w:val="List"/>
      </w:pPr>
      <w:r w:rsidRPr="0039567D">
        <w:t>(</w:t>
      </w:r>
      <w:r w:rsidR="00397195">
        <w:t>ddd</w:t>
      </w:r>
      <w:r w:rsidRPr="0039567D">
        <w:t>)</w:t>
      </w:r>
      <w:r w:rsidRPr="0039567D">
        <w:tab/>
        <w:t>Paragraph (</w:t>
      </w:r>
      <w:r w:rsidR="00F452AF">
        <w:t>3</w:t>
      </w:r>
      <w:r w:rsidRPr="0039567D">
        <w:t>) of Section 6.7.</w:t>
      </w:r>
      <w:r w:rsidR="00504253">
        <w:t>4</w:t>
      </w:r>
      <w:r w:rsidRPr="0039567D">
        <w:t>;</w:t>
      </w:r>
    </w:p>
    <w:p w14:paraId="760D666E" w14:textId="4385366E" w:rsidR="002F5868" w:rsidRPr="0039567D" w:rsidRDefault="00DD1AC6">
      <w:pPr>
        <w:pStyle w:val="List"/>
      </w:pPr>
      <w:r w:rsidRPr="0039567D">
        <w:t>(</w:t>
      </w:r>
      <w:r w:rsidR="00397195">
        <w:t>eee</w:t>
      </w:r>
      <w:r w:rsidRPr="0039567D">
        <w:t>)</w:t>
      </w:r>
      <w:r w:rsidRPr="0039567D">
        <w:tab/>
        <w:t>Paragraph (</w:t>
      </w:r>
      <w:r w:rsidR="00F452AF">
        <w:t>4</w:t>
      </w:r>
      <w:r w:rsidRPr="0039567D">
        <w:t>) of Section 6.7.</w:t>
      </w:r>
      <w:r w:rsidR="00504253">
        <w:t>4</w:t>
      </w:r>
      <w:r w:rsidRPr="0039567D">
        <w:t>;</w:t>
      </w:r>
    </w:p>
    <w:p w14:paraId="7B1F7508" w14:textId="3BBF1BCE" w:rsidR="002F5868" w:rsidRDefault="00DD1AC6">
      <w:pPr>
        <w:pStyle w:val="List"/>
      </w:pPr>
      <w:r w:rsidRPr="0039567D">
        <w:t>(</w:t>
      </w:r>
      <w:r w:rsidR="00397195">
        <w:t>fff</w:t>
      </w:r>
      <w:r w:rsidRPr="0039567D">
        <w:t>)</w:t>
      </w:r>
      <w:r w:rsidRPr="0039567D">
        <w:tab/>
        <w:t>Paragraph (</w:t>
      </w:r>
      <w:r w:rsidR="00F452AF">
        <w:t>5</w:t>
      </w:r>
      <w:r w:rsidRPr="0039567D">
        <w:t>) of Section 6.7.</w:t>
      </w:r>
      <w:r w:rsidR="00504253">
        <w:t>4</w:t>
      </w:r>
      <w:r w:rsidRPr="0039567D">
        <w:t>;</w:t>
      </w:r>
      <w:r>
        <w:t xml:space="preserve"> </w:t>
      </w:r>
    </w:p>
    <w:p w14:paraId="650A9951" w14:textId="34B60D28" w:rsidR="00397195" w:rsidRPr="0003648D" w:rsidRDefault="00397195" w:rsidP="00397195">
      <w:pPr>
        <w:spacing w:after="240"/>
        <w:ind w:left="1440" w:hanging="720"/>
      </w:pPr>
      <w:r w:rsidRPr="0003648D">
        <w:t>(</w:t>
      </w:r>
      <w:r>
        <w:t>ggg</w:t>
      </w:r>
      <w:r w:rsidRPr="0003648D">
        <w:t>)</w:t>
      </w:r>
      <w:r w:rsidRPr="0003648D">
        <w:tab/>
        <w:t>Paragraph (6) of Section 6.7.4;</w:t>
      </w:r>
    </w:p>
    <w:p w14:paraId="4450887D" w14:textId="5F683F3E" w:rsidR="00C74063" w:rsidRDefault="00C74063" w:rsidP="002B4852">
      <w:pPr>
        <w:pStyle w:val="List"/>
      </w:pPr>
      <w:r>
        <w:t>(</w:t>
      </w:r>
      <w:r w:rsidR="00397195">
        <w:t>hhh</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AA6350F" w:rsidR="00C16E4D" w:rsidRDefault="00C16E4D" w:rsidP="00C16E4D">
      <w:pPr>
        <w:pStyle w:val="List"/>
      </w:pPr>
      <w:r>
        <w:t>(</w:t>
      </w:r>
      <w:r w:rsidR="00397195">
        <w:t>iii</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34053F66" w:rsidR="009868C6" w:rsidRDefault="009868C6" w:rsidP="009868C6">
      <w:pPr>
        <w:pStyle w:val="List"/>
      </w:pPr>
      <w:r w:rsidRPr="00491E7A">
        <w:t>(</w:t>
      </w:r>
      <w:r w:rsidR="00397195">
        <w:t>jjj</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B12403E" w:rsidR="009868C6" w:rsidRPr="00B8591C" w:rsidRDefault="009868C6" w:rsidP="009868C6">
      <w:pPr>
        <w:pStyle w:val="List"/>
      </w:pPr>
      <w:r w:rsidRPr="00491E7A">
        <w:lastRenderedPageBreak/>
        <w:t>(</w:t>
      </w:r>
      <w:r w:rsidR="00397195">
        <w:t>kkk</w:t>
      </w:r>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A11C8E6" w:rsidR="00C74063" w:rsidRDefault="00C74063" w:rsidP="009868C6">
      <w:pPr>
        <w:pStyle w:val="List"/>
      </w:pPr>
      <w:r>
        <w:t>(</w:t>
      </w:r>
      <w:r w:rsidR="00397195">
        <w:t>lll</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19733684" w:rsidR="00E3188F" w:rsidRDefault="00E3188F" w:rsidP="00E3188F">
      <w:pPr>
        <w:pStyle w:val="List"/>
      </w:pPr>
      <w:r>
        <w:t>(</w:t>
      </w:r>
      <w:r w:rsidR="00397195">
        <w:t>mmm</w:t>
      </w:r>
      <w:r>
        <w:t>)</w:t>
      </w:r>
      <w:r>
        <w:tab/>
        <w:t>Section 6.7.</w:t>
      </w:r>
      <w:r w:rsidR="00504253">
        <w:t>6</w:t>
      </w:r>
      <w:r>
        <w:t>, (</w:t>
      </w:r>
      <w:r w:rsidRPr="009506C2">
        <w:t>Load-Allocated Reliability Deployment Ancillary Service Imbalance Revenue Neutrality Amount</w:t>
      </w:r>
      <w:r>
        <w:t>);</w:t>
      </w:r>
    </w:p>
    <w:p w14:paraId="78B8524F" w14:textId="4598B855" w:rsidR="002F5868" w:rsidRDefault="00DD1AC6" w:rsidP="00246FD3">
      <w:pPr>
        <w:pStyle w:val="List"/>
      </w:pPr>
      <w:r>
        <w:t>(</w:t>
      </w:r>
      <w:r w:rsidR="00397195">
        <w:t>nnn</w:t>
      </w:r>
      <w:r>
        <w:t>)</w:t>
      </w:r>
      <w:r>
        <w:tab/>
        <w:t>Section 7.9.2.1, Payments and Charges for PTP Obligations Settled in Real-Time;</w:t>
      </w:r>
      <w:r w:rsidR="00246FD3">
        <w:t xml:space="preserve"> and</w:t>
      </w:r>
    </w:p>
    <w:p w14:paraId="523A948A" w14:textId="240F35ED" w:rsidR="00BC66E2" w:rsidRDefault="00DD1AC6">
      <w:pPr>
        <w:pStyle w:val="List"/>
      </w:pPr>
      <w:r>
        <w:t>(</w:t>
      </w:r>
      <w:r w:rsidR="00397195">
        <w:t>ooo</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272FC273" w:rsidR="004C53DD" w:rsidRPr="00E566EB" w:rsidRDefault="004C53DD" w:rsidP="001552F0">
            <w:pPr>
              <w:spacing w:before="120" w:after="240"/>
              <w:rPr>
                <w:b/>
                <w:i/>
                <w:iCs/>
              </w:rPr>
            </w:pPr>
            <w:r>
              <w:rPr>
                <w:b/>
                <w:i/>
                <w:iCs/>
              </w:rPr>
              <w:t xml:space="preserve">[NPRR841, NPRR885, </w:t>
            </w:r>
            <w:r w:rsidR="00D211B0">
              <w:rPr>
                <w:b/>
                <w:i/>
                <w:iCs/>
              </w:rPr>
              <w:t xml:space="preserve">NPRR963, </w:t>
            </w:r>
            <w:r w:rsidR="00986EAF">
              <w:rPr>
                <w:b/>
                <w:i/>
                <w:iCs/>
              </w:rPr>
              <w:t xml:space="preserve">NPRR995, </w:t>
            </w:r>
            <w:r>
              <w:rPr>
                <w:b/>
                <w:i/>
                <w:iCs/>
              </w:rPr>
              <w:t>NPRR1012</w:t>
            </w:r>
            <w:r w:rsidR="00AA58A1">
              <w:rPr>
                <w:b/>
                <w:i/>
                <w:iCs/>
              </w:rPr>
              <w:t xml:space="preserve">, </w:t>
            </w:r>
            <w:r w:rsidR="0047587C">
              <w:rPr>
                <w:b/>
                <w:i/>
                <w:iCs/>
              </w:rPr>
              <w:t xml:space="preserve">and </w:t>
            </w:r>
            <w:r w:rsidR="00AA58A1">
              <w:rPr>
                <w:b/>
                <w:i/>
                <w:iCs/>
              </w:rPr>
              <w:t>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47587C">
              <w:rPr>
                <w:b/>
                <w:i/>
                <w:iCs/>
              </w:rPr>
              <w:t xml:space="preserve">or </w:t>
            </w:r>
            <w:r w:rsidR="00AA58A1">
              <w:rPr>
                <w:b/>
                <w:i/>
                <w:iCs/>
              </w:rPr>
              <w:t>NPRR1014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lastRenderedPageBreak/>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lastRenderedPageBreak/>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(uu)</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(vv)</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lastRenderedPageBreak/>
              <w:t>(</w:t>
            </w:r>
            <w:r w:rsidR="00484E17">
              <w:t>eee</w:t>
            </w:r>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r w:rsidR="00484E17">
              <w:t>fff</w:t>
            </w:r>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t>(</w:t>
            </w:r>
            <w:r w:rsidR="00484E17">
              <w:t>ggg</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556827DF"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illing disputes</w:t>
      </w:r>
      <w:r w:rsidR="004E366D" w:rsidRPr="004E366D">
        <w:t xml:space="preserve"> </w:t>
      </w:r>
      <w:r w:rsidR="004E366D" w:rsidRPr="00FC5192">
        <w:t>and</w:t>
      </w:r>
      <w:r w:rsidR="004E366D" w:rsidRPr="00491B0E">
        <w:t xml:space="preserve"> </w:t>
      </w:r>
      <w:r w:rsidR="004E366D" w:rsidRPr="00FC5192">
        <w:t xml:space="preserve">the correction of </w:t>
      </w:r>
      <w:r w:rsidR="004E366D">
        <w:t>errors</w:t>
      </w:r>
      <w:r w:rsidR="004E366D" w:rsidRPr="00FC5192">
        <w:t xml:space="preserve"> </w:t>
      </w:r>
      <w:r w:rsidR="004E366D">
        <w:t>other than price errors</w:t>
      </w:r>
      <w:r w:rsidR="004E366D" w:rsidRPr="00FC5192">
        <w:t xml:space="preserve"> pursuant to this </w:t>
      </w:r>
      <w:r w:rsidR="004E366D">
        <w:t>S</w:t>
      </w:r>
      <w:r w:rsidR="004E366D" w:rsidRPr="00FC5192">
        <w:t>ection</w:t>
      </w:r>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w:t>
      </w:r>
      <w:r w:rsidRPr="00A10FC3">
        <w:rPr>
          <w:rFonts w:ascii="TimesNewRomanPSMT" w:hAnsi="TimesNewRomanPSMT" w:cs="TimesNewRomanPSMT"/>
        </w:rPr>
        <w:lastRenderedPageBreak/>
        <w:t xml:space="preserve">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001FF124"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w:t>
      </w:r>
    </w:p>
    <w:p w14:paraId="36092FF0" w14:textId="77777777" w:rsidR="004E366D" w:rsidRDefault="00D41086" w:rsidP="004E366D">
      <w:pPr>
        <w:spacing w:after="240"/>
        <w:ind w:left="1440" w:hanging="720"/>
        <w:rPr>
          <w:iCs/>
        </w:rPr>
      </w:pPr>
      <w:r w:rsidRPr="001044B0">
        <w:t>(b)</w:t>
      </w:r>
      <w:r w:rsidRPr="001044B0">
        <w:tab/>
      </w:r>
      <w:r>
        <w:t xml:space="preserve">The </w:t>
      </w:r>
      <w:r w:rsidRPr="00A10FC3">
        <w:t>impact to the Statement Recipient is greater than $400.00</w:t>
      </w:r>
      <w:r w:rsidR="004E366D">
        <w:rPr>
          <w:iCs/>
        </w:rPr>
        <w:t>;</w:t>
      </w:r>
      <w:r w:rsidR="004E366D" w:rsidRPr="00491B0E">
        <w:rPr>
          <w:iCs/>
        </w:rPr>
        <w:t xml:space="preserve"> </w:t>
      </w:r>
      <w:r w:rsidR="004E366D">
        <w:rPr>
          <w:iCs/>
        </w:rPr>
        <w:t>and</w:t>
      </w:r>
    </w:p>
    <w:p w14:paraId="399D7DE2" w14:textId="1980EDD8" w:rsidR="00D41086" w:rsidRDefault="004E366D" w:rsidP="004E366D">
      <w:pPr>
        <w:spacing w:after="240"/>
        <w:ind w:left="1440" w:hanging="720"/>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t>one year of the Operating Day at issue</w:t>
      </w:r>
      <w:r w:rsidR="00D41086">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03380CAF" w14:textId="600F988C" w:rsidR="004E366D" w:rsidRPr="00495A70" w:rsidRDefault="004E366D" w:rsidP="004E366D">
      <w:pPr>
        <w:spacing w:after="240"/>
        <w:ind w:left="720" w:hanging="720"/>
      </w:pPr>
      <w:bookmarkStart w:id="162" w:name="_Toc309731048"/>
      <w:bookmarkStart w:id="163" w:name="_Toc405814023"/>
      <w:bookmarkStart w:id="164" w:name="_Toc422207913"/>
      <w:bookmarkStart w:id="165" w:name="_Toc438044827"/>
      <w:bookmarkStart w:id="166" w:name="_Toc447622610"/>
      <w:bookmarkStart w:id="167" w:name="_Toc80175260"/>
      <w:r>
        <w:t>(8)</w:t>
      </w:r>
      <w:r>
        <w:tab/>
        <w:t xml:space="preserve">ERCOT may issue RTM Resettlement Statements after the timeline referenced in paragraph (2) above if directed by the ERCOT Board, the result of a resolution of an </w:t>
      </w:r>
      <w:r>
        <w:lastRenderedPageBreak/>
        <w:t>Alternative Dispute Resolution (ADR) procedure, or under the procedure for Return of Settlement Funds.</w:t>
      </w:r>
    </w:p>
    <w:p w14:paraId="184B5065" w14:textId="1283808F" w:rsidR="004E366D" w:rsidRDefault="004E366D" w:rsidP="004E366D">
      <w:pPr>
        <w:pStyle w:val="BodyText"/>
        <w:ind w:left="720" w:hanging="720"/>
      </w:pPr>
      <w:r>
        <w:t>(9)</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 xml:space="preserve">ettlement quality information, shall be supplied to all </w:t>
      </w:r>
      <w:r>
        <w:t xml:space="preserve">impacted </w:t>
      </w:r>
      <w:r w:rsidRPr="003760AA">
        <w:t>Market Participants.</w:t>
      </w:r>
      <w:r>
        <w:t xml:space="preserve"> </w:t>
      </w:r>
      <w:r w:rsidRPr="003760AA">
        <w:t xml:space="preserve"> </w:t>
      </w:r>
    </w:p>
    <w:p w14:paraId="260C0946" w14:textId="77777777" w:rsidR="002F5868" w:rsidRPr="008910B8" w:rsidRDefault="00DD1AC6" w:rsidP="008D5547">
      <w:pPr>
        <w:pStyle w:val="H3"/>
        <w:rPr>
          <w:b/>
          <w:i/>
        </w:rPr>
      </w:pPr>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lastRenderedPageBreak/>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w:t>
      </w:r>
      <w:r w:rsidRPr="00A06E01">
        <w:rPr>
          <w:iCs/>
        </w:rPr>
        <w:lastRenderedPageBreak/>
        <w:t xml:space="preserve">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lastRenderedPageBreak/>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lastRenderedPageBreak/>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lastRenderedPageBreak/>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lastRenderedPageBreak/>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lastRenderedPageBreak/>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w:t>
      </w:r>
      <w:r>
        <w:lastRenderedPageBreak/>
        <w:t xml:space="preserve">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lastRenderedPageBreak/>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lastRenderedPageBreak/>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lastRenderedPageBreak/>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 xml:space="preserve">resettlement </w:t>
      </w:r>
      <w:r>
        <w:lastRenderedPageBreak/>
        <w:t>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w:t>
      </w:r>
      <w:r>
        <w:lastRenderedPageBreak/>
        <w:t xml:space="preserve">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lastRenderedPageBreak/>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4BE49B39"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t>
      </w:r>
      <w:r>
        <w:lastRenderedPageBreak/>
        <w:t xml:space="preserve">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0651CCAB"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w:t>
      </w:r>
      <w:r w:rsidR="0064455F">
        <w:t xml:space="preserve"> and Procedure for Return of Settlement Funds</w:t>
      </w:r>
      <w:r>
        <w:t>,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lastRenderedPageBreak/>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1551C65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 xml:space="preserve">or Invoice </w:t>
      </w:r>
      <w:r w:rsidRPr="005A498B">
        <w:rPr>
          <w:iCs/>
        </w:rPr>
        <w:lastRenderedPageBreak/>
        <w:t>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5CF3E5D5"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of Section 1.3.1.1, Items Considered Protected Information, and Section 20, Alternative Dispute Resolution Procedure</w:t>
      </w:r>
      <w:r w:rsidR="0064455F">
        <w:t xml:space="preserve"> and Procedure for Return of Settlement Funds</w:t>
      </w:r>
      <w:r>
        <w:t xml:space="preserv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0ACD46F8"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rsidR="0064455F" w:rsidRPr="0064455F">
        <w:t xml:space="preserve"> </w:t>
      </w:r>
      <w:r w:rsidR="0064455F">
        <w:t>and Procedure for Return of Settlement Funds</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lastRenderedPageBreak/>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522792C5"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r w:rsidR="0064455F" w:rsidRPr="0064455F">
        <w:t xml:space="preserve"> </w:t>
      </w:r>
      <w:r w:rsidR="0064455F">
        <w:t>and Procedure for Return of Settlement Funds</w:t>
      </w:r>
      <w:r>
        <w:t>.</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lastRenderedPageBreak/>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411175F5"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w:t>
      </w:r>
      <w:r w:rsidR="0012035F">
        <w:lastRenderedPageBreak/>
        <w:t xml:space="preserve">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75EEEBC" w:rsidR="00C6585B" w:rsidRDefault="00635D3F" w:rsidP="00C6585B">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w:t>
      </w:r>
      <w:r w:rsidR="00E27A9C">
        <w:rPr>
          <w:iCs/>
        </w:rPr>
        <w:t>Low Sustained Limit (</w:t>
      </w:r>
      <w:r w:rsidR="00E27A9C" w:rsidRPr="00C014BD">
        <w:rPr>
          <w:iCs/>
        </w:rPr>
        <w:t>LSL</w:t>
      </w:r>
      <w:r w:rsidR="00E27A9C">
        <w:rPr>
          <w:iCs/>
        </w:rPr>
        <w:t>)</w:t>
      </w:r>
      <w:r w:rsidR="00176EAC" w:rsidRPr="00C014BD">
        <w:rPr>
          <w:iCs/>
        </w:rPr>
        <w:t>.</w:t>
      </w:r>
    </w:p>
    <w:p w14:paraId="0479B54C" w14:textId="4520740F" w:rsidR="00635D3F" w:rsidRDefault="00C6585B" w:rsidP="00C6585B">
      <w:pPr>
        <w:spacing w:after="240"/>
        <w:ind w:left="720" w:hanging="720"/>
        <w:rPr>
          <w:iCs/>
        </w:rPr>
      </w:pPr>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7E533C75"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Pr>
          <w:iCs/>
        </w:rPr>
        <w:t>7</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77777777" w:rsidR="00176EAC" w:rsidRPr="006D0E4C" w:rsidRDefault="00176EAC" w:rsidP="001C5A31">
            <w:pPr>
              <w:spacing w:after="240"/>
              <w:rPr>
                <w:b/>
                <w:i/>
                <w:iCs/>
              </w:rPr>
            </w:pPr>
            <w:r w:rsidRPr="006D0E4C">
              <w:rPr>
                <w:b/>
                <w:i/>
                <w:iCs/>
              </w:rPr>
              <w:t>[NPRR1140: Replace paragraph (</w:t>
            </w:r>
            <w:r>
              <w:rPr>
                <w:b/>
                <w:i/>
                <w:iCs/>
              </w:rPr>
              <w:t>7</w:t>
            </w:r>
            <w:r w:rsidRPr="006D0E4C">
              <w:rPr>
                <w:b/>
                <w:i/>
                <w:iCs/>
              </w:rPr>
              <w:t>) above with the following upon system implementation:]</w:t>
            </w:r>
          </w:p>
          <w:p w14:paraId="0479C2AD" w14:textId="61F34E12" w:rsidR="00176EAC" w:rsidRPr="00FA3373" w:rsidRDefault="00176EAC" w:rsidP="001C5A31">
            <w:pPr>
              <w:spacing w:after="240"/>
              <w:ind w:left="720" w:hanging="720"/>
            </w:pPr>
            <w:r w:rsidRPr="006D0E4C">
              <w:rPr>
                <w:iCs/>
              </w:rPr>
              <w:lastRenderedPageBreak/>
              <w:t>(</w:t>
            </w:r>
            <w:r>
              <w:rPr>
                <w:iCs/>
              </w:rPr>
              <w:t>7</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lastRenderedPageBreak/>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 xml:space="preserve">in </w:t>
      </w:r>
      <w:r w:rsidRPr="00A959CA">
        <w:rPr>
          <w:color w:val="000000"/>
          <w:szCs w:val="24"/>
        </w:rPr>
        <w:lastRenderedPageBreak/>
        <w:t>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4" o:title=""/>
          </v:shape>
          <o:OLEObject Type="Embed" ProgID="Equation.3" ShapeID="_x0000_i1025" DrawAspect="Content" ObjectID="_1770641214"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6pt" o:ole="">
            <v:imagedata r:id="rId14" o:title=""/>
          </v:shape>
          <o:OLEObject Type="Embed" ProgID="Equation.3" ShapeID="_x0000_i1026" DrawAspect="Content" ObjectID="_1770641215"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56255FD4" w14:textId="15E45218" w:rsidR="00434F7C" w:rsidRPr="00A26DE0" w:rsidRDefault="00434F7C" w:rsidP="00434F7C">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Pr>
          <w:iCs/>
          <w:noProof/>
          <w:position w:val="-18"/>
          <w:szCs w:val="24"/>
        </w:rPr>
        <w:drawing>
          <wp:inline distT="0" distB="0" distL="0" distR="0" wp14:anchorId="409CB054" wp14:editId="0FBE62E3">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72DA35A2" w14:textId="77777777" w:rsidR="00434F7C" w:rsidRPr="00A26DE0" w:rsidRDefault="00434F7C" w:rsidP="00434F7C">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487E17" w14:textId="77777777" w:rsidR="00434F7C" w:rsidRPr="00A26DE0" w:rsidRDefault="00434F7C" w:rsidP="00434F7C">
      <w:pPr>
        <w:spacing w:after="240"/>
        <w:ind w:left="2160"/>
        <w:rPr>
          <w:iCs/>
          <w:szCs w:val="24"/>
        </w:rPr>
      </w:pPr>
      <w:r w:rsidRPr="00A26DE0">
        <w:rPr>
          <w:iCs/>
          <w:szCs w:val="24"/>
        </w:rPr>
        <w:lastRenderedPageBreak/>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501A041B" w14:textId="77777777" w:rsidR="00434F7C" w:rsidRPr="00A26DE0" w:rsidRDefault="00434F7C" w:rsidP="00434F7C">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C87398" w14:textId="6D80D4A1" w:rsidR="00A26DE0" w:rsidRPr="00A26DE0" w:rsidRDefault="00434F7C"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2BA97787" w14:textId="77777777" w:rsidR="00A26DE0" w:rsidRPr="00A26DE0" w:rsidRDefault="00A26DE0" w:rsidP="00353B99">
      <w:pPr>
        <w:spacing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7" type="#_x0000_t75" style="width:14.4pt;height:21.6pt" o:ole="">
            <v:imagedata r:id="rId18" o:title=""/>
          </v:shape>
          <o:OLEObject Type="Embed" ProgID="Equation.3" ShapeID="_x0000_i1027" DrawAspect="Content" ObjectID="_1770641216" r:id="rId19"/>
        </w:object>
      </w:r>
      <w:r w:rsidRPr="00A26DE0">
        <w:rPr>
          <w:iCs/>
          <w:position w:val="-20"/>
          <w:szCs w:val="24"/>
        </w:rPr>
        <w:object w:dxaOrig="220" w:dyaOrig="440" w14:anchorId="08AE3001">
          <v:shape id="_x0000_i1028" type="#_x0000_t75" style="width:14.4pt;height:21.6pt" o:ole="">
            <v:imagedata r:id="rId20" o:title=""/>
          </v:shape>
          <o:OLEObject Type="Embed" ProgID="Equation.3" ShapeID="_x0000_i1028" DrawAspect="Content" ObjectID="_1770641217" r:id="rId21"/>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29" type="#_x0000_t75" style="width:14.4pt;height:27.6pt" o:ole="">
            <v:imagedata r:id="rId22" o:title=""/>
          </v:shape>
          <o:OLEObject Type="Embed" ProgID="Equation.3" ShapeID="_x0000_i1029" DrawAspect="Content" ObjectID="_1770641218" r:id="rId23"/>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353B99">
        <w:tc>
          <w:tcPr>
            <w:tcW w:w="1060" w:type="pct"/>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w:t>
            </w:r>
            <w:r w:rsidRPr="00A26DE0">
              <w:rPr>
                <w:iCs/>
                <w:sz w:val="20"/>
              </w:rPr>
              <w:lastRenderedPageBreak/>
              <w:t xml:space="preserve">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shd w:val="clear" w:color="auto" w:fill="auto"/>
          </w:tcPr>
          <w:p w14:paraId="7F85FB15" w14:textId="77777777" w:rsidR="00A26DE0" w:rsidRPr="00A26DE0" w:rsidRDefault="00A26DE0" w:rsidP="00A26DE0">
            <w:pPr>
              <w:spacing w:after="60"/>
              <w:rPr>
                <w:iCs/>
                <w:sz w:val="20"/>
              </w:rPr>
            </w:pPr>
            <w:r w:rsidRPr="00A26DE0">
              <w:rPr>
                <w:iCs/>
                <w:sz w:val="20"/>
              </w:rPr>
              <w:lastRenderedPageBreak/>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353B99">
        <w:tc>
          <w:tcPr>
            <w:tcW w:w="1060" w:type="pct"/>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shd w:val="clear" w:color="auto" w:fill="auto"/>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1CA098CD" w14:textId="16E8742D" w:rsidR="00434F7C" w:rsidRPr="00A26DE0" w:rsidRDefault="00434F7C" w:rsidP="00434F7C">
            <w:pPr>
              <w:spacing w:after="60"/>
              <w:jc w:val="center"/>
              <w:rPr>
                <w:iCs/>
                <w:sz w:val="20"/>
              </w:rPr>
            </w:pPr>
            <w:r w:rsidRPr="00A26DE0">
              <w:rPr>
                <w:iCs/>
                <w:sz w:val="20"/>
              </w:rPr>
              <w:t>MW</w:t>
            </w:r>
          </w:p>
        </w:tc>
        <w:tc>
          <w:tcPr>
            <w:tcW w:w="3541" w:type="pct"/>
            <w:shd w:val="clear" w:color="auto" w:fill="auto"/>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025988DF" w14:textId="77777777" w:rsidTr="00353B99">
        <w:tc>
          <w:tcPr>
            <w:tcW w:w="1060"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399" w:type="pct"/>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353B99">
        <w:trPr>
          <w:trHeight w:val="498"/>
        </w:trPr>
        <w:tc>
          <w:tcPr>
            <w:tcW w:w="1060"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353B99">
        <w:trPr>
          <w:trHeight w:val="525"/>
        </w:trPr>
        <w:tc>
          <w:tcPr>
            <w:tcW w:w="1060"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05337631" w14:textId="77777777" w:rsidTr="00353B99">
        <w:trPr>
          <w:trHeight w:val="525"/>
        </w:trPr>
        <w:tc>
          <w:tcPr>
            <w:tcW w:w="1060" w:type="pct"/>
            <w:shd w:val="clear" w:color="auto" w:fill="auto"/>
          </w:tcPr>
          <w:p w14:paraId="5679653D" w14:textId="4DD6469D" w:rsidR="00434F7C" w:rsidRPr="00A26DE0" w:rsidRDefault="00434F7C" w:rsidP="00434F7C">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0A2DB2E6" w14:textId="305FDC96"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1634DDF3" w14:textId="689E4161" w:rsidR="00434F7C" w:rsidRPr="00A26DE0" w:rsidRDefault="00434F7C" w:rsidP="00434F7C">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66F11C5F" w14:textId="77777777" w:rsidTr="00353B99">
        <w:trPr>
          <w:trHeight w:val="525"/>
        </w:trPr>
        <w:tc>
          <w:tcPr>
            <w:tcW w:w="1060"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353B99">
        <w:trPr>
          <w:trHeight w:val="525"/>
        </w:trPr>
        <w:tc>
          <w:tcPr>
            <w:tcW w:w="1060" w:type="pct"/>
            <w:shd w:val="clear" w:color="auto" w:fill="auto"/>
          </w:tcPr>
          <w:p w14:paraId="4ADA560E" w14:textId="77777777" w:rsidR="00A26DE0" w:rsidRPr="00A26DE0" w:rsidRDefault="00A26DE0" w:rsidP="00A26DE0">
            <w:pPr>
              <w:spacing w:after="60"/>
              <w:rPr>
                <w:iCs/>
                <w:sz w:val="20"/>
              </w:rPr>
            </w:pPr>
            <w:r w:rsidRPr="00A26DE0">
              <w:rPr>
                <w:iCs/>
                <w:sz w:val="20"/>
              </w:rPr>
              <w:lastRenderedPageBreak/>
              <w:t xml:space="preserve">MCPCRU </w:t>
            </w:r>
            <w:r w:rsidRPr="00A26DE0">
              <w:rPr>
                <w:i/>
                <w:iCs/>
                <w:sz w:val="20"/>
                <w:vertAlign w:val="subscript"/>
              </w:rPr>
              <w:t>DAM</w:t>
            </w:r>
          </w:p>
        </w:tc>
        <w:tc>
          <w:tcPr>
            <w:tcW w:w="399" w:type="pct"/>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shd w:val="clear" w:color="auto" w:fill="auto"/>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A26DE0" w:rsidRPr="00A26DE0" w14:paraId="0E2C2159"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lastRenderedPageBreak/>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D465F5">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66" type="#_x0000_t75" style="width:14.4pt;height:21.6pt" o:ole="">
            <v:imagedata r:id="rId24" o:title=""/>
          </v:shape>
          <o:OLEObject Type="Embed" ProgID="Equation.3" ShapeID="_x0000_i1066" DrawAspect="Content" ObjectID="_1770641219" r:id="rId25"/>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lastRenderedPageBreak/>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w:t>
            </w:r>
            <w:r w:rsidRPr="00B37522">
              <w:rPr>
                <w:color w:val="000000"/>
              </w:rPr>
              <w:lastRenderedPageBreak/>
              <w:t xml:space="preserve">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lastRenderedPageBreak/>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lastRenderedPageBreak/>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lastRenderedPageBreak/>
        <w:t>(c)</w:t>
      </w:r>
      <w:r>
        <w:tab/>
        <w:t>Requestor’s reasonable internal documented costs itemizing all persons, hours, and other expenses associated with developing the request per paragraphs (1) and (2) above.</w:t>
      </w:r>
    </w:p>
    <w:p w14:paraId="0C5CDD24" w14:textId="7D06ED38"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rsidR="0064455F">
        <w:t xml:space="preserve"> and Procedure for Return of Settlement Funds</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lastRenderedPageBreak/>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lastRenderedPageBreak/>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lastRenderedPageBreak/>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F6224CB" w:rsidR="00C4046B" w:rsidRPr="00E566EB" w:rsidRDefault="00C4046B" w:rsidP="00F3293A">
            <w:pPr>
              <w:spacing w:before="120" w:after="240"/>
              <w:rPr>
                <w:b/>
                <w:i/>
                <w:iCs/>
              </w:rPr>
            </w:pPr>
            <w:r>
              <w:rPr>
                <w:b/>
                <w:i/>
                <w:iCs/>
              </w:rPr>
              <w:t>[</w:t>
            </w:r>
            <w:r w:rsidR="00986EAF">
              <w:rPr>
                <w:b/>
                <w:i/>
                <w:iCs/>
              </w:rPr>
              <w:t>NPRR995</w:t>
            </w:r>
            <w:r w:rsidR="003E0FF7">
              <w:rPr>
                <w:b/>
                <w:i/>
                <w:iCs/>
              </w:rPr>
              <w:t>,</w:t>
            </w:r>
            <w:r w:rsidR="00986EAF">
              <w:rPr>
                <w:b/>
                <w:i/>
                <w:iCs/>
              </w:rPr>
              <w:t xml:space="preserve"> </w:t>
            </w:r>
            <w:r w:rsidR="00D211B0">
              <w:rPr>
                <w:b/>
                <w:i/>
                <w:iCs/>
              </w:rPr>
              <w:t>NPRR1012</w:t>
            </w:r>
            <w:r w:rsidR="003E0FF7">
              <w:rPr>
                <w:b/>
                <w:i/>
                <w:iCs/>
              </w:rPr>
              <w:t>, and NPRR1201</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upon system implementation for NPRR995</w:t>
            </w:r>
            <w:r w:rsidR="003E0FF7">
              <w:rPr>
                <w:b/>
                <w:i/>
                <w:iCs/>
              </w:rPr>
              <w:t xml:space="preserve"> or NPRR1201</w:t>
            </w:r>
            <w:r w:rsidR="00986EAF">
              <w:rPr>
                <w:b/>
                <w:i/>
                <w:iCs/>
              </w:rPr>
              <w:t xml:space="preserve">;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0C223B62"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iCs/>
              </w:rPr>
              <w:t xml:space="preserve">), </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D465F5" w:rsidRDefault="00881601" w:rsidP="00D465F5">
      <w:pPr>
        <w:pStyle w:val="FormulaBold"/>
        <w:rPr>
          <w:rFonts w:eastAsia="Calibri"/>
          <w:b w:val="0"/>
          <w:bCs/>
        </w:rPr>
      </w:pPr>
      <w:r w:rsidRPr="00D465F5">
        <w:rPr>
          <w:b w:val="0"/>
          <w:bCs/>
        </w:rPr>
        <w:t>URTMG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r, i</w:t>
      </w:r>
      <w:r w:rsidRPr="00D465F5">
        <w:rPr>
          <w:b w:val="0"/>
          <w:bCs/>
        </w:rPr>
        <w:t xml:space="preserve"> (RTMG </w:t>
      </w:r>
      <w:r w:rsidRPr="00D465F5">
        <w:rPr>
          <w:b w:val="0"/>
          <w:bCs/>
          <w:i/>
          <w:vertAlign w:val="subscript"/>
        </w:rPr>
        <w:t>mp, p, r, i</w:t>
      </w:r>
      <w:r w:rsidRPr="00D465F5">
        <w:rPr>
          <w:b w:val="0"/>
          <w:bCs/>
        </w:rPr>
        <w:t>), excluding RTMG for RMR Resources and RTMG in Reliability Unit Commitment (RUC)-Committed Intervals for RUC-committed Resources</w:t>
      </w:r>
    </w:p>
    <w:p w14:paraId="10B91425" w14:textId="77777777" w:rsidR="00881601" w:rsidRPr="00D465F5" w:rsidRDefault="00881601" w:rsidP="00D465F5">
      <w:pPr>
        <w:pStyle w:val="FormulaBold"/>
        <w:rPr>
          <w:rFonts w:eastAsia="Calibri"/>
          <w:b w:val="0"/>
          <w:bCs/>
        </w:rPr>
      </w:pPr>
      <w:r w:rsidRPr="00D465F5">
        <w:rPr>
          <w:rFonts w:eastAsia="Calibri"/>
          <w:b w:val="0"/>
          <w:bCs/>
        </w:rPr>
        <w:t>URTDCIMP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(RTDCIMP </w:t>
      </w:r>
      <w:r w:rsidRPr="00D465F5">
        <w:rPr>
          <w:b w:val="0"/>
          <w:bCs/>
          <w:i/>
          <w:vertAlign w:val="subscript"/>
        </w:rPr>
        <w:t>mp, p, i</w:t>
      </w:r>
      <w:r w:rsidRPr="00D465F5">
        <w:rPr>
          <w:b w:val="0"/>
          <w:bCs/>
        </w:rPr>
        <w:t>) / 4</w:t>
      </w:r>
    </w:p>
    <w:p w14:paraId="27467FD9" w14:textId="77777777" w:rsidR="00881601" w:rsidRPr="00D465F5" w:rsidRDefault="00881601" w:rsidP="00D465F5">
      <w:pPr>
        <w:pStyle w:val="FormulaBold"/>
        <w:rPr>
          <w:b w:val="0"/>
          <w:bCs/>
        </w:rPr>
      </w:pPr>
      <w:r w:rsidRPr="00D465F5">
        <w:rPr>
          <w:rFonts w:eastAsia="Calibri"/>
          <w:b w:val="0"/>
          <w:bCs/>
        </w:rPr>
        <w:lastRenderedPageBreak/>
        <w:t>URTAML</w:t>
      </w:r>
      <w:r w:rsidRPr="00D465F5">
        <w:rPr>
          <w:b w:val="0"/>
          <w:bCs/>
        </w:rPr>
        <w:t> </w:t>
      </w:r>
      <w:r w:rsidRPr="00D465F5">
        <w:rPr>
          <w:b w:val="0"/>
          <w:bCs/>
          <w:i/>
          <w:vertAlign w:val="subscript"/>
        </w:rPr>
        <w:t>mp</w:t>
      </w:r>
      <w:r w:rsidRPr="00D465F5">
        <w:rPr>
          <w:rFonts w:eastAsia="Calibri"/>
          <w:b w:val="0"/>
          <w:bCs/>
        </w:rPr>
        <w:t xml:space="preserve"> = </w:t>
      </w:r>
      <w:r w:rsidR="006A6713" w:rsidRPr="00D465F5">
        <w:rPr>
          <w:rFonts w:eastAsia="Calibri"/>
          <w:b w:val="0"/>
          <w:bCs/>
        </w:rPr>
        <w:t>max(0,</w:t>
      </w:r>
      <w:r w:rsidRPr="00D465F5">
        <w:rPr>
          <w:b w:val="0"/>
          <w:bCs/>
        </w:rPr>
        <w:t>∑</w:t>
      </w:r>
      <w:r w:rsidRPr="00D465F5">
        <w:rPr>
          <w:b w:val="0"/>
          <w:bCs/>
          <w:i/>
          <w:vertAlign w:val="subscript"/>
        </w:rPr>
        <w:t>p, i</w:t>
      </w:r>
      <w:r w:rsidRPr="00D465F5">
        <w:rPr>
          <w:b w:val="0"/>
          <w:bCs/>
        </w:rPr>
        <w:t xml:space="preserve"> (RTAML </w:t>
      </w:r>
      <w:r w:rsidRPr="00D465F5">
        <w:rPr>
          <w:b w:val="0"/>
          <w:bCs/>
          <w:i/>
          <w:vertAlign w:val="subscript"/>
        </w:rPr>
        <w:t>mp, p, i</w:t>
      </w:r>
      <w:r w:rsidRPr="00D465F5">
        <w:rPr>
          <w:b w:val="0"/>
          <w:bCs/>
        </w:rPr>
        <w:t>)</w:t>
      </w:r>
      <w:r w:rsidR="006A6713" w:rsidRPr="00D465F5">
        <w:rPr>
          <w:b w:val="0"/>
          <w:bCs/>
        </w:rPr>
        <w:t>)</w:t>
      </w:r>
    </w:p>
    <w:p w14:paraId="56A36858" w14:textId="77777777" w:rsidR="00881601" w:rsidRPr="00D465F5" w:rsidRDefault="00881601" w:rsidP="00D465F5">
      <w:pPr>
        <w:pStyle w:val="FormulaBold"/>
        <w:rPr>
          <w:b w:val="0"/>
          <w:bCs/>
        </w:rPr>
      </w:pPr>
      <w:r w:rsidRPr="00D465F5">
        <w:rPr>
          <w:rFonts w:eastAsia="Calibri"/>
          <w:b w:val="0"/>
          <w:bCs/>
        </w:rPr>
        <w:t>URTQQES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RTQQES </w:t>
      </w:r>
      <w:r w:rsidRPr="00D465F5">
        <w:rPr>
          <w:b w:val="0"/>
          <w:bCs/>
          <w:i/>
          <w:vertAlign w:val="subscript"/>
        </w:rPr>
        <w:t>mp, p, i</w:t>
      </w:r>
      <w:r w:rsidRPr="00D465F5">
        <w:rPr>
          <w:b w:val="0"/>
          <w:bCs/>
        </w:rPr>
        <w:t>) / 4</w:t>
      </w:r>
    </w:p>
    <w:p w14:paraId="55E6E0DE" w14:textId="77777777" w:rsidR="00881601" w:rsidRPr="00D465F5" w:rsidRDefault="00881601" w:rsidP="00D465F5">
      <w:pPr>
        <w:pStyle w:val="FormulaBold"/>
        <w:rPr>
          <w:b w:val="0"/>
          <w:bCs/>
        </w:rPr>
      </w:pPr>
      <w:r w:rsidRPr="00D465F5">
        <w:rPr>
          <w:rFonts w:eastAsia="Calibri"/>
          <w:b w:val="0"/>
          <w:bCs/>
        </w:rPr>
        <w:t>URTQQEP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RTQQEP </w:t>
      </w:r>
      <w:r w:rsidRPr="00D465F5">
        <w:rPr>
          <w:b w:val="0"/>
          <w:bCs/>
          <w:i/>
          <w:vertAlign w:val="subscript"/>
        </w:rPr>
        <w:t>mp, p, i</w:t>
      </w:r>
      <w:r w:rsidRPr="00D465F5">
        <w:rPr>
          <w:b w:val="0"/>
          <w:bCs/>
        </w:rPr>
        <w:t>) / 4</w:t>
      </w:r>
    </w:p>
    <w:p w14:paraId="154D89E1" w14:textId="77777777" w:rsidR="00881601" w:rsidRPr="00D465F5" w:rsidRDefault="00881601" w:rsidP="00D465F5">
      <w:pPr>
        <w:pStyle w:val="FormulaBold"/>
        <w:rPr>
          <w:b w:val="0"/>
          <w:bCs/>
        </w:rPr>
      </w:pPr>
      <w:r w:rsidRPr="00D465F5">
        <w:rPr>
          <w:rFonts w:eastAsia="Calibri"/>
          <w:b w:val="0"/>
          <w:bCs/>
        </w:rPr>
        <w:t>UDAES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DAES </w:t>
      </w:r>
      <w:r w:rsidRPr="00D465F5">
        <w:rPr>
          <w:b w:val="0"/>
          <w:bCs/>
          <w:i/>
          <w:vertAlign w:val="subscript"/>
        </w:rPr>
        <w:t>mp, p, h</w:t>
      </w:r>
      <w:r w:rsidRPr="00D465F5">
        <w:rPr>
          <w:b w:val="0"/>
          <w:bCs/>
        </w:rPr>
        <w:t>)</w:t>
      </w:r>
    </w:p>
    <w:p w14:paraId="5AAF3F6C" w14:textId="77777777" w:rsidR="00881601" w:rsidRPr="00D465F5" w:rsidRDefault="00881601" w:rsidP="00D465F5">
      <w:pPr>
        <w:pStyle w:val="FormulaBold"/>
        <w:rPr>
          <w:b w:val="0"/>
          <w:bCs/>
        </w:rPr>
      </w:pPr>
      <w:r w:rsidRPr="00D465F5">
        <w:rPr>
          <w:rFonts w:eastAsia="Calibri"/>
          <w:b w:val="0"/>
          <w:bCs/>
        </w:rPr>
        <w:t>UDAEP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DAEP </w:t>
      </w:r>
      <w:r w:rsidRPr="00D465F5">
        <w:rPr>
          <w:b w:val="0"/>
          <w:bCs/>
          <w:i/>
          <w:vertAlign w:val="subscript"/>
        </w:rPr>
        <w:t>mp, p, h</w:t>
      </w:r>
      <w:r w:rsidRPr="00D465F5">
        <w:rPr>
          <w:b w:val="0"/>
          <w:bCs/>
        </w:rPr>
        <w:t>)</w:t>
      </w:r>
    </w:p>
    <w:p w14:paraId="10210567" w14:textId="77777777" w:rsidR="00881601" w:rsidRPr="00D465F5" w:rsidRDefault="00881601" w:rsidP="00D465F5">
      <w:pPr>
        <w:pStyle w:val="FormulaBold"/>
        <w:rPr>
          <w:b w:val="0"/>
          <w:bCs/>
        </w:rPr>
      </w:pPr>
      <w:r w:rsidRPr="00D465F5">
        <w:rPr>
          <w:rFonts w:eastAsia="Calibri"/>
          <w:b w:val="0"/>
          <w:bCs/>
        </w:rPr>
        <w:t>URTOBL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RTOBL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5DD8FADC" w14:textId="77777777" w:rsidR="00881601" w:rsidRPr="00D465F5" w:rsidRDefault="00881601" w:rsidP="00D465F5">
      <w:pPr>
        <w:pStyle w:val="FormulaBold"/>
        <w:rPr>
          <w:b w:val="0"/>
          <w:bCs/>
        </w:rPr>
      </w:pPr>
      <w:r w:rsidRPr="00D465F5">
        <w:rPr>
          <w:rFonts w:eastAsia="Calibri"/>
          <w:b w:val="0"/>
          <w:bCs/>
        </w:rPr>
        <w:t>URTOBLLO</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(j, k), h</w:t>
      </w:r>
      <w:r w:rsidRPr="00D465F5">
        <w:rPr>
          <w:b w:val="0"/>
          <w:bCs/>
        </w:rPr>
        <w:t xml:space="preserve"> (RT</w:t>
      </w:r>
      <w:r w:rsidRPr="00D465F5">
        <w:rPr>
          <w:rFonts w:eastAsia="Calibri"/>
          <w:b w:val="0"/>
          <w:bCs/>
        </w:rPr>
        <w:t>OBLLO</w:t>
      </w:r>
      <w:r w:rsidRPr="00D465F5">
        <w:rPr>
          <w:b w:val="0"/>
          <w:bCs/>
          <w:vertAlign w:val="subscript"/>
        </w:rPr>
        <w:t xml:space="preserve"> </w:t>
      </w:r>
      <w:r w:rsidRPr="00D465F5">
        <w:rPr>
          <w:b w:val="0"/>
          <w:bCs/>
          <w:i/>
          <w:vertAlign w:val="subscript"/>
        </w:rPr>
        <w:t>mp, (</w:t>
      </w:r>
      <w:r w:rsidRPr="00D465F5">
        <w:rPr>
          <w:rFonts w:eastAsia="Calibri"/>
          <w:b w:val="0"/>
          <w:bCs/>
          <w:i/>
          <w:vertAlign w:val="subscript"/>
        </w:rPr>
        <w:t>j, k), h</w:t>
      </w:r>
      <w:r w:rsidRPr="00D465F5">
        <w:rPr>
          <w:b w:val="0"/>
          <w:bCs/>
        </w:rPr>
        <w:t>)</w:t>
      </w:r>
    </w:p>
    <w:p w14:paraId="681CBDD5" w14:textId="77777777" w:rsidR="00881601" w:rsidRPr="00D465F5" w:rsidRDefault="00881601" w:rsidP="00D465F5">
      <w:pPr>
        <w:pStyle w:val="FormulaBold"/>
        <w:rPr>
          <w:b w:val="0"/>
          <w:bCs/>
        </w:rPr>
      </w:pPr>
      <w:r w:rsidRPr="00D465F5">
        <w:rPr>
          <w:b w:val="0"/>
          <w:bCs/>
        </w:rPr>
        <w:t>UDAOPT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DAOPT</w:t>
      </w:r>
      <w:r w:rsidRPr="00D465F5">
        <w:rPr>
          <w:b w:val="0"/>
          <w:bCs/>
          <w:vertAlign w:val="subscript"/>
        </w:rPr>
        <w:t xml:space="preserve"> mp, (</w:t>
      </w:r>
      <w:r w:rsidRPr="00D465F5">
        <w:rPr>
          <w:rFonts w:eastAsia="Calibri"/>
          <w:b w:val="0"/>
          <w:bCs/>
          <w:vertAlign w:val="subscript"/>
        </w:rPr>
        <w:t>j, k), h</w:t>
      </w:r>
      <w:r w:rsidRPr="00D465F5">
        <w:rPr>
          <w:b w:val="0"/>
          <w:bCs/>
        </w:rPr>
        <w:t>)</w:t>
      </w:r>
    </w:p>
    <w:p w14:paraId="31AB9482" w14:textId="77777777" w:rsidR="00881601" w:rsidRPr="00D465F5" w:rsidRDefault="00881601" w:rsidP="00D465F5">
      <w:pPr>
        <w:pStyle w:val="FormulaBold"/>
        <w:rPr>
          <w:b w:val="0"/>
          <w:bCs/>
        </w:rPr>
      </w:pPr>
      <w:r w:rsidRPr="00D465F5">
        <w:rPr>
          <w:rFonts w:eastAsia="Calibri"/>
          <w:b w:val="0"/>
          <w:bCs/>
        </w:rPr>
        <w:t>UDAOBL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1E6D09EF" w14:textId="77777777" w:rsidR="00881601" w:rsidRPr="00D465F5" w:rsidRDefault="00881601" w:rsidP="00D465F5">
      <w:pPr>
        <w:pStyle w:val="FormulaBold"/>
        <w:rPr>
          <w:b w:val="0"/>
          <w:bCs/>
        </w:rPr>
      </w:pPr>
      <w:r w:rsidRPr="00D465F5">
        <w:rPr>
          <w:rFonts w:eastAsia="Calibri"/>
          <w:b w:val="0"/>
          <w:bCs/>
        </w:rPr>
        <w:t>UOPTS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OPTS</w:t>
      </w:r>
      <w:r w:rsidRPr="00D465F5">
        <w:rPr>
          <w:b w:val="0"/>
          <w:bCs/>
          <w:vertAlign w:val="subscript"/>
        </w:rPr>
        <w:t xml:space="preserve"> mp, (</w:t>
      </w:r>
      <w:r w:rsidRPr="00D465F5">
        <w:rPr>
          <w:rFonts w:eastAsia="Calibri"/>
          <w:b w:val="0"/>
          <w:bCs/>
          <w:vertAlign w:val="subscript"/>
        </w:rPr>
        <w:t>j, k), h</w:t>
      </w:r>
      <w:r w:rsidRPr="00D465F5">
        <w:rPr>
          <w:b w:val="0"/>
          <w:bCs/>
        </w:rPr>
        <w:t xml:space="preserve">) </w:t>
      </w:r>
    </w:p>
    <w:p w14:paraId="5822CCF8" w14:textId="77777777" w:rsidR="00881601" w:rsidRPr="00D465F5" w:rsidRDefault="00881601" w:rsidP="00D465F5">
      <w:pPr>
        <w:pStyle w:val="FormulaBold"/>
        <w:rPr>
          <w:b w:val="0"/>
          <w:bCs/>
        </w:rPr>
      </w:pPr>
      <w:r w:rsidRPr="00D465F5">
        <w:rPr>
          <w:rFonts w:eastAsia="Calibri"/>
          <w:b w:val="0"/>
          <w:bCs/>
        </w:rPr>
        <w:t>UOBLS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OBLS</w:t>
      </w:r>
      <w:r w:rsidRPr="00D465F5">
        <w:rPr>
          <w:b w:val="0"/>
          <w:bCs/>
          <w:vertAlign w:val="subscript"/>
        </w:rPr>
        <w:t xml:space="preserve"> mp, (</w:t>
      </w:r>
      <w:r w:rsidRPr="00D465F5">
        <w:rPr>
          <w:rFonts w:eastAsia="Calibri"/>
          <w:b w:val="0"/>
          <w:bCs/>
          <w:vertAlign w:val="subscript"/>
        </w:rPr>
        <w:t>j, k), h</w:t>
      </w:r>
      <w:r w:rsidRPr="00D465F5">
        <w:rPr>
          <w:b w:val="0"/>
          <w:bCs/>
        </w:rPr>
        <w:t>)</w:t>
      </w:r>
    </w:p>
    <w:p w14:paraId="4A1E3A4F" w14:textId="77777777" w:rsidR="00881601" w:rsidRPr="00D465F5" w:rsidRDefault="00881601" w:rsidP="00D465F5">
      <w:pPr>
        <w:pStyle w:val="FormulaBold"/>
        <w:rPr>
          <w:b w:val="0"/>
          <w:bCs/>
        </w:rPr>
      </w:pPr>
      <w:r w:rsidRPr="00D465F5">
        <w:rPr>
          <w:rFonts w:eastAsia="Calibri"/>
          <w:b w:val="0"/>
          <w:bCs/>
        </w:rPr>
        <w:t>UOPTP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OPTP</w:t>
      </w:r>
      <w:r w:rsidRPr="00D465F5">
        <w:rPr>
          <w:b w:val="0"/>
          <w:bCs/>
          <w:vertAlign w:val="subscript"/>
        </w:rPr>
        <w:t xml:space="preserve"> mp, </w:t>
      </w:r>
      <w:r w:rsidRPr="00D465F5">
        <w:rPr>
          <w:rFonts w:eastAsia="Calibri"/>
          <w:b w:val="0"/>
          <w:bCs/>
          <w:vertAlign w:val="subscript"/>
        </w:rPr>
        <w:t>j, h</w:t>
      </w:r>
      <w:r w:rsidRPr="00D465F5">
        <w:rPr>
          <w:b w:val="0"/>
          <w:bCs/>
        </w:rPr>
        <w:t>)</w:t>
      </w:r>
    </w:p>
    <w:p w14:paraId="04AFB7FA" w14:textId="77777777" w:rsidR="00881601" w:rsidRPr="00D465F5" w:rsidRDefault="00881601" w:rsidP="00D465F5">
      <w:pPr>
        <w:pStyle w:val="FormulaBold"/>
        <w:rPr>
          <w:b w:val="0"/>
          <w:bCs/>
          <w:lang w:val="en-US"/>
        </w:rPr>
      </w:pPr>
      <w:r w:rsidRPr="00D465F5">
        <w:rPr>
          <w:rFonts w:eastAsia="Calibri"/>
          <w:b w:val="0"/>
          <w:bCs/>
        </w:rPr>
        <w:t>UOBLP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OBLP</w:t>
      </w:r>
      <w:r w:rsidRPr="00D465F5">
        <w:rPr>
          <w:b w:val="0"/>
          <w:bCs/>
          <w:vertAlign w:val="subscript"/>
        </w:rPr>
        <w:t xml:space="preserve"> mp, (</w:t>
      </w:r>
      <w:r w:rsidRPr="00D465F5">
        <w:rPr>
          <w:rFonts w:eastAsia="Calibri"/>
          <w:b w:val="0"/>
          <w:bCs/>
          <w:vertAlign w:val="subscript"/>
        </w:rPr>
        <w:t>j, k), h</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FF7" w:rsidRPr="00E566EB" w14:paraId="46A16562" w14:textId="77777777" w:rsidTr="00FE6580">
        <w:tc>
          <w:tcPr>
            <w:tcW w:w="9766" w:type="dxa"/>
            <w:shd w:val="pct12" w:color="auto" w:fill="auto"/>
          </w:tcPr>
          <w:p w14:paraId="496BC640" w14:textId="0B303ABD" w:rsidR="003E0FF7" w:rsidRPr="003E0FF7" w:rsidRDefault="003E0FF7" w:rsidP="003E0FF7">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r w:rsidRPr="003E0FF7">
              <w:rPr>
                <w:b/>
                <w:i/>
                <w:iCs/>
                <w:vertAlign w:val="subscript"/>
                <w:lang w:val="x-none"/>
              </w:rPr>
              <w:t>mp</w:t>
            </w:r>
            <w:r w:rsidRPr="005D0F36">
              <w:rPr>
                <w:b/>
                <w:i/>
                <w:iCs/>
              </w:rPr>
              <w:t>”</w:t>
            </w:r>
            <w:r>
              <w:rPr>
                <w:b/>
                <w:i/>
                <w:iCs/>
              </w:rPr>
              <w:t>, “</w:t>
            </w:r>
            <w:r w:rsidRPr="003E0FF7">
              <w:rPr>
                <w:b/>
                <w:i/>
                <w:iCs/>
              </w:rPr>
              <w:t>UOBLS</w:t>
            </w:r>
            <w:r w:rsidRPr="003E0FF7">
              <w:rPr>
                <w:b/>
                <w:i/>
                <w:iCs/>
                <w:lang w:val="x-none"/>
              </w:rPr>
              <w:t xml:space="preserve"> </w:t>
            </w:r>
            <w:r w:rsidRPr="003E0FF7">
              <w:rPr>
                <w:b/>
                <w:i/>
                <w:iCs/>
                <w:vertAlign w:val="subscript"/>
                <w:lang w:val="x-none"/>
              </w:rPr>
              <w:t>mp</w:t>
            </w:r>
            <w:r>
              <w:rPr>
                <w:b/>
                <w:i/>
                <w:iCs/>
              </w:rPr>
              <w:t>”, “</w:t>
            </w:r>
            <w:r w:rsidRPr="003E0FF7">
              <w:rPr>
                <w:b/>
                <w:i/>
                <w:iCs/>
              </w:rPr>
              <w:t>UOPTP</w:t>
            </w:r>
            <w:r w:rsidRPr="003E0FF7">
              <w:rPr>
                <w:b/>
                <w:i/>
                <w:iCs/>
                <w:lang w:val="x-none"/>
              </w:rPr>
              <w:t xml:space="preserve"> </w:t>
            </w:r>
            <w:r w:rsidRPr="003E0FF7">
              <w:rPr>
                <w:b/>
                <w:i/>
                <w:iCs/>
                <w:vertAlign w:val="subscript"/>
                <w:lang w:val="x-none"/>
              </w:rPr>
              <w:t>mp</w:t>
            </w:r>
            <w:r>
              <w:rPr>
                <w:b/>
                <w:i/>
                <w:iCs/>
              </w:rPr>
              <w:t>”, and “</w:t>
            </w:r>
            <w:r w:rsidRPr="003E0FF7">
              <w:rPr>
                <w:b/>
                <w:i/>
                <w:iCs/>
              </w:rPr>
              <w:t>UOBLP</w:t>
            </w:r>
            <w:r w:rsidRPr="003E0FF7">
              <w:rPr>
                <w:b/>
                <w:i/>
                <w:iCs/>
                <w:lang w:val="x-none"/>
              </w:rPr>
              <w:t xml:space="preserve"> </w:t>
            </w:r>
            <w:r w:rsidRPr="003E0FF7">
              <w:rPr>
                <w:b/>
                <w:i/>
                <w:iCs/>
                <w:vertAlign w:val="subscript"/>
                <w:lang w:val="x-none"/>
              </w:rPr>
              <w:t>mp</w:t>
            </w:r>
            <w:r>
              <w:rPr>
                <w:b/>
                <w:i/>
                <w:iCs/>
              </w:rPr>
              <w:t xml:space="preserve">” above upon </w:t>
            </w:r>
            <w:r w:rsidRPr="00E566EB">
              <w:rPr>
                <w:b/>
                <w:i/>
                <w:iCs/>
              </w:rPr>
              <w:t>system implementation</w:t>
            </w:r>
            <w:r w:rsidR="00314D14">
              <w:rPr>
                <w:b/>
                <w:i/>
                <w:iCs/>
              </w:rPr>
              <w:t>.</w:t>
            </w:r>
            <w:r w:rsidRPr="00E566EB">
              <w:rPr>
                <w:b/>
                <w:i/>
                <w:iCs/>
              </w:rPr>
              <w:t>]</w:t>
            </w:r>
          </w:p>
        </w:tc>
      </w:tr>
    </w:tbl>
    <w:p w14:paraId="1F1AAA4B" w14:textId="77777777" w:rsidR="00D211B0" w:rsidRPr="00D465F5" w:rsidRDefault="00326226" w:rsidP="00D465F5">
      <w:pPr>
        <w:pStyle w:val="FormulaBold"/>
        <w:rPr>
          <w:b w:val="0"/>
          <w:bCs/>
          <w:lang w:val="en-US"/>
        </w:rPr>
      </w:pPr>
      <w:r w:rsidRPr="00D465F5">
        <w:rPr>
          <w:b w:val="0"/>
          <w:bCs/>
        </w:rPr>
        <w:t>UWSLTOT</w:t>
      </w:r>
      <w:r w:rsidRPr="00D465F5">
        <w:rPr>
          <w:b w:val="0"/>
          <w:bCs/>
          <w:i/>
          <w:vertAlign w:val="subscript"/>
        </w:rPr>
        <w:t xml:space="preserve"> mp</w:t>
      </w:r>
      <w:r w:rsidRPr="00D465F5">
        <w:rPr>
          <w:b w:val="0"/>
          <w:bCs/>
        </w:rPr>
        <w:t xml:space="preserve"> = (-1) *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 xml:space="preserve"> (MEBL</w:t>
      </w:r>
      <w:r w:rsidRPr="00D465F5">
        <w:rPr>
          <w:b w:val="0"/>
          <w:bCs/>
          <w:lang w:val="en-US"/>
        </w:rPr>
        <w:t xml:space="preserve"> </w:t>
      </w:r>
      <w:r w:rsidRPr="00D465F5">
        <w:rPr>
          <w:b w:val="0"/>
          <w:bCs/>
          <w:i/>
          <w:vertAlign w:val="subscript"/>
        </w:rPr>
        <w:t>mp,</w:t>
      </w:r>
      <w:r w:rsidRPr="00D465F5">
        <w:rPr>
          <w:b w:val="0"/>
          <w:bCs/>
          <w:i/>
          <w:vertAlign w:val="subscript"/>
          <w:lang w:val="en-US"/>
        </w:rPr>
        <w:t xml:space="preserve">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lastRenderedPageBreak/>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lastRenderedPageBreak/>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881601" w14:paraId="10D0A308" w14:textId="77777777" w:rsidTr="00D465F5">
        <w:trPr>
          <w:cantSplit/>
          <w:tblHeader/>
        </w:trPr>
        <w:tc>
          <w:tcPr>
            <w:tcW w:w="813" w:type="pct"/>
          </w:tcPr>
          <w:p w14:paraId="2E5151F2" w14:textId="77777777" w:rsidR="00881601" w:rsidRDefault="00881601" w:rsidP="00463C16">
            <w:pPr>
              <w:pStyle w:val="TableHead"/>
            </w:pPr>
            <w:r>
              <w:t>Variable</w:t>
            </w:r>
          </w:p>
        </w:tc>
        <w:tc>
          <w:tcPr>
            <w:tcW w:w="461" w:type="pct"/>
          </w:tcPr>
          <w:p w14:paraId="00C17A93" w14:textId="77777777" w:rsidR="00881601" w:rsidRDefault="00881601" w:rsidP="00463C16">
            <w:pPr>
              <w:pStyle w:val="TableHead"/>
            </w:pPr>
            <w:r>
              <w:t>Unit</w:t>
            </w:r>
          </w:p>
        </w:tc>
        <w:tc>
          <w:tcPr>
            <w:tcW w:w="3725" w:type="pct"/>
          </w:tcPr>
          <w:p w14:paraId="1987FBB9" w14:textId="77777777" w:rsidR="00881601" w:rsidRDefault="00881601" w:rsidP="00463C16">
            <w:pPr>
              <w:pStyle w:val="TableHead"/>
            </w:pPr>
            <w:r>
              <w:t>Definition</w:t>
            </w:r>
          </w:p>
        </w:tc>
      </w:tr>
      <w:tr w:rsidR="00881601" w14:paraId="427B5AD1" w14:textId="77777777" w:rsidTr="00D465F5">
        <w:trPr>
          <w:cantSplit/>
        </w:trPr>
        <w:tc>
          <w:tcPr>
            <w:tcW w:w="813"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61" w:type="pct"/>
          </w:tcPr>
          <w:p w14:paraId="57CDC1B5" w14:textId="77777777" w:rsidR="00881601" w:rsidRDefault="00881601" w:rsidP="00463C16">
            <w:pPr>
              <w:pStyle w:val="TableBody"/>
            </w:pPr>
            <w:r>
              <w:rPr>
                <w:color w:val="000000"/>
                <w:kern w:val="24"/>
              </w:rPr>
              <w:t>$</w:t>
            </w:r>
          </w:p>
        </w:tc>
        <w:tc>
          <w:tcPr>
            <w:tcW w:w="3725"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465F5">
        <w:trPr>
          <w:cantSplit/>
        </w:trPr>
        <w:tc>
          <w:tcPr>
            <w:tcW w:w="813" w:type="pct"/>
          </w:tcPr>
          <w:p w14:paraId="1157EA0E" w14:textId="77777777" w:rsidR="00881601" w:rsidRPr="00CE5650" w:rsidRDefault="00881601" w:rsidP="00463C16">
            <w:pPr>
              <w:pStyle w:val="TableBody"/>
              <w:rPr>
                <w:color w:val="000000"/>
                <w:kern w:val="24"/>
              </w:rPr>
            </w:pPr>
            <w:r w:rsidRPr="00C078A4">
              <w:rPr>
                <w:lang w:val="pt-BR"/>
              </w:rPr>
              <w:t>TSPA</w:t>
            </w:r>
          </w:p>
        </w:tc>
        <w:tc>
          <w:tcPr>
            <w:tcW w:w="461" w:type="pct"/>
          </w:tcPr>
          <w:p w14:paraId="74BAE4AA" w14:textId="77777777" w:rsidR="00881601" w:rsidRDefault="00881601" w:rsidP="00463C16">
            <w:pPr>
              <w:pStyle w:val="TableBody"/>
            </w:pPr>
            <w:r>
              <w:rPr>
                <w:color w:val="000000"/>
                <w:kern w:val="24"/>
              </w:rPr>
              <w:t>$</w:t>
            </w:r>
          </w:p>
        </w:tc>
        <w:tc>
          <w:tcPr>
            <w:tcW w:w="3725"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465F5">
        <w:trPr>
          <w:cantSplit/>
        </w:trPr>
        <w:tc>
          <w:tcPr>
            <w:tcW w:w="813"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61" w:type="pct"/>
          </w:tcPr>
          <w:p w14:paraId="41917A01" w14:textId="77777777" w:rsidR="00881601" w:rsidRDefault="00881601" w:rsidP="00463C16">
            <w:pPr>
              <w:pStyle w:val="TableBody"/>
            </w:pPr>
            <w:r w:rsidRPr="00421EF2">
              <w:rPr>
                <w:color w:val="000000"/>
                <w:kern w:val="24"/>
              </w:rPr>
              <w:t>None</w:t>
            </w:r>
          </w:p>
        </w:tc>
        <w:tc>
          <w:tcPr>
            <w:tcW w:w="3725"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465F5">
        <w:trPr>
          <w:cantSplit/>
        </w:trPr>
        <w:tc>
          <w:tcPr>
            <w:tcW w:w="813"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61" w:type="pct"/>
          </w:tcPr>
          <w:p w14:paraId="4401BB80" w14:textId="77777777" w:rsidR="00881601" w:rsidRDefault="00881601" w:rsidP="00463C16">
            <w:pPr>
              <w:pStyle w:val="TableBody"/>
            </w:pPr>
            <w:r>
              <w:rPr>
                <w:color w:val="000000"/>
                <w:kern w:val="24"/>
              </w:rPr>
              <w:t>MWh</w:t>
            </w:r>
          </w:p>
        </w:tc>
        <w:tc>
          <w:tcPr>
            <w:tcW w:w="3725"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465F5">
        <w:trPr>
          <w:cantSplit/>
        </w:trPr>
        <w:tc>
          <w:tcPr>
            <w:tcW w:w="813"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61" w:type="pct"/>
          </w:tcPr>
          <w:p w14:paraId="1BCD8AC1" w14:textId="77777777" w:rsidR="00881601" w:rsidRDefault="00881601" w:rsidP="00463C16">
            <w:pPr>
              <w:pStyle w:val="TableBody"/>
            </w:pPr>
            <w:r>
              <w:rPr>
                <w:color w:val="000000"/>
                <w:kern w:val="24"/>
              </w:rPr>
              <w:t>MWh</w:t>
            </w:r>
          </w:p>
        </w:tc>
        <w:tc>
          <w:tcPr>
            <w:tcW w:w="3725"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465F5">
        <w:trPr>
          <w:cantSplit/>
        </w:trPr>
        <w:tc>
          <w:tcPr>
            <w:tcW w:w="813"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61" w:type="pct"/>
          </w:tcPr>
          <w:p w14:paraId="7D14C88B" w14:textId="77777777" w:rsidR="00881601" w:rsidRDefault="00881601" w:rsidP="00463C16">
            <w:pPr>
              <w:pStyle w:val="TableBody"/>
            </w:pPr>
            <w:r>
              <w:t>MWh</w:t>
            </w:r>
          </w:p>
        </w:tc>
        <w:tc>
          <w:tcPr>
            <w:tcW w:w="3725"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465F5">
        <w:trPr>
          <w:cantSplit/>
        </w:trPr>
        <w:tc>
          <w:tcPr>
            <w:tcW w:w="813"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61" w:type="pct"/>
          </w:tcPr>
          <w:p w14:paraId="141C1395" w14:textId="77777777" w:rsidR="00881601" w:rsidRDefault="00881601" w:rsidP="00463C16">
            <w:pPr>
              <w:pStyle w:val="TableBody"/>
            </w:pPr>
            <w:r>
              <w:t>MWh</w:t>
            </w:r>
          </w:p>
        </w:tc>
        <w:tc>
          <w:tcPr>
            <w:tcW w:w="3725"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465F5">
        <w:trPr>
          <w:cantSplit/>
        </w:trPr>
        <w:tc>
          <w:tcPr>
            <w:tcW w:w="813"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61" w:type="pct"/>
          </w:tcPr>
          <w:p w14:paraId="0B573FDB" w14:textId="77777777" w:rsidR="00881601" w:rsidRDefault="00881601" w:rsidP="00463C16">
            <w:pPr>
              <w:pStyle w:val="TableBody"/>
            </w:pPr>
            <w:r>
              <w:t>MW</w:t>
            </w:r>
          </w:p>
        </w:tc>
        <w:tc>
          <w:tcPr>
            <w:tcW w:w="3725"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465F5">
        <w:trPr>
          <w:cantSplit/>
        </w:trPr>
        <w:tc>
          <w:tcPr>
            <w:tcW w:w="813"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61" w:type="pct"/>
          </w:tcPr>
          <w:p w14:paraId="7B7D06F6" w14:textId="77777777" w:rsidR="00881601" w:rsidRDefault="00881601" w:rsidP="00463C16">
            <w:pPr>
              <w:pStyle w:val="TableBody"/>
            </w:pPr>
            <w:r>
              <w:t>MW</w:t>
            </w:r>
          </w:p>
        </w:tc>
        <w:tc>
          <w:tcPr>
            <w:tcW w:w="3725"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465F5">
        <w:trPr>
          <w:cantSplit/>
        </w:trPr>
        <w:tc>
          <w:tcPr>
            <w:tcW w:w="813"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61" w:type="pct"/>
          </w:tcPr>
          <w:p w14:paraId="304B5DC4" w14:textId="77777777" w:rsidR="00881601" w:rsidRDefault="00881601" w:rsidP="00463C16">
            <w:pPr>
              <w:pStyle w:val="TableBody"/>
            </w:pPr>
            <w:r>
              <w:t>MWh</w:t>
            </w:r>
          </w:p>
        </w:tc>
        <w:tc>
          <w:tcPr>
            <w:tcW w:w="3725"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465F5">
        <w:trPr>
          <w:cantSplit/>
        </w:trPr>
        <w:tc>
          <w:tcPr>
            <w:tcW w:w="813" w:type="pct"/>
          </w:tcPr>
          <w:p w14:paraId="39008FD6" w14:textId="77777777" w:rsidR="00881601" w:rsidRDefault="00881601" w:rsidP="00463C16">
            <w:pPr>
              <w:pStyle w:val="TableBody"/>
            </w:pPr>
            <w:r>
              <w:rPr>
                <w:rFonts w:eastAsia="Calibri"/>
              </w:rPr>
              <w:lastRenderedPageBreak/>
              <w:t xml:space="preserve">URTAML </w:t>
            </w:r>
            <w:r w:rsidRPr="006C0ADB">
              <w:rPr>
                <w:rFonts w:eastAsia="Calibri"/>
                <w:i/>
                <w:vertAlign w:val="subscript"/>
              </w:rPr>
              <w:t>mp</w:t>
            </w:r>
          </w:p>
        </w:tc>
        <w:tc>
          <w:tcPr>
            <w:tcW w:w="461" w:type="pct"/>
          </w:tcPr>
          <w:p w14:paraId="659AE03A" w14:textId="77777777" w:rsidR="00881601" w:rsidRDefault="00881601" w:rsidP="00463C16">
            <w:pPr>
              <w:pStyle w:val="TableBody"/>
            </w:pPr>
            <w:r>
              <w:t>MWh</w:t>
            </w:r>
          </w:p>
        </w:tc>
        <w:tc>
          <w:tcPr>
            <w:tcW w:w="3725"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465F5">
        <w:trPr>
          <w:cantSplit/>
        </w:trPr>
        <w:tc>
          <w:tcPr>
            <w:tcW w:w="813"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61" w:type="pct"/>
          </w:tcPr>
          <w:p w14:paraId="0A4486EE" w14:textId="77777777" w:rsidR="00881601" w:rsidRDefault="00881601" w:rsidP="00463C16">
            <w:pPr>
              <w:pStyle w:val="TableBody"/>
            </w:pPr>
            <w:r>
              <w:t>MW</w:t>
            </w:r>
          </w:p>
        </w:tc>
        <w:tc>
          <w:tcPr>
            <w:tcW w:w="3725"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465F5">
        <w:trPr>
          <w:cantSplit/>
        </w:trPr>
        <w:tc>
          <w:tcPr>
            <w:tcW w:w="813"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61" w:type="pct"/>
          </w:tcPr>
          <w:p w14:paraId="7B280624" w14:textId="77777777" w:rsidR="00881601" w:rsidRDefault="00881601" w:rsidP="00463C16">
            <w:pPr>
              <w:pStyle w:val="TableBody"/>
            </w:pPr>
            <w:r>
              <w:t>MWh</w:t>
            </w:r>
          </w:p>
        </w:tc>
        <w:tc>
          <w:tcPr>
            <w:tcW w:w="3725"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465F5">
        <w:trPr>
          <w:cantSplit/>
        </w:trPr>
        <w:tc>
          <w:tcPr>
            <w:tcW w:w="813"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61" w:type="pct"/>
          </w:tcPr>
          <w:p w14:paraId="2ACFBF9A" w14:textId="77777777" w:rsidR="00881601" w:rsidRDefault="00881601" w:rsidP="00463C16">
            <w:pPr>
              <w:pStyle w:val="TableBody"/>
            </w:pPr>
            <w:r>
              <w:t>MW</w:t>
            </w:r>
          </w:p>
        </w:tc>
        <w:tc>
          <w:tcPr>
            <w:tcW w:w="3725"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465F5">
        <w:trPr>
          <w:cantSplit/>
        </w:trPr>
        <w:tc>
          <w:tcPr>
            <w:tcW w:w="813"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61" w:type="pct"/>
          </w:tcPr>
          <w:p w14:paraId="07D2DC5C" w14:textId="77777777" w:rsidR="00881601" w:rsidRDefault="00881601" w:rsidP="00463C16">
            <w:pPr>
              <w:pStyle w:val="TableBody"/>
            </w:pPr>
            <w:r>
              <w:t>MWh</w:t>
            </w:r>
          </w:p>
        </w:tc>
        <w:tc>
          <w:tcPr>
            <w:tcW w:w="3725"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465F5">
        <w:trPr>
          <w:cantSplit/>
        </w:trPr>
        <w:tc>
          <w:tcPr>
            <w:tcW w:w="813"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61" w:type="pct"/>
          </w:tcPr>
          <w:p w14:paraId="125E5134" w14:textId="77777777" w:rsidR="00881601" w:rsidRDefault="00881601" w:rsidP="00463C16">
            <w:pPr>
              <w:pStyle w:val="TableBody"/>
            </w:pPr>
            <w:r>
              <w:t>MW</w:t>
            </w:r>
          </w:p>
        </w:tc>
        <w:tc>
          <w:tcPr>
            <w:tcW w:w="3725"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465F5">
        <w:trPr>
          <w:cantSplit/>
        </w:trPr>
        <w:tc>
          <w:tcPr>
            <w:tcW w:w="813"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61" w:type="pct"/>
          </w:tcPr>
          <w:p w14:paraId="68676B5E" w14:textId="77777777" w:rsidR="00881601" w:rsidRDefault="00881601" w:rsidP="00463C16">
            <w:pPr>
              <w:pStyle w:val="TableBody"/>
            </w:pPr>
            <w:r>
              <w:t>MWh</w:t>
            </w:r>
          </w:p>
        </w:tc>
        <w:tc>
          <w:tcPr>
            <w:tcW w:w="3725"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465F5">
        <w:trPr>
          <w:cantSplit/>
        </w:trPr>
        <w:tc>
          <w:tcPr>
            <w:tcW w:w="813"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61" w:type="pct"/>
          </w:tcPr>
          <w:p w14:paraId="184F9306" w14:textId="77777777" w:rsidR="00881601" w:rsidRDefault="00881601" w:rsidP="00463C16">
            <w:pPr>
              <w:pStyle w:val="TableBody"/>
            </w:pPr>
            <w:r>
              <w:t>MW</w:t>
            </w:r>
          </w:p>
        </w:tc>
        <w:tc>
          <w:tcPr>
            <w:tcW w:w="3725"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465F5">
        <w:trPr>
          <w:cantSplit/>
        </w:trPr>
        <w:tc>
          <w:tcPr>
            <w:tcW w:w="813"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61" w:type="pct"/>
          </w:tcPr>
          <w:p w14:paraId="2236748C" w14:textId="77777777" w:rsidR="00881601" w:rsidRDefault="00881601" w:rsidP="00463C16">
            <w:pPr>
              <w:pStyle w:val="TableBody"/>
            </w:pPr>
            <w:r>
              <w:t>MWh</w:t>
            </w:r>
          </w:p>
        </w:tc>
        <w:tc>
          <w:tcPr>
            <w:tcW w:w="3725"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465F5">
        <w:trPr>
          <w:cantSplit/>
        </w:trPr>
        <w:tc>
          <w:tcPr>
            <w:tcW w:w="813" w:type="pct"/>
          </w:tcPr>
          <w:p w14:paraId="16C315A2" w14:textId="77777777" w:rsidR="00881601" w:rsidRDefault="00881601" w:rsidP="00463C16">
            <w:pPr>
              <w:pStyle w:val="TableBody"/>
            </w:pPr>
            <w:r>
              <w:t xml:space="preserve">RTOBL </w:t>
            </w:r>
            <w:r w:rsidRPr="004A7A0E">
              <w:rPr>
                <w:i/>
                <w:vertAlign w:val="subscript"/>
              </w:rPr>
              <w:t>mp, (j, k), h</w:t>
            </w:r>
          </w:p>
        </w:tc>
        <w:tc>
          <w:tcPr>
            <w:tcW w:w="461" w:type="pct"/>
          </w:tcPr>
          <w:p w14:paraId="5521B8B3" w14:textId="77777777" w:rsidR="00881601" w:rsidRDefault="00881601" w:rsidP="00463C16">
            <w:pPr>
              <w:pStyle w:val="TableBody"/>
            </w:pPr>
            <w:r>
              <w:t>MW</w:t>
            </w:r>
          </w:p>
        </w:tc>
        <w:tc>
          <w:tcPr>
            <w:tcW w:w="3725"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465F5">
        <w:trPr>
          <w:cantSplit/>
        </w:trPr>
        <w:tc>
          <w:tcPr>
            <w:tcW w:w="813"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61" w:type="pct"/>
          </w:tcPr>
          <w:p w14:paraId="410CB2EC" w14:textId="77777777" w:rsidR="00881601" w:rsidRDefault="00881601" w:rsidP="00463C16">
            <w:pPr>
              <w:pStyle w:val="TableBody"/>
              <w:rPr>
                <w:bCs/>
              </w:rPr>
            </w:pPr>
            <w:r>
              <w:t>MWh</w:t>
            </w:r>
          </w:p>
        </w:tc>
        <w:tc>
          <w:tcPr>
            <w:tcW w:w="3725"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465F5">
        <w:trPr>
          <w:cantSplit/>
        </w:trPr>
        <w:tc>
          <w:tcPr>
            <w:tcW w:w="813"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61" w:type="pct"/>
          </w:tcPr>
          <w:p w14:paraId="4DB03500" w14:textId="77777777" w:rsidR="00881601" w:rsidRDefault="00881601" w:rsidP="00463C16">
            <w:pPr>
              <w:pStyle w:val="TableBody"/>
              <w:rPr>
                <w:bCs/>
              </w:rPr>
            </w:pPr>
            <w:r>
              <w:rPr>
                <w:bCs/>
              </w:rPr>
              <w:t>MW</w:t>
            </w:r>
          </w:p>
        </w:tc>
        <w:tc>
          <w:tcPr>
            <w:tcW w:w="3725"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465F5">
        <w:trPr>
          <w:cantSplit/>
        </w:trPr>
        <w:tc>
          <w:tcPr>
            <w:tcW w:w="813"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61" w:type="pct"/>
          </w:tcPr>
          <w:p w14:paraId="139AAACD" w14:textId="77777777" w:rsidR="00881601" w:rsidRDefault="00881601" w:rsidP="00463C16">
            <w:pPr>
              <w:pStyle w:val="TableBody"/>
              <w:rPr>
                <w:bCs/>
              </w:rPr>
            </w:pPr>
            <w:r>
              <w:rPr>
                <w:bCs/>
              </w:rPr>
              <w:t>MW</w:t>
            </w:r>
          </w:p>
        </w:tc>
        <w:tc>
          <w:tcPr>
            <w:tcW w:w="3725"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465F5">
        <w:trPr>
          <w:cantSplit/>
        </w:trPr>
        <w:tc>
          <w:tcPr>
            <w:tcW w:w="813" w:type="pct"/>
          </w:tcPr>
          <w:p w14:paraId="69B8D7FD" w14:textId="77777777" w:rsidR="00881601" w:rsidRDefault="00881601" w:rsidP="00463C16">
            <w:pPr>
              <w:pStyle w:val="TableBody"/>
            </w:pPr>
            <w:r>
              <w:rPr>
                <w:bCs/>
              </w:rPr>
              <w:lastRenderedPageBreak/>
              <w:t xml:space="preserve">DAOPT </w:t>
            </w:r>
            <w:r w:rsidRPr="004A7A0E">
              <w:rPr>
                <w:rFonts w:eastAsia="Calibri"/>
                <w:i/>
                <w:vertAlign w:val="subscript"/>
              </w:rPr>
              <w:t>mp</w:t>
            </w:r>
            <w:r w:rsidRPr="004A7A0E">
              <w:rPr>
                <w:bCs/>
                <w:i/>
                <w:vertAlign w:val="subscript"/>
              </w:rPr>
              <w:t>, (j, k), h</w:t>
            </w:r>
          </w:p>
        </w:tc>
        <w:tc>
          <w:tcPr>
            <w:tcW w:w="461" w:type="pct"/>
          </w:tcPr>
          <w:p w14:paraId="7342EEC8" w14:textId="77777777" w:rsidR="00881601" w:rsidRDefault="00881601" w:rsidP="00463C16">
            <w:pPr>
              <w:pStyle w:val="TableBody"/>
            </w:pPr>
            <w:r>
              <w:rPr>
                <w:bCs/>
              </w:rPr>
              <w:t>MW</w:t>
            </w:r>
          </w:p>
        </w:tc>
        <w:tc>
          <w:tcPr>
            <w:tcW w:w="3725"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465F5">
        <w:trPr>
          <w:cantSplit/>
        </w:trPr>
        <w:tc>
          <w:tcPr>
            <w:tcW w:w="813"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61" w:type="pct"/>
          </w:tcPr>
          <w:p w14:paraId="63FF7269" w14:textId="77777777" w:rsidR="00881601" w:rsidRDefault="00881601" w:rsidP="00463C16">
            <w:pPr>
              <w:pStyle w:val="TableBody"/>
              <w:rPr>
                <w:bCs/>
              </w:rPr>
            </w:pPr>
            <w:r>
              <w:t>MWh</w:t>
            </w:r>
          </w:p>
        </w:tc>
        <w:tc>
          <w:tcPr>
            <w:tcW w:w="3725"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465F5">
        <w:trPr>
          <w:cantSplit/>
        </w:trPr>
        <w:tc>
          <w:tcPr>
            <w:tcW w:w="813"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61" w:type="pct"/>
          </w:tcPr>
          <w:p w14:paraId="6572F3E8" w14:textId="77777777" w:rsidR="00881601" w:rsidRDefault="00881601" w:rsidP="00463C16">
            <w:pPr>
              <w:pStyle w:val="TableBody"/>
            </w:pPr>
            <w:r>
              <w:rPr>
                <w:bCs/>
              </w:rPr>
              <w:t>MW</w:t>
            </w:r>
          </w:p>
        </w:tc>
        <w:tc>
          <w:tcPr>
            <w:tcW w:w="3725"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465F5">
        <w:trPr>
          <w:cantSplit/>
        </w:trPr>
        <w:tc>
          <w:tcPr>
            <w:tcW w:w="813"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61" w:type="pct"/>
          </w:tcPr>
          <w:p w14:paraId="7A44169F" w14:textId="77777777" w:rsidR="00881601" w:rsidRDefault="00881601" w:rsidP="00463C16">
            <w:pPr>
              <w:pStyle w:val="TableBody"/>
            </w:pPr>
            <w:r>
              <w:t>MWh</w:t>
            </w:r>
          </w:p>
        </w:tc>
        <w:tc>
          <w:tcPr>
            <w:tcW w:w="3725"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lastRenderedPageBreak/>
              <w:t>UOBLP</w:t>
            </w:r>
            <w:r w:rsidRPr="004A7A0E">
              <w:rPr>
                <w:rFonts w:eastAsia="Calibri"/>
                <w:i/>
              </w:rPr>
              <w:t xml:space="preserve">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E0FF7" w14:paraId="41B882BD"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3E0FF7" w14:paraId="7CAF9CD6" w14:textId="77777777" w:rsidTr="00D465F5">
              <w:trPr>
                <w:trHeight w:val="206"/>
              </w:trPr>
              <w:tc>
                <w:tcPr>
                  <w:tcW w:w="9427" w:type="dxa"/>
                  <w:shd w:val="pct12" w:color="auto" w:fill="auto"/>
                </w:tcPr>
                <w:p w14:paraId="6B14167D" w14:textId="55135881" w:rsidR="003E0FF7" w:rsidRPr="0018762D" w:rsidRDefault="003E0FF7" w:rsidP="0018762D">
                  <w:pPr>
                    <w:pStyle w:val="Instructions"/>
                    <w:spacing w:before="120"/>
                  </w:pPr>
                  <w:r>
                    <w:t>[NPRR</w:t>
                  </w:r>
                  <w:r>
                    <w:rPr>
                      <w:lang w:val="en-US"/>
                    </w:rPr>
                    <w:t>1</w:t>
                  </w:r>
                  <w:r w:rsidR="0018762D">
                    <w:rPr>
                      <w:lang w:val="en-US"/>
                    </w:rPr>
                    <w:t>201</w:t>
                  </w:r>
                  <w:r>
                    <w:t xml:space="preserve">:  </w:t>
                  </w:r>
                  <w:r w:rsidR="0018762D">
                    <w:rPr>
                      <w:lang w:val="en-US"/>
                    </w:rPr>
                    <w:t>Delete</w:t>
                  </w:r>
                  <w:r>
                    <w:t xml:space="preserve"> the variables </w:t>
                  </w:r>
                  <w:r w:rsidR="0018762D">
                    <w:rPr>
                      <w:lang w:val="en-US"/>
                    </w:rPr>
                    <w:t>“</w:t>
                  </w:r>
                  <w:r w:rsidR="0018762D">
                    <w:t xml:space="preserve">OPTS </w:t>
                  </w:r>
                  <w:r w:rsidR="0018762D" w:rsidRPr="004A7A0E">
                    <w:rPr>
                      <w:rFonts w:eastAsia="Calibri"/>
                      <w:vertAlign w:val="subscript"/>
                    </w:rPr>
                    <w:t>mp</w:t>
                  </w:r>
                  <w:r w:rsidR="0018762D" w:rsidRPr="004A7A0E">
                    <w:rPr>
                      <w:vertAlign w:val="subscript"/>
                    </w:rPr>
                    <w:t>, (j, k), a, h</w:t>
                  </w:r>
                  <w:r w:rsidR="0018762D">
                    <w:rPr>
                      <w:lang w:val="en-US"/>
                    </w:rPr>
                    <w:t>”, “</w:t>
                  </w:r>
                  <w:r w:rsidR="0018762D">
                    <w:rPr>
                      <w:rFonts w:eastAsia="Calibri"/>
                    </w:rPr>
                    <w:t xml:space="preserve">UOPTS </w:t>
                  </w:r>
                  <w:r w:rsidR="0018762D" w:rsidRPr="004A7A0E">
                    <w:rPr>
                      <w:rFonts w:eastAsia="Calibri"/>
                      <w:vertAlign w:val="subscript"/>
                    </w:rPr>
                    <w:t>mp</w:t>
                  </w:r>
                  <w:r w:rsidR="0018762D">
                    <w:rPr>
                      <w:lang w:val="en-US"/>
                    </w:rPr>
                    <w:t>”, “</w:t>
                  </w:r>
                  <w:r w:rsidR="007B05E5">
                    <w:t xml:space="preserve">OBLS </w:t>
                  </w:r>
                  <w:r w:rsidR="007B05E5" w:rsidRPr="004A7A0E">
                    <w:rPr>
                      <w:rFonts w:eastAsia="Calibri"/>
                      <w:vertAlign w:val="subscript"/>
                    </w:rPr>
                    <w:t>mp</w:t>
                  </w:r>
                  <w:r w:rsidR="007B05E5" w:rsidRPr="004A7A0E">
                    <w:rPr>
                      <w:vertAlign w:val="subscript"/>
                    </w:rPr>
                    <w:t>, (j, k), a, h</w:t>
                  </w:r>
                  <w:r w:rsidR="0018762D">
                    <w:rPr>
                      <w:lang w:val="en-US"/>
                    </w:rPr>
                    <w:t>”,</w:t>
                  </w:r>
                  <w:r w:rsidR="007B05E5">
                    <w:rPr>
                      <w:lang w:val="en-US"/>
                    </w:rPr>
                    <w:t xml:space="preserve"> “</w:t>
                  </w:r>
                  <w:r w:rsidR="007B05E5">
                    <w:rPr>
                      <w:rFonts w:eastAsia="Calibri"/>
                    </w:rPr>
                    <w:t xml:space="preserve">UOBLS </w:t>
                  </w:r>
                  <w:r w:rsidR="007B05E5" w:rsidRPr="004A7A0E">
                    <w:rPr>
                      <w:rFonts w:eastAsia="Calibri"/>
                      <w:vertAlign w:val="subscript"/>
                    </w:rPr>
                    <w:t>mp</w:t>
                  </w:r>
                  <w:r w:rsidR="007B05E5">
                    <w:rPr>
                      <w:lang w:val="en-US"/>
                    </w:rPr>
                    <w:t xml:space="preserve">”, </w:t>
                  </w:r>
                  <w:r w:rsidR="0018762D">
                    <w:rPr>
                      <w:lang w:val="en-US"/>
                    </w:rPr>
                    <w:t>“</w:t>
                  </w:r>
                  <w:r w:rsidR="007B05E5">
                    <w:t xml:space="preserve">OPTP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 xml:space="preserve">UOPTP </w:t>
                  </w:r>
                  <w:r w:rsidR="007B05E5" w:rsidRPr="004A7A0E">
                    <w:rPr>
                      <w:rFonts w:eastAsia="Calibri"/>
                      <w:vertAlign w:val="subscript"/>
                    </w:rPr>
                    <w:t>mp</w:t>
                  </w:r>
                  <w:r w:rsidR="0018762D">
                    <w:rPr>
                      <w:lang w:val="en-US"/>
                    </w:rPr>
                    <w:t>”, “</w:t>
                  </w:r>
                  <w:r w:rsidR="007B05E5">
                    <w:t xml:space="preserve">OBLP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UOBLP</w:t>
                  </w:r>
                  <w:r w:rsidR="007B05E5" w:rsidRPr="004A7A0E">
                    <w:rPr>
                      <w:rFonts w:eastAsia="Calibri"/>
                    </w:rPr>
                    <w:t xml:space="preserve"> </w:t>
                  </w:r>
                  <w:r w:rsidR="007B05E5" w:rsidRPr="004A7A0E">
                    <w:rPr>
                      <w:rFonts w:eastAsia="Calibri"/>
                      <w:vertAlign w:val="subscript"/>
                    </w:rPr>
                    <w:t>mp</w:t>
                  </w:r>
                  <w:r w:rsidR="0018762D">
                    <w:rPr>
                      <w:lang w:val="en-US"/>
                    </w:rPr>
                    <w:t>”</w:t>
                  </w:r>
                  <w:r w:rsidR="007B05E5">
                    <w:rPr>
                      <w:lang w:val="en-US"/>
                    </w:rPr>
                    <w:t xml:space="preserve"> </w:t>
                  </w:r>
                  <w:r w:rsidR="0018762D">
                    <w:rPr>
                      <w:lang w:val="en-US"/>
                    </w:rPr>
                    <w:t>above</w:t>
                  </w:r>
                  <w:r>
                    <w:t xml:space="preserve"> upon system implementation</w:t>
                  </w:r>
                  <w:r w:rsidR="00EF1E8A">
                    <w:rPr>
                      <w:lang w:val="en-US"/>
                    </w:rPr>
                    <w:t>.</w:t>
                  </w:r>
                  <w:r>
                    <w:t>]</w:t>
                  </w:r>
                </w:p>
              </w:tc>
            </w:tr>
          </w:tbl>
          <w:p w14:paraId="1B08F555" w14:textId="77777777" w:rsidR="003E0FF7" w:rsidRDefault="003E0FF7" w:rsidP="00FA0C07">
            <w:pPr>
              <w:pStyle w:val="TableBody"/>
              <w:rPr>
                <w:i/>
              </w:rPr>
            </w:pPr>
          </w:p>
        </w:tc>
      </w:tr>
      <w:tr w:rsidR="00326226" w14:paraId="59CBA00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61"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61"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lastRenderedPageBreak/>
              <w:t>USOGTOT</w:t>
            </w:r>
            <w:r w:rsidRPr="00DA2165">
              <w:rPr>
                <w:rFonts w:eastAsia="Calibri"/>
                <w:i/>
              </w:rPr>
              <w:t xml:space="preserve"> </w:t>
            </w:r>
            <w:r w:rsidRPr="00DA2165">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FA77FA" w:rsidRPr="0003648D" w14:paraId="50499E1F" w14:textId="77777777" w:rsidTr="00D465F5">
                    <w:trPr>
                      <w:cantSplit/>
                    </w:trPr>
                    <w:tc>
                      <w:tcPr>
                        <w:tcW w:w="1325"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9" w:type="pct"/>
                        <w:tcBorders>
                          <w:bottom w:val="single" w:sz="4" w:space="0" w:color="auto"/>
                        </w:tcBorders>
                      </w:tcPr>
                      <w:p w14:paraId="2F1FC266" w14:textId="5A4D3E09" w:rsidR="00FA77FA" w:rsidRPr="0003648D" w:rsidRDefault="00FA77FA" w:rsidP="00FA77FA">
                        <w:pPr>
                          <w:pStyle w:val="tablebody0"/>
                        </w:pPr>
                        <w:r w:rsidRPr="005D0F36">
                          <w:t>MWh</w:t>
                        </w:r>
                      </w:p>
                    </w:tc>
                    <w:tc>
                      <w:tcPr>
                        <w:tcW w:w="3275"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t xml:space="preserve">RTMGSOGZ </w:t>
            </w:r>
            <w:r w:rsidRPr="00DA2165">
              <w:rPr>
                <w:i/>
                <w:vertAlign w:val="subscript"/>
              </w:rPr>
              <w:t>mp. p, i</w:t>
            </w:r>
          </w:p>
        </w:tc>
        <w:tc>
          <w:tcPr>
            <w:tcW w:w="461"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lastRenderedPageBreak/>
              <w:t>MEBSOGNET</w:t>
            </w:r>
            <w:r w:rsidRPr="00DA2165">
              <w:rPr>
                <w:i/>
                <w:vertAlign w:val="subscript"/>
              </w:rPr>
              <w:t xml:space="preserve"> q, gsc</w:t>
            </w:r>
          </w:p>
        </w:tc>
        <w:tc>
          <w:tcPr>
            <w:tcW w:w="461"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116EF1" w:rsidRPr="0003648D" w14:paraId="15F816BD" w14:textId="77777777" w:rsidTr="00D465F5">
                    <w:trPr>
                      <w:cantSplit/>
                    </w:trPr>
                    <w:tc>
                      <w:tcPr>
                        <w:tcW w:w="1352"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407" w:type="pct"/>
                        <w:tcBorders>
                          <w:bottom w:val="single" w:sz="4" w:space="0" w:color="auto"/>
                        </w:tcBorders>
                      </w:tcPr>
                      <w:p w14:paraId="5D2C0A5E" w14:textId="6A2CC563" w:rsidR="00116EF1" w:rsidRPr="0003648D" w:rsidRDefault="00116EF1" w:rsidP="00116EF1">
                        <w:pPr>
                          <w:pStyle w:val="tablebody0"/>
                        </w:pPr>
                        <w:r>
                          <w:t>MWh</w:t>
                        </w:r>
                      </w:p>
                    </w:tc>
                    <w:tc>
                      <w:tcPr>
                        <w:tcW w:w="3241"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61"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61"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61"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61"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61"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61"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61"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725"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61"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61"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w:t>
      </w:r>
      <w:r w:rsidRPr="008436F5">
        <w:lastRenderedPageBreak/>
        <w:t>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 xml:space="preserve">Bank Business Day is not a Business Day.  If the fifth Bank Business </w:t>
      </w:r>
      <w:r>
        <w:lastRenderedPageBreak/>
        <w:t>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lastRenderedPageBreak/>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6"/>
      <w:footerReference w:type="defaul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2D6B1BCC" w:rsidR="007D681D" w:rsidRDefault="007D681D">
    <w:pPr>
      <w:pStyle w:val="Footer"/>
      <w:spacing w:before="0" w:after="0"/>
    </w:pPr>
    <w:r>
      <w:t xml:space="preserve">ERCOT Nodal Protocols – </w:t>
    </w:r>
    <w:r w:rsidR="003E0FF7">
      <w:t>March</w:t>
    </w:r>
    <w:r w:rsidR="0064455F">
      <w:t xml:space="preserve"> </w:t>
    </w:r>
    <w:r w:rsidR="003026B4">
      <w:t>1</w:t>
    </w:r>
    <w:r>
      <w:t>, 202</w:t>
    </w:r>
    <w:r w:rsidR="003E0FF7">
      <w:t>4</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79535A14" w:rsidR="007D681D" w:rsidRDefault="007D681D">
    <w:pPr>
      <w:pStyle w:val="Footer"/>
      <w:spacing w:before="0" w:after="0"/>
    </w:pPr>
    <w:r>
      <w:t xml:space="preserve">ERCOT Nodal Protocols – </w:t>
    </w:r>
    <w:r w:rsidR="003E0FF7">
      <w:t>March</w:t>
    </w:r>
    <w:r w:rsidR="0064455F">
      <w:t xml:space="preserve"> </w:t>
    </w:r>
    <w:r w:rsidR="003026B4">
      <w:t>1</w:t>
    </w:r>
    <w:r>
      <w:t>, 202</w:t>
    </w:r>
    <w:r w:rsidR="003E0FF7">
      <w:t>4</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6BC70695" w:rsidR="007D681D" w:rsidRDefault="007D681D">
    <w:pPr>
      <w:pStyle w:val="Footer"/>
      <w:spacing w:before="0" w:after="0"/>
      <w:rPr>
        <w:rStyle w:val="PageNumber"/>
      </w:rPr>
    </w:pPr>
    <w:r>
      <w:t xml:space="preserve">ERCOT Nodal Protocols – </w:t>
    </w:r>
    <w:r w:rsidR="003E0FF7">
      <w:t>March</w:t>
    </w:r>
    <w:r w:rsidR="0064455F">
      <w:t xml:space="preserve"> </w:t>
    </w:r>
    <w:r w:rsidR="003026B4">
      <w:t>1</w:t>
    </w:r>
    <w:r>
      <w:t>, 202</w:t>
    </w:r>
    <w:r w:rsidR="003E0FF7">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17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2258"/>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8762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6B4"/>
    <w:rsid w:val="0030285A"/>
    <w:rsid w:val="003035B1"/>
    <w:rsid w:val="00303D8F"/>
    <w:rsid w:val="003060F3"/>
    <w:rsid w:val="003061A0"/>
    <w:rsid w:val="00306300"/>
    <w:rsid w:val="00306A37"/>
    <w:rsid w:val="00310475"/>
    <w:rsid w:val="00311602"/>
    <w:rsid w:val="00311E1F"/>
    <w:rsid w:val="003135A1"/>
    <w:rsid w:val="00313E64"/>
    <w:rsid w:val="00314D14"/>
    <w:rsid w:val="00321B52"/>
    <w:rsid w:val="00322069"/>
    <w:rsid w:val="00324EB2"/>
    <w:rsid w:val="00326226"/>
    <w:rsid w:val="00343EDE"/>
    <w:rsid w:val="003459E3"/>
    <w:rsid w:val="003460D2"/>
    <w:rsid w:val="00350834"/>
    <w:rsid w:val="00351268"/>
    <w:rsid w:val="00351A42"/>
    <w:rsid w:val="0035251C"/>
    <w:rsid w:val="00353B99"/>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7D7"/>
    <w:rsid w:val="003E08C1"/>
    <w:rsid w:val="003E0FF7"/>
    <w:rsid w:val="003E1247"/>
    <w:rsid w:val="003E15FE"/>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43F8"/>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569E"/>
    <w:rsid w:val="00445B41"/>
    <w:rsid w:val="00445B98"/>
    <w:rsid w:val="0044617F"/>
    <w:rsid w:val="00446BD6"/>
    <w:rsid w:val="00446EFA"/>
    <w:rsid w:val="00447305"/>
    <w:rsid w:val="00447DED"/>
    <w:rsid w:val="00455407"/>
    <w:rsid w:val="00456467"/>
    <w:rsid w:val="00457513"/>
    <w:rsid w:val="00457834"/>
    <w:rsid w:val="00462F4A"/>
    <w:rsid w:val="00463997"/>
    <w:rsid w:val="00463C16"/>
    <w:rsid w:val="00464C0B"/>
    <w:rsid w:val="004650F4"/>
    <w:rsid w:val="0046574D"/>
    <w:rsid w:val="004658AF"/>
    <w:rsid w:val="00466379"/>
    <w:rsid w:val="00466A21"/>
    <w:rsid w:val="00466EC2"/>
    <w:rsid w:val="00470219"/>
    <w:rsid w:val="0047159D"/>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66D"/>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9F3"/>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455F"/>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2D58"/>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E76AA"/>
    <w:rsid w:val="006F3394"/>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5E5"/>
    <w:rsid w:val="007B06D6"/>
    <w:rsid w:val="007B102B"/>
    <w:rsid w:val="007B1EEB"/>
    <w:rsid w:val="007B2A42"/>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47D0"/>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9F7EBA"/>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410"/>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36A1"/>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3B4"/>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465F5"/>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1CA0"/>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27A9C"/>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0C03"/>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1E8A"/>
    <w:rsid w:val="00EF3F35"/>
    <w:rsid w:val="00EF65A8"/>
    <w:rsid w:val="00EF75AB"/>
    <w:rsid w:val="00EF77C2"/>
    <w:rsid w:val="00F01559"/>
    <w:rsid w:val="00F0208D"/>
    <w:rsid w:val="00F0225C"/>
    <w:rsid w:val="00F030CF"/>
    <w:rsid w:val="00F033E3"/>
    <w:rsid w:val="00F05C1E"/>
    <w:rsid w:val="00F06F10"/>
    <w:rsid w:val="00F07C8A"/>
    <w:rsid w:val="00F112AD"/>
    <w:rsid w:val="00F12EDA"/>
    <w:rsid w:val="00F15F9D"/>
    <w:rsid w:val="00F168B9"/>
    <w:rsid w:val="00F17176"/>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76EA"/>
    <w:rsid w:val="00FD073D"/>
    <w:rsid w:val="00FD28C1"/>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201729"/>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3E0FF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D465F5"/>
    <w:pPr>
      <w:tabs>
        <w:tab w:val="left" w:pos="2340"/>
        <w:tab w:val="left" w:pos="3420"/>
      </w:tabs>
      <w:spacing w:before="240"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D465F5"/>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63</Pages>
  <Words>22157</Words>
  <Characters>126295</Characters>
  <Application>Microsoft Office Word</Application>
  <DocSecurity>0</DocSecurity>
  <Lines>1052</Lines>
  <Paragraphs>296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148156</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3</cp:revision>
  <cp:lastPrinted>2019-04-29T20:58:00Z</cp:lastPrinted>
  <dcterms:created xsi:type="dcterms:W3CDTF">2024-02-28T21:57:00Z</dcterms:created>
  <dcterms:modified xsi:type="dcterms:W3CDTF">2024-02-28T22:00:00Z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2023-07-28T14:17:20Z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b83e49ab-1415-4afe-b2b8-c1a387c14528</vt:lpwstr>
  </property>
  <property fmtid="{D5CDD505-2E9C-101B-9397-08002B2CF9AE}" pid="8" name="MSIP_Label_7084cbda-52b8-46fb-a7b7-cb5bd465ed85_ContentBits">
    <vt:lpwstr>0</vt:lpwstr>
  </property>
</Properties>
</file>