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tblW w:w="4449" w:type="pct"/>
        <w:tblCellMar>
          <w:left w:w="0" w:type="dxa"/>
          <w:right w:w="0" w:type="dxa"/>
        </w:tblCellMar>
        <w:tblLook w:val="04A0" w:firstRow="1" w:lastRow="0" w:firstColumn="1" w:lastColumn="0" w:noHBand="0" w:noVBand="1"/>
      </w:tblPr>
      <w:tblGrid>
        <w:gridCol w:w="1720"/>
        <w:gridCol w:w="7155"/>
        <w:gridCol w:w="1223"/>
        <w:gridCol w:w="2697"/>
      </w:tblGrid>
      <w:tr w:rsidR="00B61DE4" w14:paraId="28F6012B" w14:textId="77777777" w:rsidTr="00B61DE4">
        <w:tc>
          <w:tcPr>
            <w:tcW w:w="672" w:type="pct"/>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14:paraId="473D83C1" w14:textId="77777777" w:rsidR="00B61DE4" w:rsidRDefault="00B61DE4" w:rsidP="007645F8">
            <w:pPr>
              <w:spacing w:line="252" w:lineRule="auto"/>
              <w:rPr>
                <w:b/>
                <w:bCs/>
                <w:color w:val="FFFFFF"/>
                <w:sz w:val="20"/>
                <w:szCs w:val="20"/>
              </w:rPr>
            </w:pPr>
            <w:r>
              <w:rPr>
                <w:b/>
                <w:bCs/>
                <w:color w:val="FFFFFF"/>
                <w:sz w:val="20"/>
                <w:szCs w:val="20"/>
              </w:rPr>
              <w:t>REV REQ NO.</w:t>
            </w:r>
          </w:p>
        </w:tc>
        <w:tc>
          <w:tcPr>
            <w:tcW w:w="2796" w:type="pct"/>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1DF46AD1" w14:textId="77777777" w:rsidR="00B61DE4" w:rsidRDefault="00B61DE4" w:rsidP="007645F8">
            <w:pPr>
              <w:spacing w:line="252" w:lineRule="auto"/>
              <w:rPr>
                <w:b/>
                <w:bCs/>
                <w:color w:val="FFFFFF"/>
                <w:sz w:val="20"/>
                <w:szCs w:val="20"/>
              </w:rPr>
            </w:pPr>
            <w:r>
              <w:rPr>
                <w:b/>
                <w:bCs/>
                <w:color w:val="FFFFFF"/>
                <w:sz w:val="20"/>
                <w:szCs w:val="20"/>
              </w:rPr>
              <w:t>DESCRIPTION</w:t>
            </w:r>
          </w:p>
        </w:tc>
        <w:tc>
          <w:tcPr>
            <w:tcW w:w="478" w:type="pct"/>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44B29663" w14:textId="77777777" w:rsidR="00B61DE4" w:rsidRDefault="00B61DE4" w:rsidP="007645F8">
            <w:pPr>
              <w:spacing w:line="252" w:lineRule="auto"/>
              <w:jc w:val="center"/>
              <w:rPr>
                <w:b/>
                <w:bCs/>
                <w:color w:val="FFFFFF"/>
                <w:sz w:val="20"/>
                <w:szCs w:val="20"/>
              </w:rPr>
            </w:pPr>
            <w:r>
              <w:rPr>
                <w:b/>
                <w:bCs/>
                <w:color w:val="FFFFFF"/>
                <w:sz w:val="20"/>
                <w:szCs w:val="20"/>
              </w:rPr>
              <w:t>URGENT</w:t>
            </w:r>
          </w:p>
        </w:tc>
        <w:tc>
          <w:tcPr>
            <w:tcW w:w="1054" w:type="pct"/>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43D3A1E1" w14:textId="77777777" w:rsidR="00B61DE4" w:rsidRDefault="00B61DE4" w:rsidP="007645F8">
            <w:pPr>
              <w:spacing w:line="252" w:lineRule="auto"/>
              <w:rPr>
                <w:b/>
                <w:bCs/>
                <w:color w:val="FFFFFF"/>
                <w:sz w:val="20"/>
                <w:szCs w:val="20"/>
              </w:rPr>
            </w:pPr>
            <w:r>
              <w:rPr>
                <w:b/>
                <w:bCs/>
                <w:color w:val="FFFFFF"/>
                <w:sz w:val="20"/>
                <w:szCs w:val="20"/>
              </w:rPr>
              <w:t>ERCOT Opinion</w:t>
            </w:r>
          </w:p>
        </w:tc>
      </w:tr>
      <w:tr w:rsidR="00B61DE4" w14:paraId="7329A252" w14:textId="77777777" w:rsidTr="00B61DE4">
        <w:tc>
          <w:tcPr>
            <w:tcW w:w="6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978C97" w14:textId="77777777" w:rsidR="00B61DE4" w:rsidRDefault="00B61DE4" w:rsidP="007645F8">
            <w:pPr>
              <w:spacing w:line="252" w:lineRule="auto"/>
              <w:rPr>
                <w:b/>
                <w:bCs/>
                <w:color w:val="000000"/>
                <w:sz w:val="20"/>
                <w:szCs w:val="20"/>
              </w:rPr>
            </w:pPr>
            <w:r>
              <w:rPr>
                <w:rFonts w:cs="Calibri"/>
                <w:b/>
                <w:bCs/>
                <w:color w:val="000000"/>
                <w:sz w:val="20"/>
                <w:szCs w:val="20"/>
              </w:rPr>
              <w:t>027SMOGRR</w:t>
            </w:r>
          </w:p>
        </w:tc>
        <w:tc>
          <w:tcPr>
            <w:tcW w:w="2796" w:type="pct"/>
            <w:tcBorders>
              <w:top w:val="nil"/>
              <w:left w:val="nil"/>
              <w:bottom w:val="single" w:sz="8" w:space="0" w:color="auto"/>
              <w:right w:val="single" w:sz="8" w:space="0" w:color="auto"/>
            </w:tcBorders>
            <w:tcMar>
              <w:top w:w="0" w:type="dxa"/>
              <w:left w:w="108" w:type="dxa"/>
              <w:bottom w:w="0" w:type="dxa"/>
              <w:right w:w="108" w:type="dxa"/>
            </w:tcMar>
            <w:hideMark/>
          </w:tcPr>
          <w:p w14:paraId="50F938A6" w14:textId="77777777" w:rsidR="00B61DE4" w:rsidRDefault="00B61DE4" w:rsidP="007645F8">
            <w:pPr>
              <w:spacing w:line="252" w:lineRule="auto"/>
              <w:rPr>
                <w:b/>
                <w:bCs/>
                <w:color w:val="000000"/>
                <w:sz w:val="20"/>
                <w:szCs w:val="20"/>
              </w:rPr>
            </w:pPr>
            <w:r>
              <w:rPr>
                <w:rFonts w:cs="Calibri"/>
                <w:b/>
                <w:bCs/>
                <w:color w:val="000000"/>
                <w:sz w:val="20"/>
                <w:szCs w:val="20"/>
              </w:rPr>
              <w:t xml:space="preserve">Move OBD to Settlement Metering Operating Guide – EPS Metering Design Proposal.  </w:t>
            </w:r>
            <w:r>
              <w:rPr>
                <w:rFonts w:cs="Calibri"/>
                <w:color w:val="000000"/>
                <w:sz w:val="20"/>
                <w:szCs w:val="20"/>
              </w:rPr>
              <w:t xml:space="preserve">This Settlement Metering Operating Guide Revision Request (SMOGRR) moves the EPS Metering Design Proposal from the Other Binding Document List into the Settlement Metering Operating Guide to standardize the approval process, and amends the design proposal form to require additional information identifying </w:t>
            </w:r>
            <w:proofErr w:type="gramStart"/>
            <w:r>
              <w:rPr>
                <w:rFonts w:cs="Calibri"/>
                <w:color w:val="000000"/>
                <w:sz w:val="20"/>
                <w:szCs w:val="20"/>
              </w:rPr>
              <w:t>any and all</w:t>
            </w:r>
            <w:proofErr w:type="gramEnd"/>
            <w:r>
              <w:rPr>
                <w:rFonts w:cs="Calibri"/>
                <w:color w:val="000000"/>
                <w:sz w:val="20"/>
                <w:szCs w:val="20"/>
              </w:rPr>
              <w:t xml:space="preserve"> Distribution Service Providers (DSPs) that have the right to serve a project. The amendments also make clear that this requirement does not apply to Wholesale Storage Load (WSL), and deletes references to the Resource Asset Registration Form (RARF) in the ERCOT-Polled Settlement (EPS) Metering Design Proposal form.  [ERCOT]</w:t>
            </w:r>
          </w:p>
        </w:tc>
        <w:tc>
          <w:tcPr>
            <w:tcW w:w="478" w:type="pct"/>
            <w:tcBorders>
              <w:top w:val="nil"/>
              <w:left w:val="nil"/>
              <w:bottom w:val="single" w:sz="8" w:space="0" w:color="auto"/>
              <w:right w:val="single" w:sz="8" w:space="0" w:color="auto"/>
            </w:tcBorders>
            <w:tcMar>
              <w:top w:w="0" w:type="dxa"/>
              <w:left w:w="108" w:type="dxa"/>
              <w:bottom w:w="0" w:type="dxa"/>
              <w:right w:w="108" w:type="dxa"/>
            </w:tcMar>
            <w:hideMark/>
          </w:tcPr>
          <w:p w14:paraId="03FF1033" w14:textId="77777777" w:rsidR="00B61DE4" w:rsidRDefault="00B61DE4" w:rsidP="007645F8">
            <w:pPr>
              <w:spacing w:line="252" w:lineRule="auto"/>
              <w:jc w:val="center"/>
              <w:rPr>
                <w:color w:val="000000"/>
                <w:sz w:val="20"/>
                <w:szCs w:val="20"/>
              </w:rPr>
            </w:pPr>
            <w:r>
              <w:rPr>
                <w:rFonts w:cs="Calibri"/>
                <w:color w:val="000000"/>
                <w:sz w:val="20"/>
                <w:szCs w:val="20"/>
              </w:rPr>
              <w:t>N</w:t>
            </w:r>
          </w:p>
        </w:tc>
        <w:tc>
          <w:tcPr>
            <w:tcW w:w="1054" w:type="pct"/>
            <w:tcBorders>
              <w:top w:val="nil"/>
              <w:left w:val="nil"/>
              <w:bottom w:val="single" w:sz="8" w:space="0" w:color="auto"/>
              <w:right w:val="single" w:sz="8" w:space="0" w:color="auto"/>
            </w:tcBorders>
            <w:tcMar>
              <w:top w:w="0" w:type="dxa"/>
              <w:left w:w="108" w:type="dxa"/>
              <w:bottom w:w="0" w:type="dxa"/>
              <w:right w:w="108" w:type="dxa"/>
            </w:tcMar>
            <w:hideMark/>
          </w:tcPr>
          <w:p w14:paraId="5AAB27FB" w14:textId="43DAEA5F" w:rsidR="00B61DE4" w:rsidRPr="003B0E32" w:rsidRDefault="00B61DE4" w:rsidP="007645F8">
            <w:pPr>
              <w:spacing w:line="252" w:lineRule="auto"/>
              <w:rPr>
                <w:b/>
                <w:bCs/>
                <w:sz w:val="20"/>
                <w:szCs w:val="20"/>
              </w:rPr>
            </w:pPr>
            <w:r>
              <w:rPr>
                <w:color w:val="000000"/>
                <w:sz w:val="20"/>
                <w:szCs w:val="20"/>
              </w:rPr>
              <w:t xml:space="preserve">IMM has no opinion on </w:t>
            </w:r>
            <w:r>
              <w:rPr>
                <w:sz w:val="20"/>
                <w:szCs w:val="20"/>
              </w:rPr>
              <w:t>SMOGRR027.</w:t>
            </w:r>
          </w:p>
        </w:tc>
      </w:tr>
      <w:tr w:rsidR="00B61DE4" w14:paraId="2D3E4A0F" w14:textId="77777777" w:rsidTr="00B61DE4">
        <w:tc>
          <w:tcPr>
            <w:tcW w:w="67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F451156" w14:textId="77777777" w:rsidR="00B61DE4" w:rsidRDefault="00B61DE4" w:rsidP="007645F8">
            <w:pPr>
              <w:spacing w:line="252" w:lineRule="auto"/>
              <w:rPr>
                <w:b/>
                <w:bCs/>
                <w:color w:val="000000"/>
                <w:sz w:val="20"/>
                <w:szCs w:val="20"/>
              </w:rPr>
            </w:pPr>
            <w:r>
              <w:rPr>
                <w:rFonts w:cs="Calibri"/>
                <w:b/>
                <w:bCs/>
                <w:color w:val="000000"/>
                <w:sz w:val="20"/>
                <w:szCs w:val="20"/>
              </w:rPr>
              <w:t>030SMOGRR</w:t>
            </w:r>
          </w:p>
        </w:tc>
        <w:tc>
          <w:tcPr>
            <w:tcW w:w="2796" w:type="pct"/>
            <w:tcBorders>
              <w:top w:val="nil"/>
              <w:left w:val="nil"/>
              <w:bottom w:val="single" w:sz="8" w:space="0" w:color="auto"/>
              <w:right w:val="single" w:sz="8" w:space="0" w:color="auto"/>
            </w:tcBorders>
            <w:tcMar>
              <w:top w:w="0" w:type="dxa"/>
              <w:left w:w="108" w:type="dxa"/>
              <w:bottom w:w="0" w:type="dxa"/>
              <w:right w:w="108" w:type="dxa"/>
            </w:tcMar>
          </w:tcPr>
          <w:p w14:paraId="37B6D94C" w14:textId="77777777" w:rsidR="00B61DE4" w:rsidRDefault="00B61DE4" w:rsidP="007645F8">
            <w:pPr>
              <w:spacing w:line="252" w:lineRule="auto"/>
              <w:rPr>
                <w:b/>
                <w:bCs/>
                <w:sz w:val="20"/>
                <w:szCs w:val="20"/>
              </w:rPr>
            </w:pPr>
            <w:r>
              <w:rPr>
                <w:rFonts w:cs="Calibri"/>
                <w:b/>
                <w:bCs/>
                <w:color w:val="000000"/>
                <w:sz w:val="20"/>
                <w:szCs w:val="20"/>
              </w:rPr>
              <w:t xml:space="preserve">Move OBD to Settlement Metering Operating Guide – EPS Metering Facility Temporary Exemption Request Application Form. </w:t>
            </w:r>
            <w:r>
              <w:rPr>
                <w:rFonts w:cs="Calibri"/>
                <w:color w:val="000000"/>
                <w:sz w:val="20"/>
                <w:szCs w:val="20"/>
              </w:rPr>
              <w:t xml:space="preserve"> This Settlement Metering Operating Guide Revision Request (SMOGRR) moves the EPS Metering Facility Temporary Exemption Request Application Form from the Other Binding Document List into the Settlement Metering Operating Guide to standardize the approval process.  [ERCOT]</w:t>
            </w:r>
          </w:p>
        </w:tc>
        <w:tc>
          <w:tcPr>
            <w:tcW w:w="478" w:type="pct"/>
            <w:tcBorders>
              <w:top w:val="nil"/>
              <w:left w:val="nil"/>
              <w:bottom w:val="single" w:sz="8" w:space="0" w:color="auto"/>
              <w:right w:val="single" w:sz="8" w:space="0" w:color="auto"/>
            </w:tcBorders>
            <w:tcMar>
              <w:top w:w="0" w:type="dxa"/>
              <w:left w:w="108" w:type="dxa"/>
              <w:bottom w:w="0" w:type="dxa"/>
              <w:right w:w="108" w:type="dxa"/>
            </w:tcMar>
          </w:tcPr>
          <w:p w14:paraId="7CBB1644" w14:textId="77777777" w:rsidR="00B61DE4" w:rsidRDefault="00B61DE4" w:rsidP="007645F8">
            <w:pPr>
              <w:spacing w:line="252" w:lineRule="auto"/>
              <w:jc w:val="center"/>
              <w:rPr>
                <w:sz w:val="20"/>
                <w:szCs w:val="20"/>
              </w:rPr>
            </w:pPr>
            <w:r>
              <w:rPr>
                <w:rFonts w:cs="Calibri"/>
                <w:color w:val="000000"/>
                <w:sz w:val="20"/>
                <w:szCs w:val="20"/>
              </w:rPr>
              <w:t>N</w:t>
            </w:r>
          </w:p>
        </w:tc>
        <w:tc>
          <w:tcPr>
            <w:tcW w:w="1054" w:type="pct"/>
            <w:tcBorders>
              <w:top w:val="nil"/>
              <w:left w:val="nil"/>
              <w:bottom w:val="single" w:sz="8" w:space="0" w:color="auto"/>
              <w:right w:val="single" w:sz="8" w:space="0" w:color="auto"/>
            </w:tcBorders>
            <w:tcMar>
              <w:top w:w="0" w:type="dxa"/>
              <w:left w:w="108" w:type="dxa"/>
              <w:bottom w:w="0" w:type="dxa"/>
              <w:right w:w="108" w:type="dxa"/>
            </w:tcMar>
          </w:tcPr>
          <w:p w14:paraId="5C2908AA" w14:textId="774E8A0B" w:rsidR="00B61DE4" w:rsidRDefault="00B61DE4" w:rsidP="007645F8">
            <w:pPr>
              <w:spacing w:line="252" w:lineRule="auto"/>
              <w:rPr>
                <w:sz w:val="20"/>
                <w:szCs w:val="20"/>
              </w:rPr>
            </w:pPr>
            <w:r>
              <w:rPr>
                <w:color w:val="000000"/>
                <w:sz w:val="20"/>
                <w:szCs w:val="20"/>
              </w:rPr>
              <w:t xml:space="preserve">IMM has no opinion on </w:t>
            </w:r>
            <w:r>
              <w:rPr>
                <w:sz w:val="20"/>
                <w:szCs w:val="20"/>
              </w:rPr>
              <w:t>SMOGRR030.</w:t>
            </w:r>
          </w:p>
        </w:tc>
      </w:tr>
      <w:tr w:rsidR="00B61DE4" w:rsidRPr="000F580F" w14:paraId="547507FF" w14:textId="77777777" w:rsidTr="00B61DE4">
        <w:tc>
          <w:tcPr>
            <w:tcW w:w="67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9ABF54B" w14:textId="77777777" w:rsidR="00B61DE4" w:rsidRDefault="00B61DE4" w:rsidP="007645F8">
            <w:pPr>
              <w:spacing w:line="252" w:lineRule="auto"/>
              <w:rPr>
                <w:b/>
                <w:bCs/>
                <w:color w:val="000000"/>
                <w:sz w:val="20"/>
                <w:szCs w:val="20"/>
              </w:rPr>
            </w:pPr>
            <w:r>
              <w:rPr>
                <w:rFonts w:cs="Calibri"/>
                <w:b/>
                <w:bCs/>
                <w:color w:val="000000"/>
                <w:sz w:val="20"/>
                <w:szCs w:val="20"/>
              </w:rPr>
              <w:t>074LPGRR</w:t>
            </w:r>
          </w:p>
        </w:tc>
        <w:tc>
          <w:tcPr>
            <w:tcW w:w="2796" w:type="pct"/>
            <w:tcBorders>
              <w:top w:val="nil"/>
              <w:left w:val="nil"/>
              <w:bottom w:val="single" w:sz="8" w:space="0" w:color="auto"/>
              <w:right w:val="single" w:sz="8" w:space="0" w:color="auto"/>
            </w:tcBorders>
            <w:tcMar>
              <w:top w:w="0" w:type="dxa"/>
              <w:left w:w="108" w:type="dxa"/>
              <w:bottom w:w="0" w:type="dxa"/>
              <w:right w:w="108" w:type="dxa"/>
            </w:tcMar>
          </w:tcPr>
          <w:p w14:paraId="64EE21E6" w14:textId="77777777" w:rsidR="00B61DE4" w:rsidRDefault="00B61DE4" w:rsidP="007645F8">
            <w:pPr>
              <w:spacing w:line="252" w:lineRule="auto"/>
              <w:rPr>
                <w:b/>
                <w:bCs/>
                <w:sz w:val="20"/>
                <w:szCs w:val="20"/>
              </w:rPr>
            </w:pPr>
            <w:r>
              <w:rPr>
                <w:rFonts w:cs="Calibri"/>
                <w:b/>
                <w:bCs/>
                <w:color w:val="000000"/>
                <w:sz w:val="20"/>
                <w:szCs w:val="20"/>
              </w:rPr>
              <w:t xml:space="preserve">Align Definitions of IDRRQ, LRG, and LRGDG.  </w:t>
            </w:r>
            <w:r>
              <w:rPr>
                <w:rFonts w:cs="Calibri"/>
                <w:color w:val="000000"/>
                <w:sz w:val="20"/>
                <w:szCs w:val="20"/>
              </w:rPr>
              <w:t>This Load Planning Guide Revision Request (LPGRR) aligns IDRRQ, LRG, and LRGDG term language in the Profile Decision Tree “Definitions” worksheet with Profile Segment language that was added to the “Segment Assignment” worksheet upon the Public Utility Commission of Texas’s (PUCT’s) approval of LPGRR069, Add Lubbock Zip Codes and Clarify BUSIDRRQ/BUSLRG (DG) Assignments, at their December 15, 2022 meeting.  [PWG]</w:t>
            </w:r>
          </w:p>
        </w:tc>
        <w:tc>
          <w:tcPr>
            <w:tcW w:w="478" w:type="pct"/>
            <w:tcBorders>
              <w:top w:val="nil"/>
              <w:left w:val="nil"/>
              <w:bottom w:val="single" w:sz="8" w:space="0" w:color="auto"/>
              <w:right w:val="single" w:sz="8" w:space="0" w:color="auto"/>
            </w:tcBorders>
            <w:tcMar>
              <w:top w:w="0" w:type="dxa"/>
              <w:left w:w="108" w:type="dxa"/>
              <w:bottom w:w="0" w:type="dxa"/>
              <w:right w:w="108" w:type="dxa"/>
            </w:tcMar>
          </w:tcPr>
          <w:p w14:paraId="1E9764BA" w14:textId="77777777" w:rsidR="00B61DE4" w:rsidRDefault="00B61DE4" w:rsidP="007645F8">
            <w:pPr>
              <w:spacing w:line="252" w:lineRule="auto"/>
              <w:jc w:val="center"/>
              <w:rPr>
                <w:sz w:val="20"/>
                <w:szCs w:val="20"/>
              </w:rPr>
            </w:pPr>
            <w:r>
              <w:rPr>
                <w:rFonts w:cs="Calibri"/>
                <w:color w:val="000000"/>
                <w:sz w:val="20"/>
                <w:szCs w:val="20"/>
              </w:rPr>
              <w:t>N</w:t>
            </w:r>
          </w:p>
        </w:tc>
        <w:tc>
          <w:tcPr>
            <w:tcW w:w="1054" w:type="pct"/>
            <w:tcBorders>
              <w:top w:val="nil"/>
              <w:left w:val="nil"/>
              <w:bottom w:val="single" w:sz="8" w:space="0" w:color="auto"/>
              <w:right w:val="single" w:sz="8" w:space="0" w:color="auto"/>
            </w:tcBorders>
            <w:tcMar>
              <w:top w:w="0" w:type="dxa"/>
              <w:left w:w="108" w:type="dxa"/>
              <w:bottom w:w="0" w:type="dxa"/>
              <w:right w:w="108" w:type="dxa"/>
            </w:tcMar>
          </w:tcPr>
          <w:p w14:paraId="63D3EE97" w14:textId="3780A1C4" w:rsidR="00B61DE4" w:rsidRPr="000F580F" w:rsidRDefault="00B61DE4" w:rsidP="007645F8">
            <w:pPr>
              <w:spacing w:line="252" w:lineRule="auto"/>
              <w:rPr>
                <w:sz w:val="20"/>
                <w:szCs w:val="20"/>
              </w:rPr>
            </w:pPr>
            <w:r>
              <w:rPr>
                <w:sz w:val="20"/>
                <w:szCs w:val="20"/>
              </w:rPr>
              <w:t xml:space="preserve">IMM has no opinion on </w:t>
            </w:r>
            <w:r w:rsidRPr="000F580F">
              <w:rPr>
                <w:sz w:val="20"/>
                <w:szCs w:val="20"/>
              </w:rPr>
              <w:t>LPGRR074.</w:t>
            </w:r>
          </w:p>
        </w:tc>
      </w:tr>
      <w:tr w:rsidR="00B61DE4" w:rsidRPr="000F580F" w14:paraId="5CF111F6" w14:textId="77777777" w:rsidTr="00B61DE4">
        <w:tc>
          <w:tcPr>
            <w:tcW w:w="67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8C0A61E" w14:textId="77777777" w:rsidR="00B61DE4" w:rsidRDefault="00B61DE4" w:rsidP="007645F8">
            <w:pPr>
              <w:spacing w:line="252" w:lineRule="auto"/>
              <w:rPr>
                <w:b/>
                <w:bCs/>
                <w:color w:val="000000"/>
                <w:sz w:val="20"/>
                <w:szCs w:val="20"/>
              </w:rPr>
            </w:pPr>
            <w:r>
              <w:rPr>
                <w:rFonts w:cs="Calibri"/>
                <w:b/>
                <w:bCs/>
                <w:color w:val="000000"/>
                <w:sz w:val="20"/>
                <w:szCs w:val="20"/>
              </w:rPr>
              <w:t>1199NPRR</w:t>
            </w:r>
          </w:p>
        </w:tc>
        <w:tc>
          <w:tcPr>
            <w:tcW w:w="2796" w:type="pct"/>
            <w:tcBorders>
              <w:top w:val="nil"/>
              <w:left w:val="nil"/>
              <w:bottom w:val="single" w:sz="8" w:space="0" w:color="auto"/>
              <w:right w:val="single" w:sz="8" w:space="0" w:color="auto"/>
            </w:tcBorders>
            <w:tcMar>
              <w:top w:w="0" w:type="dxa"/>
              <w:left w:w="108" w:type="dxa"/>
              <w:bottom w:w="0" w:type="dxa"/>
              <w:right w:w="108" w:type="dxa"/>
            </w:tcMar>
          </w:tcPr>
          <w:p w14:paraId="01B196A2" w14:textId="77777777" w:rsidR="00B61DE4" w:rsidRDefault="00B61DE4" w:rsidP="007645F8">
            <w:pPr>
              <w:spacing w:line="252" w:lineRule="auto"/>
              <w:rPr>
                <w:b/>
                <w:bCs/>
                <w:color w:val="000000"/>
                <w:sz w:val="20"/>
                <w:szCs w:val="20"/>
              </w:rPr>
            </w:pPr>
            <w:r>
              <w:rPr>
                <w:rFonts w:cs="Calibri"/>
                <w:b/>
                <w:bCs/>
                <w:color w:val="000000"/>
                <w:sz w:val="20"/>
                <w:szCs w:val="20"/>
              </w:rPr>
              <w:t xml:space="preserve">Implementation of Lone Star Infrastructure Protection Act (LSIPA) Requirements.  </w:t>
            </w:r>
            <w:r>
              <w:rPr>
                <w:rFonts w:cs="Calibri"/>
                <w:color w:val="000000"/>
                <w:sz w:val="20"/>
                <w:szCs w:val="20"/>
              </w:rPr>
              <w:t>This Nodal Protocol Revision Request (NPRR) revises the Protocols to reflect new requirements added to the LSIPA as part of Senate Bill (SB) 2013 during the 88th regular legislative session.  [ERCOT]</w:t>
            </w:r>
          </w:p>
        </w:tc>
        <w:tc>
          <w:tcPr>
            <w:tcW w:w="478" w:type="pct"/>
            <w:tcBorders>
              <w:top w:val="nil"/>
              <w:left w:val="nil"/>
              <w:bottom w:val="single" w:sz="8" w:space="0" w:color="auto"/>
              <w:right w:val="single" w:sz="8" w:space="0" w:color="auto"/>
            </w:tcBorders>
            <w:tcMar>
              <w:top w:w="0" w:type="dxa"/>
              <w:left w:w="108" w:type="dxa"/>
              <w:bottom w:w="0" w:type="dxa"/>
              <w:right w:w="108" w:type="dxa"/>
            </w:tcMar>
          </w:tcPr>
          <w:p w14:paraId="14EC6E24" w14:textId="77777777" w:rsidR="00B61DE4" w:rsidRDefault="00B61DE4" w:rsidP="007645F8">
            <w:pPr>
              <w:spacing w:line="252" w:lineRule="auto"/>
              <w:jc w:val="center"/>
              <w:rPr>
                <w:color w:val="000000"/>
                <w:sz w:val="20"/>
                <w:szCs w:val="20"/>
              </w:rPr>
            </w:pPr>
            <w:r>
              <w:rPr>
                <w:rFonts w:cs="Calibri"/>
                <w:color w:val="000000"/>
                <w:sz w:val="20"/>
                <w:szCs w:val="20"/>
              </w:rPr>
              <w:t>Y</w:t>
            </w:r>
          </w:p>
        </w:tc>
        <w:tc>
          <w:tcPr>
            <w:tcW w:w="1054" w:type="pct"/>
            <w:tcBorders>
              <w:top w:val="nil"/>
              <w:left w:val="nil"/>
              <w:bottom w:val="single" w:sz="8" w:space="0" w:color="auto"/>
              <w:right w:val="single" w:sz="8" w:space="0" w:color="auto"/>
            </w:tcBorders>
            <w:tcMar>
              <w:top w:w="0" w:type="dxa"/>
              <w:left w:w="108" w:type="dxa"/>
              <w:bottom w:w="0" w:type="dxa"/>
              <w:right w:w="108" w:type="dxa"/>
            </w:tcMar>
          </w:tcPr>
          <w:p w14:paraId="2D98E0B4" w14:textId="6501D4D5" w:rsidR="00B61DE4" w:rsidRPr="000F580F" w:rsidRDefault="00B61DE4" w:rsidP="007645F8">
            <w:pPr>
              <w:spacing w:line="252" w:lineRule="auto"/>
              <w:rPr>
                <w:sz w:val="20"/>
                <w:szCs w:val="20"/>
              </w:rPr>
            </w:pPr>
            <w:r>
              <w:rPr>
                <w:sz w:val="20"/>
                <w:szCs w:val="20"/>
              </w:rPr>
              <w:t xml:space="preserve">IMM has no opinion on </w:t>
            </w:r>
            <w:r w:rsidRPr="000F580F">
              <w:rPr>
                <w:sz w:val="20"/>
                <w:szCs w:val="20"/>
              </w:rPr>
              <w:t>NPRR1199.</w:t>
            </w:r>
          </w:p>
        </w:tc>
      </w:tr>
      <w:tr w:rsidR="00B61DE4" w:rsidRPr="000F580F" w14:paraId="62AAB46D" w14:textId="77777777" w:rsidTr="00B61DE4">
        <w:tc>
          <w:tcPr>
            <w:tcW w:w="67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74AE987" w14:textId="77777777" w:rsidR="00B61DE4" w:rsidRDefault="00B61DE4" w:rsidP="007645F8">
            <w:pPr>
              <w:spacing w:line="252" w:lineRule="auto"/>
              <w:rPr>
                <w:b/>
                <w:bCs/>
                <w:color w:val="000000"/>
                <w:sz w:val="20"/>
                <w:szCs w:val="20"/>
              </w:rPr>
            </w:pPr>
            <w:r>
              <w:rPr>
                <w:rFonts w:cs="Calibri"/>
                <w:b/>
                <w:bCs/>
                <w:color w:val="000000"/>
                <w:sz w:val="20"/>
                <w:szCs w:val="20"/>
              </w:rPr>
              <w:t>1210NPRR</w:t>
            </w:r>
          </w:p>
        </w:tc>
        <w:tc>
          <w:tcPr>
            <w:tcW w:w="2796" w:type="pct"/>
            <w:tcBorders>
              <w:top w:val="nil"/>
              <w:left w:val="nil"/>
              <w:bottom w:val="single" w:sz="8" w:space="0" w:color="auto"/>
              <w:right w:val="single" w:sz="8" w:space="0" w:color="auto"/>
            </w:tcBorders>
            <w:tcMar>
              <w:top w:w="0" w:type="dxa"/>
              <w:left w:w="108" w:type="dxa"/>
              <w:bottom w:w="0" w:type="dxa"/>
              <w:right w:w="108" w:type="dxa"/>
            </w:tcMar>
          </w:tcPr>
          <w:p w14:paraId="7FEDADBD" w14:textId="77777777" w:rsidR="00B61DE4" w:rsidRDefault="00B61DE4" w:rsidP="007645F8">
            <w:pPr>
              <w:spacing w:line="252" w:lineRule="auto"/>
              <w:rPr>
                <w:b/>
                <w:bCs/>
                <w:color w:val="000000"/>
                <w:sz w:val="20"/>
                <w:szCs w:val="20"/>
              </w:rPr>
            </w:pPr>
            <w:r>
              <w:rPr>
                <w:rFonts w:cs="Calibri"/>
                <w:b/>
                <w:bCs/>
                <w:sz w:val="20"/>
                <w:szCs w:val="20"/>
              </w:rPr>
              <w:t xml:space="preserve">Next Start Resource Test and Load-Carrying Test Frequency. </w:t>
            </w:r>
            <w:r>
              <w:rPr>
                <w:rFonts w:cs="Calibri"/>
                <w:sz w:val="20"/>
                <w:szCs w:val="20"/>
              </w:rPr>
              <w:t xml:space="preserve"> This Nodal Protocol Revision Request (NPRR) changes the frequency of the Next Start Resource Test and the Load-Carrying Test respectively from once every five years to once every four calendar years.  [ERCOT]</w:t>
            </w:r>
          </w:p>
        </w:tc>
        <w:tc>
          <w:tcPr>
            <w:tcW w:w="478" w:type="pct"/>
            <w:tcBorders>
              <w:top w:val="nil"/>
              <w:left w:val="nil"/>
              <w:bottom w:val="single" w:sz="8" w:space="0" w:color="auto"/>
              <w:right w:val="single" w:sz="8" w:space="0" w:color="auto"/>
            </w:tcBorders>
            <w:tcMar>
              <w:top w:w="0" w:type="dxa"/>
              <w:left w:w="108" w:type="dxa"/>
              <w:bottom w:w="0" w:type="dxa"/>
              <w:right w:w="108" w:type="dxa"/>
            </w:tcMar>
          </w:tcPr>
          <w:p w14:paraId="5C2F39B9" w14:textId="77777777" w:rsidR="00B61DE4" w:rsidRDefault="00B61DE4" w:rsidP="007645F8">
            <w:pPr>
              <w:spacing w:line="252" w:lineRule="auto"/>
              <w:jc w:val="center"/>
              <w:rPr>
                <w:color w:val="000000"/>
                <w:sz w:val="20"/>
                <w:szCs w:val="20"/>
              </w:rPr>
            </w:pPr>
            <w:r>
              <w:rPr>
                <w:rFonts w:cs="Calibri"/>
                <w:sz w:val="20"/>
                <w:szCs w:val="20"/>
              </w:rPr>
              <w:t>N</w:t>
            </w:r>
          </w:p>
        </w:tc>
        <w:tc>
          <w:tcPr>
            <w:tcW w:w="1054" w:type="pct"/>
            <w:tcBorders>
              <w:top w:val="nil"/>
              <w:left w:val="nil"/>
              <w:bottom w:val="single" w:sz="8" w:space="0" w:color="auto"/>
              <w:right w:val="single" w:sz="8" w:space="0" w:color="auto"/>
            </w:tcBorders>
            <w:tcMar>
              <w:top w:w="0" w:type="dxa"/>
              <w:left w:w="108" w:type="dxa"/>
              <w:bottom w:w="0" w:type="dxa"/>
              <w:right w:w="108" w:type="dxa"/>
            </w:tcMar>
          </w:tcPr>
          <w:p w14:paraId="4605AC2A" w14:textId="7894E0F2" w:rsidR="00B61DE4" w:rsidRPr="000F580F" w:rsidRDefault="00B61DE4" w:rsidP="007645F8">
            <w:pPr>
              <w:spacing w:line="231" w:lineRule="atLeast"/>
              <w:rPr>
                <w:color w:val="000000"/>
                <w:sz w:val="20"/>
                <w:szCs w:val="20"/>
              </w:rPr>
            </w:pPr>
            <w:r>
              <w:rPr>
                <w:color w:val="000000"/>
                <w:sz w:val="20"/>
                <w:szCs w:val="20"/>
              </w:rPr>
              <w:t xml:space="preserve">IMM has no opinion on </w:t>
            </w:r>
            <w:r w:rsidRPr="000F580F">
              <w:rPr>
                <w:color w:val="000000"/>
                <w:sz w:val="20"/>
                <w:szCs w:val="20"/>
              </w:rPr>
              <w:t>NPRR1210.</w:t>
            </w:r>
          </w:p>
        </w:tc>
      </w:tr>
      <w:tr w:rsidR="00B61DE4" w14:paraId="1A47BB8A" w14:textId="77777777" w:rsidTr="00B61DE4">
        <w:tc>
          <w:tcPr>
            <w:tcW w:w="67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9D8AC63" w14:textId="77777777" w:rsidR="00B61DE4" w:rsidRDefault="00B61DE4" w:rsidP="007645F8">
            <w:pPr>
              <w:spacing w:line="252" w:lineRule="auto"/>
              <w:rPr>
                <w:b/>
                <w:bCs/>
                <w:color w:val="000000"/>
                <w:sz w:val="20"/>
                <w:szCs w:val="20"/>
              </w:rPr>
            </w:pPr>
            <w:r>
              <w:rPr>
                <w:rFonts w:cs="Calibri"/>
                <w:b/>
                <w:bCs/>
                <w:color w:val="000000"/>
                <w:sz w:val="20"/>
                <w:szCs w:val="20"/>
              </w:rPr>
              <w:t>1213NPRR</w:t>
            </w:r>
          </w:p>
        </w:tc>
        <w:tc>
          <w:tcPr>
            <w:tcW w:w="2796" w:type="pct"/>
            <w:tcBorders>
              <w:top w:val="nil"/>
              <w:left w:val="nil"/>
              <w:bottom w:val="single" w:sz="8" w:space="0" w:color="auto"/>
              <w:right w:val="single" w:sz="8" w:space="0" w:color="auto"/>
            </w:tcBorders>
            <w:tcMar>
              <w:top w:w="0" w:type="dxa"/>
              <w:left w:w="108" w:type="dxa"/>
              <w:bottom w:w="0" w:type="dxa"/>
              <w:right w:w="108" w:type="dxa"/>
            </w:tcMar>
          </w:tcPr>
          <w:p w14:paraId="185A364C" w14:textId="77777777" w:rsidR="00B61DE4" w:rsidRDefault="00B61DE4" w:rsidP="007645F8">
            <w:pPr>
              <w:spacing w:line="252" w:lineRule="auto"/>
              <w:rPr>
                <w:b/>
                <w:bCs/>
                <w:color w:val="000000"/>
                <w:sz w:val="20"/>
                <w:szCs w:val="20"/>
              </w:rPr>
            </w:pPr>
            <w:r>
              <w:rPr>
                <w:rFonts w:cs="Calibri"/>
                <w:b/>
                <w:bCs/>
                <w:sz w:val="20"/>
                <w:szCs w:val="20"/>
              </w:rPr>
              <w:t xml:space="preserve">Allow DGRs and DESRs on Circuits Subject to Load Shed to Provide ECRS.  </w:t>
            </w:r>
            <w:r>
              <w:rPr>
                <w:rFonts w:cs="Calibri"/>
                <w:sz w:val="20"/>
                <w:szCs w:val="20"/>
              </w:rPr>
              <w:t xml:space="preserve">This Nodal Protocol Revision Request (NPRR) amends requirements for Distribution Generation Resources (DGRs) and Distribution Energy Storage Resources (DESRs) that are seeking qualification to provide ERCOT Contingency Reserve Service (ECRS), as follows:  Paragraph (1)(c) of Section 3.8.6 allows for DGRs and DESRs on circuits subject to disconnection during Load shed events to provide ECRS; and Section 3.16 recognizes that ERCOT will establish limits on ECRS, which may be provided by </w:t>
            </w:r>
            <w:r>
              <w:rPr>
                <w:rFonts w:cs="Calibri"/>
                <w:sz w:val="20"/>
                <w:szCs w:val="20"/>
              </w:rPr>
              <w:lastRenderedPageBreak/>
              <w:t>DGRs/DESRs on circuits subject to disconnection during Load shed events.  [Enchanted Rock]</w:t>
            </w:r>
          </w:p>
        </w:tc>
        <w:tc>
          <w:tcPr>
            <w:tcW w:w="478" w:type="pct"/>
            <w:tcBorders>
              <w:top w:val="nil"/>
              <w:left w:val="nil"/>
              <w:bottom w:val="single" w:sz="8" w:space="0" w:color="auto"/>
              <w:right w:val="single" w:sz="8" w:space="0" w:color="auto"/>
            </w:tcBorders>
            <w:tcMar>
              <w:top w:w="0" w:type="dxa"/>
              <w:left w:w="108" w:type="dxa"/>
              <w:bottom w:w="0" w:type="dxa"/>
              <w:right w:w="108" w:type="dxa"/>
            </w:tcMar>
          </w:tcPr>
          <w:p w14:paraId="57E1BD67" w14:textId="77777777" w:rsidR="00B61DE4" w:rsidRDefault="00B61DE4" w:rsidP="007645F8">
            <w:pPr>
              <w:spacing w:line="252" w:lineRule="auto"/>
              <w:jc w:val="center"/>
              <w:rPr>
                <w:color w:val="000000"/>
                <w:sz w:val="20"/>
                <w:szCs w:val="20"/>
              </w:rPr>
            </w:pPr>
            <w:r>
              <w:rPr>
                <w:rFonts w:cs="Calibri"/>
                <w:sz w:val="20"/>
                <w:szCs w:val="20"/>
              </w:rPr>
              <w:lastRenderedPageBreak/>
              <w:t>N</w:t>
            </w:r>
          </w:p>
        </w:tc>
        <w:tc>
          <w:tcPr>
            <w:tcW w:w="1054" w:type="pct"/>
            <w:tcBorders>
              <w:top w:val="nil"/>
              <w:left w:val="nil"/>
              <w:bottom w:val="single" w:sz="8" w:space="0" w:color="auto"/>
              <w:right w:val="single" w:sz="8" w:space="0" w:color="auto"/>
            </w:tcBorders>
            <w:tcMar>
              <w:top w:w="0" w:type="dxa"/>
              <w:left w:w="108" w:type="dxa"/>
              <w:bottom w:w="0" w:type="dxa"/>
              <w:right w:w="108" w:type="dxa"/>
            </w:tcMar>
          </w:tcPr>
          <w:p w14:paraId="52AEE303" w14:textId="00EB94E4" w:rsidR="00B61DE4" w:rsidRDefault="00B61DE4" w:rsidP="007645F8">
            <w:pPr>
              <w:spacing w:line="231" w:lineRule="atLeast"/>
              <w:rPr>
                <w:color w:val="000000"/>
                <w:sz w:val="20"/>
                <w:szCs w:val="20"/>
              </w:rPr>
            </w:pPr>
            <w:r>
              <w:rPr>
                <w:color w:val="000000"/>
                <w:sz w:val="20"/>
                <w:szCs w:val="20"/>
              </w:rPr>
              <w:t>IMM has no opinion on NPRR1213.</w:t>
            </w:r>
          </w:p>
        </w:tc>
      </w:tr>
      <w:tr w:rsidR="00B61DE4" w14:paraId="25987931" w14:textId="77777777" w:rsidTr="00B61DE4">
        <w:tc>
          <w:tcPr>
            <w:tcW w:w="672" w:type="pct"/>
            <w:tcBorders>
              <w:top w:val="nil"/>
              <w:left w:val="single" w:sz="8" w:space="0" w:color="auto"/>
              <w:bottom w:val="single" w:sz="4" w:space="0" w:color="auto"/>
              <w:right w:val="single" w:sz="8" w:space="0" w:color="auto"/>
            </w:tcBorders>
            <w:tcMar>
              <w:top w:w="0" w:type="dxa"/>
              <w:left w:w="108" w:type="dxa"/>
              <w:bottom w:w="0" w:type="dxa"/>
              <w:right w:w="108" w:type="dxa"/>
            </w:tcMar>
          </w:tcPr>
          <w:p w14:paraId="4CF2619E" w14:textId="77777777" w:rsidR="00B61DE4" w:rsidRDefault="00B61DE4" w:rsidP="007645F8">
            <w:pPr>
              <w:spacing w:line="252" w:lineRule="auto"/>
              <w:rPr>
                <w:b/>
                <w:bCs/>
                <w:color w:val="000000"/>
                <w:sz w:val="20"/>
                <w:szCs w:val="20"/>
              </w:rPr>
            </w:pPr>
            <w:r>
              <w:rPr>
                <w:rFonts w:cs="Calibri"/>
                <w:b/>
                <w:bCs/>
                <w:color w:val="000000"/>
                <w:sz w:val="20"/>
                <w:szCs w:val="20"/>
              </w:rPr>
              <w:t>261NOGRR</w:t>
            </w:r>
          </w:p>
        </w:tc>
        <w:tc>
          <w:tcPr>
            <w:tcW w:w="2796" w:type="pct"/>
            <w:tcBorders>
              <w:top w:val="nil"/>
              <w:left w:val="nil"/>
              <w:bottom w:val="single" w:sz="4" w:space="0" w:color="auto"/>
              <w:right w:val="single" w:sz="8" w:space="0" w:color="auto"/>
            </w:tcBorders>
            <w:tcMar>
              <w:top w:w="0" w:type="dxa"/>
              <w:left w:w="108" w:type="dxa"/>
              <w:bottom w:w="0" w:type="dxa"/>
              <w:right w:w="108" w:type="dxa"/>
            </w:tcMar>
          </w:tcPr>
          <w:p w14:paraId="0997C4FE" w14:textId="77777777" w:rsidR="00B61DE4" w:rsidRDefault="00B61DE4" w:rsidP="007645F8">
            <w:pPr>
              <w:spacing w:line="252" w:lineRule="auto"/>
              <w:rPr>
                <w:b/>
                <w:bCs/>
                <w:color w:val="000000"/>
                <w:sz w:val="20"/>
                <w:szCs w:val="20"/>
              </w:rPr>
            </w:pPr>
            <w:r>
              <w:rPr>
                <w:rFonts w:cs="Calibri"/>
                <w:b/>
                <w:bCs/>
                <w:color w:val="000000"/>
                <w:sz w:val="20"/>
                <w:szCs w:val="20"/>
              </w:rPr>
              <w:t xml:space="preserve">Move OBD to Section 8 – Procedure for Calculating RRS Limits for Individual Resources. </w:t>
            </w:r>
            <w:r>
              <w:rPr>
                <w:rFonts w:cs="Calibri"/>
                <w:color w:val="000000"/>
                <w:sz w:val="20"/>
                <w:szCs w:val="20"/>
              </w:rPr>
              <w:t xml:space="preserve"> This Nodal Operating Guide Revision Request (NOGRR) incorporates the Other Binding Document “Procedure for Calculating Responsive Reserve (RRS) Limits for Individual Resources” into the Nodal Operating Guide.  [ERCOT]</w:t>
            </w:r>
          </w:p>
        </w:tc>
        <w:tc>
          <w:tcPr>
            <w:tcW w:w="478" w:type="pct"/>
            <w:tcBorders>
              <w:top w:val="nil"/>
              <w:left w:val="nil"/>
              <w:bottom w:val="single" w:sz="4" w:space="0" w:color="auto"/>
              <w:right w:val="single" w:sz="8" w:space="0" w:color="auto"/>
            </w:tcBorders>
            <w:tcMar>
              <w:top w:w="0" w:type="dxa"/>
              <w:left w:w="108" w:type="dxa"/>
              <w:bottom w:w="0" w:type="dxa"/>
              <w:right w:w="108" w:type="dxa"/>
            </w:tcMar>
          </w:tcPr>
          <w:p w14:paraId="1E6CE88B" w14:textId="77777777" w:rsidR="00B61DE4" w:rsidRDefault="00B61DE4" w:rsidP="007645F8">
            <w:pPr>
              <w:spacing w:line="252" w:lineRule="auto"/>
              <w:jc w:val="center"/>
              <w:rPr>
                <w:color w:val="000000"/>
                <w:sz w:val="20"/>
                <w:szCs w:val="20"/>
              </w:rPr>
            </w:pPr>
            <w:r>
              <w:rPr>
                <w:rFonts w:cs="Calibri"/>
                <w:color w:val="000000"/>
                <w:sz w:val="20"/>
                <w:szCs w:val="20"/>
              </w:rPr>
              <w:t>N</w:t>
            </w:r>
          </w:p>
        </w:tc>
        <w:tc>
          <w:tcPr>
            <w:tcW w:w="1054" w:type="pct"/>
            <w:tcBorders>
              <w:top w:val="nil"/>
              <w:left w:val="nil"/>
              <w:bottom w:val="single" w:sz="4" w:space="0" w:color="auto"/>
              <w:right w:val="single" w:sz="8" w:space="0" w:color="auto"/>
            </w:tcBorders>
            <w:tcMar>
              <w:top w:w="0" w:type="dxa"/>
              <w:left w:w="108" w:type="dxa"/>
              <w:bottom w:w="0" w:type="dxa"/>
              <w:right w:w="108" w:type="dxa"/>
            </w:tcMar>
          </w:tcPr>
          <w:p w14:paraId="52B5DAD2" w14:textId="0009A19F" w:rsidR="00B61DE4" w:rsidRDefault="00B61DE4" w:rsidP="007645F8">
            <w:pPr>
              <w:spacing w:line="231" w:lineRule="atLeast"/>
              <w:rPr>
                <w:color w:val="000000"/>
                <w:sz w:val="20"/>
                <w:szCs w:val="20"/>
              </w:rPr>
            </w:pPr>
            <w:r>
              <w:rPr>
                <w:color w:val="000000"/>
                <w:sz w:val="20"/>
                <w:szCs w:val="20"/>
              </w:rPr>
              <w:t>IMM has no opinion on NOGRR261.</w:t>
            </w:r>
          </w:p>
        </w:tc>
      </w:tr>
      <w:tr w:rsidR="00B61DE4" w14:paraId="03CB6A9D" w14:textId="77777777" w:rsidTr="00B61DE4">
        <w:tc>
          <w:tcPr>
            <w:tcW w:w="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149AB4" w14:textId="481EBD32" w:rsidR="00B61DE4" w:rsidRDefault="00B61DE4" w:rsidP="00B61DE4">
            <w:pPr>
              <w:spacing w:line="252" w:lineRule="auto"/>
              <w:rPr>
                <w:rFonts w:cs="Calibri"/>
                <w:b/>
                <w:bCs/>
                <w:color w:val="000000"/>
                <w:sz w:val="20"/>
                <w:szCs w:val="20"/>
              </w:rPr>
            </w:pPr>
            <w:r>
              <w:rPr>
                <w:rFonts w:cs="Calibri"/>
                <w:b/>
                <w:bCs/>
                <w:color w:val="000000"/>
                <w:sz w:val="20"/>
                <w:szCs w:val="20"/>
              </w:rPr>
              <w:t>245NOGRR</w:t>
            </w:r>
          </w:p>
        </w:tc>
        <w:tc>
          <w:tcPr>
            <w:tcW w:w="27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7FD81C" w14:textId="5E4D0952" w:rsidR="00B61DE4" w:rsidRDefault="00B61DE4" w:rsidP="00B61DE4">
            <w:pPr>
              <w:spacing w:line="252" w:lineRule="auto"/>
              <w:rPr>
                <w:rFonts w:cs="Calibri"/>
                <w:b/>
                <w:bCs/>
                <w:color w:val="000000"/>
                <w:sz w:val="20"/>
                <w:szCs w:val="20"/>
              </w:rPr>
            </w:pPr>
            <w:r>
              <w:rPr>
                <w:rFonts w:cs="Calibri"/>
                <w:b/>
                <w:bCs/>
                <w:color w:val="000000"/>
                <w:sz w:val="20"/>
                <w:szCs w:val="20"/>
              </w:rPr>
              <w:t xml:space="preserve">Inverter-Based Resource (IBR) Ride-Through Requirements.  </w:t>
            </w:r>
            <w:r>
              <w:rPr>
                <w:rFonts w:cs="Calibri"/>
                <w:color w:val="000000"/>
                <w:sz w:val="20"/>
                <w:szCs w:val="20"/>
              </w:rPr>
              <w:t>This NOGRR replaces the current voltage ride-through requirements for Intermittent Renewable Resources (IRRs) with voltage ride-through requirements for Inverter-Based Resources (IBRs) and provides new frequency ride-through requirements for IBRs consistent with or beyond requirements identified in the new 2800-2022 - Institute of Electrical and Electronics Engineers (IEEE) Standard for Interconnection and Interoperability of Inverter-Based Resources (IBRs) Interconnecting with Associated Transmission Electric Power Systems (“IEEE 2800-2022 standard”).  [ERCOT]</w:t>
            </w:r>
          </w:p>
        </w:tc>
        <w:tc>
          <w:tcPr>
            <w:tcW w:w="4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929997" w14:textId="4C6B66AE" w:rsidR="00B61DE4" w:rsidRDefault="00B61DE4" w:rsidP="00B61DE4">
            <w:pPr>
              <w:spacing w:line="252" w:lineRule="auto"/>
              <w:jc w:val="center"/>
              <w:rPr>
                <w:rFonts w:cs="Calibri"/>
                <w:color w:val="000000"/>
                <w:sz w:val="20"/>
                <w:szCs w:val="20"/>
              </w:rPr>
            </w:pPr>
            <w:r>
              <w:rPr>
                <w:rFonts w:cs="Calibri"/>
                <w:color w:val="000000"/>
                <w:sz w:val="20"/>
                <w:szCs w:val="20"/>
              </w:rPr>
              <w:t>Y</w:t>
            </w:r>
          </w:p>
        </w:tc>
        <w:tc>
          <w:tcPr>
            <w:tcW w:w="105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1B1398" w14:textId="4F4EFD86" w:rsidR="00B61DE4" w:rsidRDefault="00B61DE4" w:rsidP="00B61DE4">
            <w:pPr>
              <w:spacing w:line="231" w:lineRule="atLeast"/>
              <w:rPr>
                <w:color w:val="000000"/>
                <w:sz w:val="20"/>
                <w:szCs w:val="20"/>
              </w:rPr>
            </w:pPr>
            <w:r>
              <w:rPr>
                <w:sz w:val="20"/>
                <w:szCs w:val="20"/>
              </w:rPr>
              <w:t>IMM has no opinion on NOGRR245.</w:t>
            </w:r>
          </w:p>
        </w:tc>
      </w:tr>
      <w:tr w:rsidR="00B61DE4" w14:paraId="6462FDB6" w14:textId="77777777" w:rsidTr="00B61DE4">
        <w:tc>
          <w:tcPr>
            <w:tcW w:w="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DC8BF5" w14:textId="3840332F" w:rsidR="00B61DE4" w:rsidRDefault="00B61DE4" w:rsidP="00B61DE4">
            <w:pPr>
              <w:spacing w:line="252" w:lineRule="auto"/>
              <w:rPr>
                <w:rFonts w:cs="Calibri"/>
                <w:b/>
                <w:bCs/>
                <w:color w:val="000000"/>
                <w:sz w:val="20"/>
                <w:szCs w:val="20"/>
              </w:rPr>
            </w:pPr>
            <w:r>
              <w:rPr>
                <w:rFonts w:cs="Calibri"/>
                <w:b/>
                <w:bCs/>
                <w:color w:val="000000"/>
                <w:sz w:val="20"/>
                <w:szCs w:val="20"/>
              </w:rPr>
              <w:t>105PGRR</w:t>
            </w:r>
          </w:p>
        </w:tc>
        <w:tc>
          <w:tcPr>
            <w:tcW w:w="27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F1E19D" w14:textId="11F8762E" w:rsidR="00B61DE4" w:rsidRDefault="00B61DE4" w:rsidP="00B61DE4">
            <w:pPr>
              <w:spacing w:line="252" w:lineRule="auto"/>
              <w:rPr>
                <w:rFonts w:cs="Calibri"/>
                <w:b/>
                <w:bCs/>
                <w:color w:val="000000"/>
                <w:sz w:val="20"/>
                <w:szCs w:val="20"/>
              </w:rPr>
            </w:pPr>
            <w:r>
              <w:rPr>
                <w:rFonts w:cs="Calibri"/>
                <w:b/>
                <w:bCs/>
                <w:color w:val="000000"/>
                <w:sz w:val="20"/>
                <w:szCs w:val="20"/>
              </w:rPr>
              <w:t xml:space="preserve">Deliverability Criteria for DC Tie Imports.  </w:t>
            </w:r>
            <w:r>
              <w:rPr>
                <w:rFonts w:cs="Calibri"/>
                <w:color w:val="000000"/>
                <w:sz w:val="20"/>
                <w:szCs w:val="20"/>
              </w:rPr>
              <w:t>This Planning Guide Revision Request (PGRR) adds Direct Current Tie (DC Tie) Resources to the list of Resources for which the minimum deliverability condition applies.  [REMC]</w:t>
            </w:r>
          </w:p>
        </w:tc>
        <w:tc>
          <w:tcPr>
            <w:tcW w:w="4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6912F0" w14:textId="03DA8FF7" w:rsidR="00B61DE4" w:rsidRDefault="00B61DE4" w:rsidP="00B61DE4">
            <w:pPr>
              <w:spacing w:line="252" w:lineRule="auto"/>
              <w:jc w:val="center"/>
              <w:rPr>
                <w:rFonts w:cs="Calibri"/>
                <w:color w:val="000000"/>
                <w:sz w:val="20"/>
                <w:szCs w:val="20"/>
              </w:rPr>
            </w:pPr>
            <w:r>
              <w:rPr>
                <w:rFonts w:cs="Calibri"/>
                <w:color w:val="000000"/>
                <w:sz w:val="20"/>
                <w:szCs w:val="20"/>
              </w:rPr>
              <w:t>N</w:t>
            </w:r>
          </w:p>
        </w:tc>
        <w:tc>
          <w:tcPr>
            <w:tcW w:w="105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083EED" w14:textId="72D1B49E" w:rsidR="00B61DE4" w:rsidRDefault="00B61DE4" w:rsidP="00B61DE4">
            <w:pPr>
              <w:spacing w:line="231" w:lineRule="atLeast"/>
              <w:rPr>
                <w:sz w:val="20"/>
                <w:szCs w:val="20"/>
              </w:rPr>
            </w:pPr>
            <w:r>
              <w:rPr>
                <w:sz w:val="20"/>
                <w:szCs w:val="20"/>
              </w:rPr>
              <w:t>IMM has no opinion on PGRR105.</w:t>
            </w:r>
          </w:p>
        </w:tc>
      </w:tr>
      <w:tr w:rsidR="00B61DE4" w14:paraId="3F115BB7" w14:textId="77777777" w:rsidTr="00B61DE4">
        <w:tc>
          <w:tcPr>
            <w:tcW w:w="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94822A" w14:textId="77450C71" w:rsidR="00B61DE4" w:rsidRDefault="00B61DE4" w:rsidP="00B61DE4">
            <w:pPr>
              <w:spacing w:line="252" w:lineRule="auto"/>
              <w:rPr>
                <w:rFonts w:cs="Calibri"/>
                <w:b/>
                <w:bCs/>
                <w:color w:val="000000"/>
                <w:sz w:val="20"/>
                <w:szCs w:val="20"/>
              </w:rPr>
            </w:pPr>
            <w:r>
              <w:rPr>
                <w:b/>
                <w:bCs/>
                <w:color w:val="000000"/>
                <w:sz w:val="20"/>
                <w:szCs w:val="20"/>
              </w:rPr>
              <w:t>1193NPRR</w:t>
            </w:r>
          </w:p>
        </w:tc>
        <w:tc>
          <w:tcPr>
            <w:tcW w:w="279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523476" w14:textId="2EFB36B9" w:rsidR="00B61DE4" w:rsidRDefault="00B61DE4" w:rsidP="00B61DE4">
            <w:pPr>
              <w:spacing w:line="252" w:lineRule="auto"/>
              <w:rPr>
                <w:rFonts w:cs="Calibri"/>
                <w:b/>
                <w:bCs/>
                <w:color w:val="000000"/>
                <w:sz w:val="20"/>
                <w:szCs w:val="20"/>
              </w:rPr>
            </w:pPr>
            <w:r>
              <w:rPr>
                <w:b/>
                <w:bCs/>
                <w:color w:val="000000"/>
                <w:sz w:val="20"/>
                <w:szCs w:val="20"/>
              </w:rPr>
              <w:t xml:space="preserve">Related to SMOGRR027, Move OBD to Settlement Metering Operating Guide – EPS Metering Design Proposal.  </w:t>
            </w:r>
            <w:r>
              <w:rPr>
                <w:color w:val="000000"/>
                <w:sz w:val="20"/>
                <w:szCs w:val="20"/>
              </w:rPr>
              <w:t>This Nodal Protocol Revision Request (NPRR) changes the referenced location of the EPS Design Proposal Form, as it is moving from the Other Binding Document List into the Settlement Metering Operating Guide (SMOG).  [ERCOT]</w:t>
            </w:r>
          </w:p>
        </w:tc>
        <w:tc>
          <w:tcPr>
            <w:tcW w:w="4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B37D58" w14:textId="766F31CB" w:rsidR="00B61DE4" w:rsidRDefault="00B61DE4" w:rsidP="00B61DE4">
            <w:pPr>
              <w:spacing w:line="252" w:lineRule="auto"/>
              <w:jc w:val="center"/>
              <w:rPr>
                <w:rFonts w:cs="Calibri"/>
                <w:color w:val="000000"/>
                <w:sz w:val="20"/>
                <w:szCs w:val="20"/>
              </w:rPr>
            </w:pPr>
            <w:r>
              <w:rPr>
                <w:color w:val="000000"/>
                <w:sz w:val="20"/>
                <w:szCs w:val="20"/>
              </w:rPr>
              <w:t>N</w:t>
            </w:r>
          </w:p>
        </w:tc>
        <w:tc>
          <w:tcPr>
            <w:tcW w:w="105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DC50B8" w14:textId="22D629BD" w:rsidR="00B61DE4" w:rsidRDefault="00B61DE4" w:rsidP="00B61DE4">
            <w:pPr>
              <w:spacing w:line="231" w:lineRule="atLeast"/>
              <w:rPr>
                <w:sz w:val="20"/>
                <w:szCs w:val="20"/>
              </w:rPr>
            </w:pPr>
            <w:r w:rsidRPr="00B934C9">
              <w:t xml:space="preserve">IMM has no opinion on </w:t>
            </w:r>
            <w:r>
              <w:t>NPRR1193</w:t>
            </w:r>
            <w:r w:rsidRPr="00B934C9">
              <w:t>.</w:t>
            </w:r>
          </w:p>
        </w:tc>
      </w:tr>
    </w:tbl>
    <w:p w14:paraId="10BCEE7F" w14:textId="70446F85" w:rsidR="00554C6B" w:rsidRPr="0043535A" w:rsidRDefault="00554C6B" w:rsidP="0043535A"/>
    <w:sectPr w:rsidR="00554C6B" w:rsidRPr="0043535A"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F9228" w14:textId="77777777" w:rsidR="00BE6880" w:rsidRDefault="00BE6880" w:rsidP="00985FF4">
      <w:r>
        <w:separator/>
      </w:r>
    </w:p>
  </w:endnote>
  <w:endnote w:type="continuationSeparator" w:id="0">
    <w:p w14:paraId="0F691162" w14:textId="77777777" w:rsidR="00BE6880" w:rsidRDefault="00BE6880"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B9891" w14:textId="77777777" w:rsidR="00BE6880" w:rsidRDefault="00BE6880" w:rsidP="00985FF4">
      <w:r>
        <w:separator/>
      </w:r>
    </w:p>
  </w:footnote>
  <w:footnote w:type="continuationSeparator" w:id="0">
    <w:p w14:paraId="71C727B6" w14:textId="77777777" w:rsidR="00BE6880" w:rsidRDefault="00BE6880"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AE4ED" w14:textId="6C5A49FF" w:rsidR="00356DF4" w:rsidRDefault="00356DF4" w:rsidP="00356DF4">
    <w:pPr>
      <w:pStyle w:val="Header"/>
      <w:jc w:val="center"/>
    </w:pPr>
    <w:r>
      <w:t xml:space="preserve">IMM Opinions for the </w:t>
    </w:r>
    <w:r w:rsidR="003B0E32">
      <w:t>02/14</w:t>
    </w:r>
    <w:r w:rsidR="007C0407">
      <w:t>/24</w:t>
    </w:r>
    <w:r>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73FB"/>
    <w:rsid w:val="00007AAF"/>
    <w:rsid w:val="00014426"/>
    <w:rsid w:val="0001521E"/>
    <w:rsid w:val="00026668"/>
    <w:rsid w:val="00032EC2"/>
    <w:rsid w:val="00033A56"/>
    <w:rsid w:val="000362AB"/>
    <w:rsid w:val="00036D21"/>
    <w:rsid w:val="0004714A"/>
    <w:rsid w:val="00077160"/>
    <w:rsid w:val="000831A1"/>
    <w:rsid w:val="000959E0"/>
    <w:rsid w:val="000A464D"/>
    <w:rsid w:val="000A7FEC"/>
    <w:rsid w:val="000B1891"/>
    <w:rsid w:val="000B5B40"/>
    <w:rsid w:val="000C785B"/>
    <w:rsid w:val="000D0353"/>
    <w:rsid w:val="000D0F28"/>
    <w:rsid w:val="000E59F8"/>
    <w:rsid w:val="000F22EA"/>
    <w:rsid w:val="000F641B"/>
    <w:rsid w:val="00101B04"/>
    <w:rsid w:val="00101E68"/>
    <w:rsid w:val="00104CBC"/>
    <w:rsid w:val="00106FC1"/>
    <w:rsid w:val="001135EA"/>
    <w:rsid w:val="00114E53"/>
    <w:rsid w:val="001154E1"/>
    <w:rsid w:val="0011791D"/>
    <w:rsid w:val="00120C0C"/>
    <w:rsid w:val="00121A51"/>
    <w:rsid w:val="00124255"/>
    <w:rsid w:val="0012461F"/>
    <w:rsid w:val="00131AD8"/>
    <w:rsid w:val="00145734"/>
    <w:rsid w:val="0016016F"/>
    <w:rsid w:val="00160EE6"/>
    <w:rsid w:val="001625B1"/>
    <w:rsid w:val="0018668E"/>
    <w:rsid w:val="001A11D5"/>
    <w:rsid w:val="001A2D79"/>
    <w:rsid w:val="001A5863"/>
    <w:rsid w:val="001A5BB7"/>
    <w:rsid w:val="001B13CF"/>
    <w:rsid w:val="001B743A"/>
    <w:rsid w:val="001B7829"/>
    <w:rsid w:val="001C7937"/>
    <w:rsid w:val="001D2296"/>
    <w:rsid w:val="001F18CF"/>
    <w:rsid w:val="001F4319"/>
    <w:rsid w:val="001F4476"/>
    <w:rsid w:val="00204F95"/>
    <w:rsid w:val="00210A3C"/>
    <w:rsid w:val="0023113D"/>
    <w:rsid w:val="00231C14"/>
    <w:rsid w:val="00234AF1"/>
    <w:rsid w:val="002378E5"/>
    <w:rsid w:val="002472F3"/>
    <w:rsid w:val="00262E21"/>
    <w:rsid w:val="00274E29"/>
    <w:rsid w:val="00283FFB"/>
    <w:rsid w:val="00293347"/>
    <w:rsid w:val="002C4AA8"/>
    <w:rsid w:val="002D37DF"/>
    <w:rsid w:val="002D38E6"/>
    <w:rsid w:val="002E28D0"/>
    <w:rsid w:val="002F00A6"/>
    <w:rsid w:val="002F02AA"/>
    <w:rsid w:val="002F35F9"/>
    <w:rsid w:val="002F7FD2"/>
    <w:rsid w:val="00303684"/>
    <w:rsid w:val="0031372C"/>
    <w:rsid w:val="00313CC7"/>
    <w:rsid w:val="00320296"/>
    <w:rsid w:val="00320D47"/>
    <w:rsid w:val="003215C0"/>
    <w:rsid w:val="00321F9E"/>
    <w:rsid w:val="00345C3C"/>
    <w:rsid w:val="00346E37"/>
    <w:rsid w:val="003504F7"/>
    <w:rsid w:val="003524E8"/>
    <w:rsid w:val="00355705"/>
    <w:rsid w:val="00356DF4"/>
    <w:rsid w:val="00364FBD"/>
    <w:rsid w:val="003700A1"/>
    <w:rsid w:val="003733F6"/>
    <w:rsid w:val="003A2191"/>
    <w:rsid w:val="003B0E32"/>
    <w:rsid w:val="003B12BD"/>
    <w:rsid w:val="003C69EA"/>
    <w:rsid w:val="003D1D46"/>
    <w:rsid w:val="003D6A28"/>
    <w:rsid w:val="003E1FAB"/>
    <w:rsid w:val="003E6433"/>
    <w:rsid w:val="003F0A77"/>
    <w:rsid w:val="003F0D29"/>
    <w:rsid w:val="003F25EE"/>
    <w:rsid w:val="00417F89"/>
    <w:rsid w:val="00424682"/>
    <w:rsid w:val="004249F6"/>
    <w:rsid w:val="00434F24"/>
    <w:rsid w:val="0043535A"/>
    <w:rsid w:val="00443FF2"/>
    <w:rsid w:val="0044443B"/>
    <w:rsid w:val="004447B8"/>
    <w:rsid w:val="00444F23"/>
    <w:rsid w:val="004A5D45"/>
    <w:rsid w:val="004B0899"/>
    <w:rsid w:val="004B12A2"/>
    <w:rsid w:val="004C0100"/>
    <w:rsid w:val="004C1AC0"/>
    <w:rsid w:val="004C2CE0"/>
    <w:rsid w:val="004D2865"/>
    <w:rsid w:val="004D642C"/>
    <w:rsid w:val="004E1095"/>
    <w:rsid w:val="004F2E07"/>
    <w:rsid w:val="00502C7D"/>
    <w:rsid w:val="0051039A"/>
    <w:rsid w:val="00514792"/>
    <w:rsid w:val="00532A8F"/>
    <w:rsid w:val="005340BB"/>
    <w:rsid w:val="00536692"/>
    <w:rsid w:val="0054089F"/>
    <w:rsid w:val="005505FC"/>
    <w:rsid w:val="00554C6B"/>
    <w:rsid w:val="00557905"/>
    <w:rsid w:val="00560972"/>
    <w:rsid w:val="00566AFF"/>
    <w:rsid w:val="0057069B"/>
    <w:rsid w:val="00572FC4"/>
    <w:rsid w:val="0058786D"/>
    <w:rsid w:val="00593488"/>
    <w:rsid w:val="005A278D"/>
    <w:rsid w:val="005B20DF"/>
    <w:rsid w:val="005B2B55"/>
    <w:rsid w:val="005C6553"/>
    <w:rsid w:val="005D278C"/>
    <w:rsid w:val="005E147E"/>
    <w:rsid w:val="005E1FB0"/>
    <w:rsid w:val="005E229D"/>
    <w:rsid w:val="005E3A8D"/>
    <w:rsid w:val="005E6217"/>
    <w:rsid w:val="005F6CDD"/>
    <w:rsid w:val="006056C9"/>
    <w:rsid w:val="006238D2"/>
    <w:rsid w:val="006256A5"/>
    <w:rsid w:val="0063079C"/>
    <w:rsid w:val="006332E6"/>
    <w:rsid w:val="0063390E"/>
    <w:rsid w:val="0063436F"/>
    <w:rsid w:val="006357E3"/>
    <w:rsid w:val="0066245C"/>
    <w:rsid w:val="00663AA2"/>
    <w:rsid w:val="00664EFD"/>
    <w:rsid w:val="00665D76"/>
    <w:rsid w:val="006679D2"/>
    <w:rsid w:val="006723B7"/>
    <w:rsid w:val="00672B98"/>
    <w:rsid w:val="00684FF7"/>
    <w:rsid w:val="006942EA"/>
    <w:rsid w:val="006B11F5"/>
    <w:rsid w:val="006B34E3"/>
    <w:rsid w:val="006B57A0"/>
    <w:rsid w:val="006C3CC8"/>
    <w:rsid w:val="006E08BD"/>
    <w:rsid w:val="006E2E22"/>
    <w:rsid w:val="006F0956"/>
    <w:rsid w:val="006F1E45"/>
    <w:rsid w:val="007067D3"/>
    <w:rsid w:val="007109C1"/>
    <w:rsid w:val="007134B7"/>
    <w:rsid w:val="00714445"/>
    <w:rsid w:val="00715A89"/>
    <w:rsid w:val="00715BF1"/>
    <w:rsid w:val="00723A40"/>
    <w:rsid w:val="0073132D"/>
    <w:rsid w:val="00734E3F"/>
    <w:rsid w:val="007452CB"/>
    <w:rsid w:val="00751815"/>
    <w:rsid w:val="00755F41"/>
    <w:rsid w:val="0076194F"/>
    <w:rsid w:val="0076478A"/>
    <w:rsid w:val="00765370"/>
    <w:rsid w:val="00774705"/>
    <w:rsid w:val="0079493C"/>
    <w:rsid w:val="007A3FD4"/>
    <w:rsid w:val="007B4B34"/>
    <w:rsid w:val="007B571A"/>
    <w:rsid w:val="007C0407"/>
    <w:rsid w:val="007C79F2"/>
    <w:rsid w:val="007D6858"/>
    <w:rsid w:val="007E12E0"/>
    <w:rsid w:val="007E5AAA"/>
    <w:rsid w:val="007F3DD6"/>
    <w:rsid w:val="00805A86"/>
    <w:rsid w:val="00813BAC"/>
    <w:rsid w:val="00825E43"/>
    <w:rsid w:val="008334C2"/>
    <w:rsid w:val="00841F6C"/>
    <w:rsid w:val="00855C1B"/>
    <w:rsid w:val="00885262"/>
    <w:rsid w:val="008874B6"/>
    <w:rsid w:val="00890DF0"/>
    <w:rsid w:val="008A1AAE"/>
    <w:rsid w:val="008A1DA2"/>
    <w:rsid w:val="008A3D80"/>
    <w:rsid w:val="008A55C2"/>
    <w:rsid w:val="008B23B9"/>
    <w:rsid w:val="008D3606"/>
    <w:rsid w:val="008E2215"/>
    <w:rsid w:val="008E5BDD"/>
    <w:rsid w:val="008F1FF2"/>
    <w:rsid w:val="00900D36"/>
    <w:rsid w:val="00903D39"/>
    <w:rsid w:val="0091176A"/>
    <w:rsid w:val="00913E20"/>
    <w:rsid w:val="00922EE1"/>
    <w:rsid w:val="00926D2B"/>
    <w:rsid w:val="00927F7D"/>
    <w:rsid w:val="00931822"/>
    <w:rsid w:val="0093204C"/>
    <w:rsid w:val="00941125"/>
    <w:rsid w:val="0096024F"/>
    <w:rsid w:val="00965358"/>
    <w:rsid w:val="00971A8E"/>
    <w:rsid w:val="00981A1E"/>
    <w:rsid w:val="00985FF4"/>
    <w:rsid w:val="00991077"/>
    <w:rsid w:val="00993006"/>
    <w:rsid w:val="009A33A9"/>
    <w:rsid w:val="009B27B4"/>
    <w:rsid w:val="009B474D"/>
    <w:rsid w:val="009B4BD7"/>
    <w:rsid w:val="009B7454"/>
    <w:rsid w:val="009C5427"/>
    <w:rsid w:val="009D7DCD"/>
    <w:rsid w:val="009F28CC"/>
    <w:rsid w:val="00A11AAC"/>
    <w:rsid w:val="00A21AB4"/>
    <w:rsid w:val="00A23BC1"/>
    <w:rsid w:val="00A47CD1"/>
    <w:rsid w:val="00A6136D"/>
    <w:rsid w:val="00A6450D"/>
    <w:rsid w:val="00A648EA"/>
    <w:rsid w:val="00A715C7"/>
    <w:rsid w:val="00A72B66"/>
    <w:rsid w:val="00A75139"/>
    <w:rsid w:val="00A80332"/>
    <w:rsid w:val="00A844BB"/>
    <w:rsid w:val="00A865FA"/>
    <w:rsid w:val="00A94986"/>
    <w:rsid w:val="00A961A8"/>
    <w:rsid w:val="00A96B54"/>
    <w:rsid w:val="00AA0971"/>
    <w:rsid w:val="00AA15FA"/>
    <w:rsid w:val="00AA2B1E"/>
    <w:rsid w:val="00AA5D58"/>
    <w:rsid w:val="00AC0725"/>
    <w:rsid w:val="00AC0F63"/>
    <w:rsid w:val="00AC3DA0"/>
    <w:rsid w:val="00AD50EB"/>
    <w:rsid w:val="00B0155A"/>
    <w:rsid w:val="00B04070"/>
    <w:rsid w:val="00B079DA"/>
    <w:rsid w:val="00B125ED"/>
    <w:rsid w:val="00B152E0"/>
    <w:rsid w:val="00B247DA"/>
    <w:rsid w:val="00B510EE"/>
    <w:rsid w:val="00B52E33"/>
    <w:rsid w:val="00B533F4"/>
    <w:rsid w:val="00B558DC"/>
    <w:rsid w:val="00B615F1"/>
    <w:rsid w:val="00B61A42"/>
    <w:rsid w:val="00B61DE4"/>
    <w:rsid w:val="00B87C79"/>
    <w:rsid w:val="00B919F7"/>
    <w:rsid w:val="00BD2E29"/>
    <w:rsid w:val="00BD6400"/>
    <w:rsid w:val="00BE3497"/>
    <w:rsid w:val="00BE6880"/>
    <w:rsid w:val="00BE7782"/>
    <w:rsid w:val="00BF2584"/>
    <w:rsid w:val="00BF72A1"/>
    <w:rsid w:val="00C1349E"/>
    <w:rsid w:val="00C174FF"/>
    <w:rsid w:val="00C175F2"/>
    <w:rsid w:val="00C21581"/>
    <w:rsid w:val="00C232E6"/>
    <w:rsid w:val="00C2433B"/>
    <w:rsid w:val="00C248BD"/>
    <w:rsid w:val="00C27782"/>
    <w:rsid w:val="00C330BB"/>
    <w:rsid w:val="00C34983"/>
    <w:rsid w:val="00C44799"/>
    <w:rsid w:val="00C57BC6"/>
    <w:rsid w:val="00C60D06"/>
    <w:rsid w:val="00C67F93"/>
    <w:rsid w:val="00C80DBA"/>
    <w:rsid w:val="00C846DE"/>
    <w:rsid w:val="00C86FFC"/>
    <w:rsid w:val="00C91565"/>
    <w:rsid w:val="00C94AFF"/>
    <w:rsid w:val="00CA3A69"/>
    <w:rsid w:val="00CA727A"/>
    <w:rsid w:val="00CC25B3"/>
    <w:rsid w:val="00CF69AA"/>
    <w:rsid w:val="00D26039"/>
    <w:rsid w:val="00D31647"/>
    <w:rsid w:val="00D34060"/>
    <w:rsid w:val="00D436A5"/>
    <w:rsid w:val="00D54ED3"/>
    <w:rsid w:val="00D63D9E"/>
    <w:rsid w:val="00D807DF"/>
    <w:rsid w:val="00D9087F"/>
    <w:rsid w:val="00DA2A46"/>
    <w:rsid w:val="00DB2035"/>
    <w:rsid w:val="00DC39B6"/>
    <w:rsid w:val="00DC6449"/>
    <w:rsid w:val="00DD53BA"/>
    <w:rsid w:val="00DE3961"/>
    <w:rsid w:val="00DF1748"/>
    <w:rsid w:val="00E0125B"/>
    <w:rsid w:val="00E02B59"/>
    <w:rsid w:val="00E07C02"/>
    <w:rsid w:val="00E238B8"/>
    <w:rsid w:val="00E30331"/>
    <w:rsid w:val="00E35ED2"/>
    <w:rsid w:val="00E53E2D"/>
    <w:rsid w:val="00E60BF8"/>
    <w:rsid w:val="00E62AA6"/>
    <w:rsid w:val="00E666FF"/>
    <w:rsid w:val="00E66AC7"/>
    <w:rsid w:val="00E71BAA"/>
    <w:rsid w:val="00E7340C"/>
    <w:rsid w:val="00E76DAD"/>
    <w:rsid w:val="00E77AA5"/>
    <w:rsid w:val="00E8061B"/>
    <w:rsid w:val="00E950DB"/>
    <w:rsid w:val="00EA187D"/>
    <w:rsid w:val="00EA5A35"/>
    <w:rsid w:val="00EB4A3E"/>
    <w:rsid w:val="00ED0E29"/>
    <w:rsid w:val="00ED6A8B"/>
    <w:rsid w:val="00EE51C4"/>
    <w:rsid w:val="00F058D0"/>
    <w:rsid w:val="00F166C1"/>
    <w:rsid w:val="00F21CD4"/>
    <w:rsid w:val="00F22D6E"/>
    <w:rsid w:val="00F60A7B"/>
    <w:rsid w:val="00F638D5"/>
    <w:rsid w:val="00F66BDC"/>
    <w:rsid w:val="00F71DF8"/>
    <w:rsid w:val="00F72A15"/>
    <w:rsid w:val="00F73C64"/>
    <w:rsid w:val="00F73D35"/>
    <w:rsid w:val="00F77036"/>
    <w:rsid w:val="00F801F2"/>
    <w:rsid w:val="00F96317"/>
    <w:rsid w:val="00FA2B06"/>
    <w:rsid w:val="00FB4680"/>
    <w:rsid w:val="00FC4BCD"/>
    <w:rsid w:val="00FC5AAA"/>
    <w:rsid w:val="00FC654A"/>
    <w:rsid w:val="00FC7B2E"/>
    <w:rsid w:val="00FE6BF4"/>
    <w:rsid w:val="00FF29C7"/>
    <w:rsid w:val="00FF5045"/>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 w:type="character" w:customStyle="1" w:styleId="ui-provider">
    <w:name w:val="ui-provider"/>
    <w:basedOn w:val="DefaultParagraphFont"/>
    <w:rsid w:val="00356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1814">
      <w:bodyDiv w:val="1"/>
      <w:marLeft w:val="0"/>
      <w:marRight w:val="0"/>
      <w:marTop w:val="0"/>
      <w:marBottom w:val="0"/>
      <w:divBdr>
        <w:top w:val="none" w:sz="0" w:space="0" w:color="auto"/>
        <w:left w:val="none" w:sz="0" w:space="0" w:color="auto"/>
        <w:bottom w:val="none" w:sz="0" w:space="0" w:color="auto"/>
        <w:right w:val="none" w:sz="0" w:space="0" w:color="auto"/>
      </w:divBdr>
    </w:div>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74517057">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162162856">
      <w:bodyDiv w:val="1"/>
      <w:marLeft w:val="0"/>
      <w:marRight w:val="0"/>
      <w:marTop w:val="0"/>
      <w:marBottom w:val="0"/>
      <w:divBdr>
        <w:top w:val="none" w:sz="0" w:space="0" w:color="auto"/>
        <w:left w:val="none" w:sz="0" w:space="0" w:color="auto"/>
        <w:bottom w:val="none" w:sz="0" w:space="0" w:color="auto"/>
        <w:right w:val="none" w:sz="0" w:space="0" w:color="auto"/>
      </w:divBdr>
    </w:div>
    <w:div w:id="171916271">
      <w:bodyDiv w:val="1"/>
      <w:marLeft w:val="0"/>
      <w:marRight w:val="0"/>
      <w:marTop w:val="0"/>
      <w:marBottom w:val="0"/>
      <w:divBdr>
        <w:top w:val="none" w:sz="0" w:space="0" w:color="auto"/>
        <w:left w:val="none" w:sz="0" w:space="0" w:color="auto"/>
        <w:bottom w:val="none" w:sz="0" w:space="0" w:color="auto"/>
        <w:right w:val="none" w:sz="0" w:space="0" w:color="auto"/>
      </w:divBdr>
    </w:div>
    <w:div w:id="179972040">
      <w:bodyDiv w:val="1"/>
      <w:marLeft w:val="0"/>
      <w:marRight w:val="0"/>
      <w:marTop w:val="0"/>
      <w:marBottom w:val="0"/>
      <w:divBdr>
        <w:top w:val="none" w:sz="0" w:space="0" w:color="auto"/>
        <w:left w:val="none" w:sz="0" w:space="0" w:color="auto"/>
        <w:bottom w:val="none" w:sz="0" w:space="0" w:color="auto"/>
        <w:right w:val="none" w:sz="0" w:space="0" w:color="auto"/>
      </w:divBdr>
    </w:div>
    <w:div w:id="18031630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17860980">
      <w:bodyDiv w:val="1"/>
      <w:marLeft w:val="0"/>
      <w:marRight w:val="0"/>
      <w:marTop w:val="0"/>
      <w:marBottom w:val="0"/>
      <w:divBdr>
        <w:top w:val="none" w:sz="0" w:space="0" w:color="auto"/>
        <w:left w:val="none" w:sz="0" w:space="0" w:color="auto"/>
        <w:bottom w:val="none" w:sz="0" w:space="0" w:color="auto"/>
        <w:right w:val="none" w:sz="0" w:space="0" w:color="auto"/>
      </w:divBdr>
    </w:div>
    <w:div w:id="226766678">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24212306">
      <w:bodyDiv w:val="1"/>
      <w:marLeft w:val="0"/>
      <w:marRight w:val="0"/>
      <w:marTop w:val="0"/>
      <w:marBottom w:val="0"/>
      <w:divBdr>
        <w:top w:val="none" w:sz="0" w:space="0" w:color="auto"/>
        <w:left w:val="none" w:sz="0" w:space="0" w:color="auto"/>
        <w:bottom w:val="none" w:sz="0" w:space="0" w:color="auto"/>
        <w:right w:val="none" w:sz="0" w:space="0" w:color="auto"/>
      </w:divBdr>
    </w:div>
    <w:div w:id="337579493">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61382129">
      <w:bodyDiv w:val="1"/>
      <w:marLeft w:val="0"/>
      <w:marRight w:val="0"/>
      <w:marTop w:val="0"/>
      <w:marBottom w:val="0"/>
      <w:divBdr>
        <w:top w:val="none" w:sz="0" w:space="0" w:color="auto"/>
        <w:left w:val="none" w:sz="0" w:space="0" w:color="auto"/>
        <w:bottom w:val="none" w:sz="0" w:space="0" w:color="auto"/>
        <w:right w:val="none" w:sz="0" w:space="0" w:color="auto"/>
      </w:divBdr>
    </w:div>
    <w:div w:id="464004615">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31310859">
      <w:bodyDiv w:val="1"/>
      <w:marLeft w:val="0"/>
      <w:marRight w:val="0"/>
      <w:marTop w:val="0"/>
      <w:marBottom w:val="0"/>
      <w:divBdr>
        <w:top w:val="none" w:sz="0" w:space="0" w:color="auto"/>
        <w:left w:val="none" w:sz="0" w:space="0" w:color="auto"/>
        <w:bottom w:val="none" w:sz="0" w:space="0" w:color="auto"/>
        <w:right w:val="none" w:sz="0" w:space="0" w:color="auto"/>
      </w:divBdr>
    </w:div>
    <w:div w:id="539250297">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3804068">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79300437">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27207917">
      <w:bodyDiv w:val="1"/>
      <w:marLeft w:val="0"/>
      <w:marRight w:val="0"/>
      <w:marTop w:val="0"/>
      <w:marBottom w:val="0"/>
      <w:divBdr>
        <w:top w:val="none" w:sz="0" w:space="0" w:color="auto"/>
        <w:left w:val="none" w:sz="0" w:space="0" w:color="auto"/>
        <w:bottom w:val="none" w:sz="0" w:space="0" w:color="auto"/>
        <w:right w:val="none" w:sz="0" w:space="0" w:color="auto"/>
      </w:divBdr>
    </w:div>
    <w:div w:id="828324898">
      <w:bodyDiv w:val="1"/>
      <w:marLeft w:val="0"/>
      <w:marRight w:val="0"/>
      <w:marTop w:val="0"/>
      <w:marBottom w:val="0"/>
      <w:divBdr>
        <w:top w:val="none" w:sz="0" w:space="0" w:color="auto"/>
        <w:left w:val="none" w:sz="0" w:space="0" w:color="auto"/>
        <w:bottom w:val="none" w:sz="0" w:space="0" w:color="auto"/>
        <w:right w:val="none" w:sz="0" w:space="0" w:color="auto"/>
      </w:divBdr>
    </w:div>
    <w:div w:id="859005507">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69806308">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7372124">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17653840">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082609131">
      <w:bodyDiv w:val="1"/>
      <w:marLeft w:val="0"/>
      <w:marRight w:val="0"/>
      <w:marTop w:val="0"/>
      <w:marBottom w:val="0"/>
      <w:divBdr>
        <w:top w:val="none" w:sz="0" w:space="0" w:color="auto"/>
        <w:left w:val="none" w:sz="0" w:space="0" w:color="auto"/>
        <w:bottom w:val="none" w:sz="0" w:space="0" w:color="auto"/>
        <w:right w:val="none" w:sz="0" w:space="0" w:color="auto"/>
      </w:divBdr>
    </w:div>
    <w:div w:id="1087965604">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74568593">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289897341">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382973251">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3210724">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496606092">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54077199">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78898841">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2765756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01852370">
      <w:bodyDiv w:val="1"/>
      <w:marLeft w:val="0"/>
      <w:marRight w:val="0"/>
      <w:marTop w:val="0"/>
      <w:marBottom w:val="0"/>
      <w:divBdr>
        <w:top w:val="none" w:sz="0" w:space="0" w:color="auto"/>
        <w:left w:val="none" w:sz="0" w:space="0" w:color="auto"/>
        <w:bottom w:val="none" w:sz="0" w:space="0" w:color="auto"/>
        <w:right w:val="none" w:sz="0" w:space="0" w:color="auto"/>
      </w:divBdr>
    </w:div>
    <w:div w:id="1702973754">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816139792">
      <w:bodyDiv w:val="1"/>
      <w:marLeft w:val="0"/>
      <w:marRight w:val="0"/>
      <w:marTop w:val="0"/>
      <w:marBottom w:val="0"/>
      <w:divBdr>
        <w:top w:val="none" w:sz="0" w:space="0" w:color="auto"/>
        <w:left w:val="none" w:sz="0" w:space="0" w:color="auto"/>
        <w:bottom w:val="none" w:sz="0" w:space="0" w:color="auto"/>
        <w:right w:val="none" w:sz="0" w:space="0" w:color="auto"/>
      </w:divBdr>
    </w:div>
    <w:div w:id="1821724595">
      <w:bodyDiv w:val="1"/>
      <w:marLeft w:val="0"/>
      <w:marRight w:val="0"/>
      <w:marTop w:val="0"/>
      <w:marBottom w:val="0"/>
      <w:divBdr>
        <w:top w:val="none" w:sz="0" w:space="0" w:color="auto"/>
        <w:left w:val="none" w:sz="0" w:space="0" w:color="auto"/>
        <w:bottom w:val="none" w:sz="0" w:space="0" w:color="auto"/>
        <w:right w:val="none" w:sz="0" w:space="0" w:color="auto"/>
      </w:divBdr>
    </w:div>
    <w:div w:id="1910455189">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61836551">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05834113">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 w:id="21311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708</Words>
  <Characters>4042</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A. Boren</cp:lastModifiedBy>
  <cp:revision>2</cp:revision>
  <dcterms:created xsi:type="dcterms:W3CDTF">2024-02-12T22:52:00Z</dcterms:created>
  <dcterms:modified xsi:type="dcterms:W3CDTF">2024-02-12T22:52:00Z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2023-07-14T12:45:49Z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001294ea-e9e7-4902-9c4d-78aa7fbb78dc</vt:lpwstr>
  </property>
  <property fmtid="{D5CDD505-2E9C-101B-9397-08002B2CF9AE}" pid="8" name="MSIP_Label_7084cbda-52b8-46fb-a7b7-cb5bd465ed85_ContentBits">
    <vt:lpwstr>0</vt:lpwstr>
  </property>
</Properties>
</file>