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W w:w="0" w:type="auto"/>
        <w:tblCellMar>
          <w:left w:w="0" w:type="dxa"/>
          <w:right w:w="0" w:type="dxa"/>
        </w:tblCellMar>
        <w:tblLook w:val="04A0" w:firstRow="1" w:lastRow="0" w:firstColumn="1" w:lastColumn="0" w:noHBand="0" w:noVBand="1"/>
      </w:tblPr>
      <w:tblGrid>
        <w:gridCol w:w="1303"/>
        <w:gridCol w:w="5423"/>
        <w:gridCol w:w="926"/>
        <w:gridCol w:w="2045"/>
        <w:gridCol w:w="3506"/>
      </w:tblGrid>
      <w:tr w:rsidR="007552DD" w14:paraId="255CE69F" w14:textId="77777777" w:rsidTr="007552DD">
        <w:trPr>
          <w:trHeight w:val="520"/>
        </w:trPr>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278F64B4" w14:textId="77777777" w:rsidR="007552DD" w:rsidRDefault="007552DD">
            <w:pPr>
              <w:spacing w:line="252" w:lineRule="auto"/>
              <w:rPr>
                <w:b/>
                <w:bCs/>
                <w:color w:val="FFFFFF"/>
                <w:sz w:val="20"/>
                <w:szCs w:val="20"/>
              </w:rPr>
            </w:pPr>
            <w:bookmarkStart w:id="0" w:name="_Hlk156068062"/>
            <w:bookmarkStart w:id="1" w:name="_Hlk145504630"/>
            <w:r>
              <w:rPr>
                <w:b/>
                <w:bCs/>
                <w:color w:val="FFFFFF"/>
                <w:sz w:val="20"/>
                <w:szCs w:val="20"/>
              </w:rPr>
              <w:t>REV REQ NO.</w:t>
            </w:r>
          </w:p>
        </w:tc>
        <w:tc>
          <w:tcPr>
            <w:tcW w:w="5423"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3171F4A" w14:textId="77777777" w:rsidR="007552DD" w:rsidRDefault="007552DD">
            <w:pPr>
              <w:spacing w:line="252" w:lineRule="auto"/>
              <w:rPr>
                <w:b/>
                <w:bCs/>
                <w:color w:val="FFFFFF"/>
                <w:sz w:val="20"/>
                <w:szCs w:val="20"/>
              </w:rPr>
            </w:pPr>
            <w:r>
              <w:rPr>
                <w:b/>
                <w:bCs/>
                <w:color w:val="FFFFFF"/>
                <w:sz w:val="20"/>
                <w:szCs w:val="20"/>
              </w:rPr>
              <w:t>DESCRIPTION</w:t>
            </w:r>
          </w:p>
        </w:tc>
        <w:tc>
          <w:tcPr>
            <w:tcW w:w="92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691821D0" w14:textId="77777777" w:rsidR="007552DD" w:rsidRDefault="007552DD">
            <w:pPr>
              <w:spacing w:line="252" w:lineRule="auto"/>
              <w:jc w:val="center"/>
              <w:rPr>
                <w:b/>
                <w:bCs/>
                <w:color w:val="FFFFFF"/>
                <w:sz w:val="20"/>
                <w:szCs w:val="20"/>
              </w:rPr>
            </w:pPr>
            <w:r>
              <w:rPr>
                <w:b/>
                <w:bCs/>
                <w:color w:val="FFFFFF"/>
                <w:sz w:val="20"/>
                <w:szCs w:val="20"/>
              </w:rPr>
              <w:t>URGENT</w:t>
            </w:r>
          </w:p>
        </w:tc>
        <w:tc>
          <w:tcPr>
            <w:tcW w:w="204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784EE242" w14:textId="77777777" w:rsidR="007552DD" w:rsidRDefault="007552DD">
            <w:pPr>
              <w:spacing w:line="252" w:lineRule="auto"/>
              <w:rPr>
                <w:b/>
                <w:bCs/>
                <w:color w:val="FFFFFF"/>
                <w:sz w:val="20"/>
                <w:szCs w:val="20"/>
              </w:rPr>
            </w:pPr>
            <w:r>
              <w:rPr>
                <w:b/>
                <w:bCs/>
                <w:color w:val="FFFFFF"/>
                <w:sz w:val="20"/>
                <w:szCs w:val="20"/>
              </w:rPr>
              <w:t>ERCOT Opinion</w:t>
            </w:r>
          </w:p>
        </w:tc>
        <w:tc>
          <w:tcPr>
            <w:tcW w:w="3506" w:type="dxa"/>
            <w:tcBorders>
              <w:top w:val="single" w:sz="8" w:space="0" w:color="auto"/>
              <w:left w:val="nil"/>
              <w:bottom w:val="single" w:sz="8" w:space="0" w:color="auto"/>
              <w:right w:val="single" w:sz="8" w:space="0" w:color="auto"/>
            </w:tcBorders>
            <w:shd w:val="clear" w:color="auto" w:fill="366092"/>
            <w:hideMark/>
          </w:tcPr>
          <w:p w14:paraId="054AE5C2" w14:textId="77777777" w:rsidR="007552DD" w:rsidRDefault="007552DD">
            <w:pPr>
              <w:spacing w:line="252" w:lineRule="auto"/>
              <w:rPr>
                <w:b/>
                <w:bCs/>
                <w:color w:val="FFFFFF"/>
                <w:sz w:val="20"/>
                <w:szCs w:val="20"/>
              </w:rPr>
            </w:pPr>
            <w:r>
              <w:rPr>
                <w:b/>
                <w:bCs/>
                <w:color w:val="FFFFFF"/>
                <w:sz w:val="20"/>
                <w:szCs w:val="20"/>
              </w:rPr>
              <w:t>ERCOT Market Impact Statement</w:t>
            </w:r>
          </w:p>
        </w:tc>
        <w:bookmarkEnd w:id="1"/>
      </w:tr>
      <w:tr w:rsidR="007552DD" w14:paraId="440D518E"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081C81" w14:textId="3AAEA850" w:rsidR="007552DD" w:rsidRDefault="007552DD" w:rsidP="00CC614E">
            <w:pPr>
              <w:spacing w:line="252" w:lineRule="auto"/>
              <w:rPr>
                <w:b/>
                <w:bCs/>
                <w:color w:val="000000"/>
                <w:sz w:val="20"/>
                <w:szCs w:val="20"/>
              </w:rPr>
            </w:pPr>
            <w:r>
              <w:rPr>
                <w:rFonts w:cs="Calibri"/>
                <w:b/>
                <w:bCs/>
                <w:color w:val="000000"/>
                <w:sz w:val="20"/>
                <w:szCs w:val="20"/>
              </w:rPr>
              <w:t>027SMOGRR</w:t>
            </w:r>
          </w:p>
        </w:tc>
        <w:tc>
          <w:tcPr>
            <w:tcW w:w="5423" w:type="dxa"/>
            <w:tcBorders>
              <w:top w:val="nil"/>
              <w:left w:val="nil"/>
              <w:bottom w:val="single" w:sz="8" w:space="0" w:color="auto"/>
              <w:right w:val="single" w:sz="8" w:space="0" w:color="auto"/>
            </w:tcBorders>
            <w:tcMar>
              <w:top w:w="0" w:type="dxa"/>
              <w:left w:w="108" w:type="dxa"/>
              <w:bottom w:w="0" w:type="dxa"/>
              <w:right w:w="108" w:type="dxa"/>
            </w:tcMar>
            <w:hideMark/>
          </w:tcPr>
          <w:p w14:paraId="6A3A6A49" w14:textId="7E378BB3" w:rsidR="007552DD" w:rsidRDefault="007552DD" w:rsidP="00CC614E">
            <w:pPr>
              <w:spacing w:line="252" w:lineRule="auto"/>
              <w:rPr>
                <w:b/>
                <w:bCs/>
                <w:color w:val="000000"/>
                <w:sz w:val="20"/>
                <w:szCs w:val="20"/>
              </w:rPr>
            </w:pPr>
            <w:r>
              <w:rPr>
                <w:rFonts w:cs="Calibri"/>
                <w:b/>
                <w:bCs/>
                <w:color w:val="000000"/>
                <w:sz w:val="20"/>
                <w:szCs w:val="20"/>
              </w:rPr>
              <w:t xml:space="preserve">Move OBD to Settlement Metering Operating Guide – EPS Metering Design Proposal.  </w:t>
            </w:r>
            <w:r>
              <w:rPr>
                <w:rFonts w:cs="Calibri"/>
                <w:color w:val="000000"/>
                <w:sz w:val="20"/>
                <w:szCs w:val="20"/>
              </w:rPr>
              <w:t>This Settlement Metering Operating Guide Revision Request (SMOGRR) moves the EPS Metering Design Proposal from the Other Binding Document List into the Settlement Metering Operating Guide to standardize the approval process, and amends the design proposal form to require additional information identifying any and all Distribution Service Providers (DSPs) that have the right to serve a project. The amendments also make clear that this requirement does not apply to Wholesale Storage Load (WSL), and deletes references to the Resource Asset Registration Form (RARF) in the ERCOT-Polled Settlement (EPS) Metering Design Proposal form.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14:paraId="5E0C623C" w14:textId="34287B97" w:rsidR="007552DD" w:rsidRDefault="007552DD" w:rsidP="00CC614E">
            <w:pPr>
              <w:spacing w:line="252" w:lineRule="auto"/>
              <w:jc w:val="center"/>
              <w:rPr>
                <w:color w:val="000000"/>
                <w:sz w:val="20"/>
                <w:szCs w:val="20"/>
              </w:rPr>
            </w:pPr>
            <w:r>
              <w:rPr>
                <w:rFonts w:cs="Calibri"/>
                <w:color w:val="000000"/>
                <w:sz w:val="20"/>
                <w:szCs w:val="20"/>
              </w:rPr>
              <w:t>N</w:t>
            </w:r>
          </w:p>
        </w:tc>
        <w:tc>
          <w:tcPr>
            <w:tcW w:w="2045" w:type="dxa"/>
            <w:tcBorders>
              <w:top w:val="nil"/>
              <w:left w:val="nil"/>
              <w:bottom w:val="single" w:sz="8" w:space="0" w:color="auto"/>
              <w:right w:val="single" w:sz="8" w:space="0" w:color="auto"/>
            </w:tcBorders>
            <w:tcMar>
              <w:top w:w="0" w:type="dxa"/>
              <w:left w:w="108" w:type="dxa"/>
              <w:bottom w:w="0" w:type="dxa"/>
              <w:right w:w="108" w:type="dxa"/>
            </w:tcMar>
            <w:hideMark/>
          </w:tcPr>
          <w:p w14:paraId="4ED1352E" w14:textId="5654CEE6" w:rsidR="007552DD" w:rsidRDefault="007552DD" w:rsidP="00CC614E">
            <w:pPr>
              <w:spacing w:line="252" w:lineRule="auto"/>
              <w:rPr>
                <w:sz w:val="20"/>
                <w:szCs w:val="20"/>
              </w:rPr>
            </w:pPr>
            <w:r>
              <w:rPr>
                <w:color w:val="000000"/>
                <w:sz w:val="20"/>
                <w:szCs w:val="20"/>
              </w:rPr>
              <w:t xml:space="preserve">ERCOT supports approval of </w:t>
            </w:r>
            <w:r>
              <w:rPr>
                <w:sz w:val="20"/>
                <w:szCs w:val="20"/>
              </w:rPr>
              <w:t>SMOGRR027.</w:t>
            </w:r>
          </w:p>
        </w:tc>
        <w:tc>
          <w:tcPr>
            <w:tcW w:w="3506" w:type="dxa"/>
            <w:tcBorders>
              <w:top w:val="nil"/>
              <w:left w:val="nil"/>
              <w:bottom w:val="single" w:sz="8" w:space="0" w:color="auto"/>
              <w:right w:val="single" w:sz="8" w:space="0" w:color="auto"/>
            </w:tcBorders>
          </w:tcPr>
          <w:p w14:paraId="4AF2149B" w14:textId="5F0F2EBC" w:rsidR="007552DD" w:rsidRDefault="007552DD" w:rsidP="00CC614E">
            <w:pPr>
              <w:spacing w:line="252" w:lineRule="auto"/>
              <w:rPr>
                <w:sz w:val="20"/>
                <w:szCs w:val="20"/>
              </w:rPr>
            </w:pPr>
            <w:r w:rsidRPr="008301A8">
              <w:rPr>
                <w:sz w:val="20"/>
                <w:szCs w:val="20"/>
              </w:rPr>
              <w:t>ERCOT Staff has reviewed SMOGRR027 and believes it has a positive market impact by standardizing the approval process for binding language.</w:t>
            </w:r>
          </w:p>
        </w:tc>
      </w:tr>
      <w:tr w:rsidR="007552DD" w14:paraId="68DE7107"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DFE86DB" w14:textId="101A1DEF" w:rsidR="007552DD" w:rsidRDefault="007552DD" w:rsidP="00CC614E">
            <w:pPr>
              <w:spacing w:line="252" w:lineRule="auto"/>
              <w:rPr>
                <w:b/>
                <w:bCs/>
                <w:color w:val="000000"/>
                <w:sz w:val="20"/>
                <w:szCs w:val="20"/>
              </w:rPr>
            </w:pPr>
            <w:r>
              <w:rPr>
                <w:rFonts w:cs="Calibri"/>
                <w:b/>
                <w:bCs/>
                <w:color w:val="000000"/>
                <w:sz w:val="20"/>
                <w:szCs w:val="20"/>
              </w:rPr>
              <w:t>030SMOGRR</w:t>
            </w:r>
          </w:p>
        </w:tc>
        <w:tc>
          <w:tcPr>
            <w:tcW w:w="5423" w:type="dxa"/>
            <w:tcBorders>
              <w:top w:val="nil"/>
              <w:left w:val="nil"/>
              <w:bottom w:val="single" w:sz="8" w:space="0" w:color="auto"/>
              <w:right w:val="single" w:sz="8" w:space="0" w:color="auto"/>
            </w:tcBorders>
            <w:tcMar>
              <w:top w:w="0" w:type="dxa"/>
              <w:left w:w="108" w:type="dxa"/>
              <w:bottom w:w="0" w:type="dxa"/>
              <w:right w:w="108" w:type="dxa"/>
            </w:tcMar>
          </w:tcPr>
          <w:p w14:paraId="38886A55" w14:textId="54FB17A4" w:rsidR="007552DD" w:rsidRDefault="007552DD" w:rsidP="00CC614E">
            <w:pPr>
              <w:spacing w:line="252" w:lineRule="auto"/>
              <w:rPr>
                <w:b/>
                <w:bCs/>
                <w:sz w:val="20"/>
                <w:szCs w:val="20"/>
              </w:rPr>
            </w:pPr>
            <w:r>
              <w:rPr>
                <w:rFonts w:cs="Calibri"/>
                <w:b/>
                <w:bCs/>
                <w:color w:val="000000"/>
                <w:sz w:val="20"/>
                <w:szCs w:val="20"/>
              </w:rPr>
              <w:t xml:space="preserve">Move OBD to Settlement Metering Operating Guide – EPS Metering Facility Temporary Exemption Request Application Form. </w:t>
            </w:r>
            <w:r>
              <w:rPr>
                <w:rFonts w:cs="Calibri"/>
                <w:color w:val="000000"/>
                <w:sz w:val="20"/>
                <w:szCs w:val="20"/>
              </w:rPr>
              <w:t xml:space="preserve"> This Settlement Metering Operating Guide Revision Request (SMOGRR) moves the EPS Metering Facility Temporary Exemption Request Application Form from the Other Binding Document List into the Settlement Metering Operating Guide to standardize the approval process.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tcPr>
          <w:p w14:paraId="6464127F" w14:textId="3FC6C2CC" w:rsidR="007552DD" w:rsidRDefault="007552DD" w:rsidP="00CC614E">
            <w:pPr>
              <w:spacing w:line="252" w:lineRule="auto"/>
              <w:jc w:val="center"/>
              <w:rPr>
                <w:sz w:val="20"/>
                <w:szCs w:val="20"/>
              </w:rPr>
            </w:pPr>
            <w:r>
              <w:rPr>
                <w:rFonts w:cs="Calibri"/>
                <w:color w:val="000000"/>
                <w:sz w:val="20"/>
                <w:szCs w:val="20"/>
              </w:rPr>
              <w:t>N</w:t>
            </w:r>
          </w:p>
        </w:tc>
        <w:tc>
          <w:tcPr>
            <w:tcW w:w="2045" w:type="dxa"/>
            <w:tcBorders>
              <w:top w:val="nil"/>
              <w:left w:val="nil"/>
              <w:bottom w:val="single" w:sz="8" w:space="0" w:color="auto"/>
              <w:right w:val="single" w:sz="8" w:space="0" w:color="auto"/>
            </w:tcBorders>
            <w:tcMar>
              <w:top w:w="0" w:type="dxa"/>
              <w:left w:w="108" w:type="dxa"/>
              <w:bottom w:w="0" w:type="dxa"/>
              <w:right w:w="108" w:type="dxa"/>
            </w:tcMar>
          </w:tcPr>
          <w:p w14:paraId="571F786B" w14:textId="5FD7012C" w:rsidR="007552DD" w:rsidRDefault="007552DD" w:rsidP="00CC614E">
            <w:pPr>
              <w:spacing w:line="252" w:lineRule="auto"/>
              <w:rPr>
                <w:sz w:val="20"/>
                <w:szCs w:val="20"/>
              </w:rPr>
            </w:pPr>
            <w:r>
              <w:rPr>
                <w:color w:val="000000"/>
                <w:sz w:val="20"/>
                <w:szCs w:val="20"/>
              </w:rPr>
              <w:t xml:space="preserve">ERCOT supports approval of </w:t>
            </w:r>
            <w:r>
              <w:rPr>
                <w:sz w:val="20"/>
                <w:szCs w:val="20"/>
              </w:rPr>
              <w:t>SMOGRR030.</w:t>
            </w:r>
          </w:p>
        </w:tc>
        <w:tc>
          <w:tcPr>
            <w:tcW w:w="3506" w:type="dxa"/>
            <w:tcBorders>
              <w:top w:val="nil"/>
              <w:left w:val="nil"/>
              <w:bottom w:val="single" w:sz="8" w:space="0" w:color="auto"/>
              <w:right w:val="single" w:sz="8" w:space="0" w:color="auto"/>
            </w:tcBorders>
          </w:tcPr>
          <w:p w14:paraId="6D5B7683" w14:textId="0DA2FDA9" w:rsidR="007552DD" w:rsidRDefault="007552DD" w:rsidP="00CC614E">
            <w:pPr>
              <w:spacing w:line="252" w:lineRule="auto"/>
              <w:rPr>
                <w:sz w:val="20"/>
                <w:szCs w:val="20"/>
              </w:rPr>
            </w:pPr>
            <w:r w:rsidRPr="008301A8">
              <w:rPr>
                <w:sz w:val="20"/>
                <w:szCs w:val="20"/>
              </w:rPr>
              <w:t>ERCOT Staff has reviewed SMOGRR0</w:t>
            </w:r>
            <w:r>
              <w:rPr>
                <w:sz w:val="20"/>
                <w:szCs w:val="20"/>
              </w:rPr>
              <w:t>30</w:t>
            </w:r>
            <w:r w:rsidRPr="008301A8">
              <w:rPr>
                <w:sz w:val="20"/>
                <w:szCs w:val="20"/>
              </w:rPr>
              <w:t xml:space="preserve"> and believes it has a positive market impact by standardizing the approval process for binding language.</w:t>
            </w:r>
          </w:p>
        </w:tc>
      </w:tr>
      <w:tr w:rsidR="007552DD" w14:paraId="3939BC84"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8A31A0C" w14:textId="336F3F92" w:rsidR="007552DD" w:rsidRDefault="007552DD" w:rsidP="00CC614E">
            <w:pPr>
              <w:spacing w:line="252" w:lineRule="auto"/>
              <w:rPr>
                <w:b/>
                <w:bCs/>
                <w:color w:val="000000"/>
                <w:sz w:val="20"/>
                <w:szCs w:val="20"/>
              </w:rPr>
            </w:pPr>
            <w:r>
              <w:rPr>
                <w:rFonts w:cs="Calibri"/>
                <w:b/>
                <w:bCs/>
                <w:color w:val="000000"/>
                <w:sz w:val="20"/>
                <w:szCs w:val="20"/>
              </w:rPr>
              <w:t>074LPGRR</w:t>
            </w:r>
          </w:p>
        </w:tc>
        <w:tc>
          <w:tcPr>
            <w:tcW w:w="5423" w:type="dxa"/>
            <w:tcBorders>
              <w:top w:val="nil"/>
              <w:left w:val="nil"/>
              <w:bottom w:val="single" w:sz="8" w:space="0" w:color="auto"/>
              <w:right w:val="single" w:sz="8" w:space="0" w:color="auto"/>
            </w:tcBorders>
            <w:tcMar>
              <w:top w:w="0" w:type="dxa"/>
              <w:left w:w="108" w:type="dxa"/>
              <w:bottom w:w="0" w:type="dxa"/>
              <w:right w:w="108" w:type="dxa"/>
            </w:tcMar>
          </w:tcPr>
          <w:p w14:paraId="642B058A" w14:textId="4DE69230" w:rsidR="007552DD" w:rsidRDefault="007552DD" w:rsidP="00CC614E">
            <w:pPr>
              <w:spacing w:line="252" w:lineRule="auto"/>
              <w:rPr>
                <w:b/>
                <w:bCs/>
                <w:sz w:val="20"/>
                <w:szCs w:val="20"/>
              </w:rPr>
            </w:pPr>
            <w:r>
              <w:rPr>
                <w:rFonts w:cs="Calibri"/>
                <w:b/>
                <w:bCs/>
                <w:color w:val="000000"/>
                <w:sz w:val="20"/>
                <w:szCs w:val="20"/>
              </w:rPr>
              <w:t xml:space="preserve">Align Definitions of IDRRQ, LRG, and LRGDG.  </w:t>
            </w:r>
            <w:r>
              <w:rPr>
                <w:rFonts w:cs="Calibri"/>
                <w:color w:val="000000"/>
                <w:sz w:val="20"/>
                <w:szCs w:val="20"/>
              </w:rPr>
              <w:t>This Load Planning Guide Revision Request (LPGRR) aligns IDRRQ, LRG, and LRGDG term language in the Profile Decision Tree “Definitions” worksheet with Profile Segment language that was added to the “Segment Assignment” worksheet upon the Public Utility Commission of Texas’s (PUCT’s) approval of LPGRR069, Add Lubbock Zip Codes and Clarify BUSIDRRQ/BUSLRG (DG) Assignments, at their December 15, 2022 meeting.  [PWG]</w:t>
            </w:r>
          </w:p>
        </w:tc>
        <w:tc>
          <w:tcPr>
            <w:tcW w:w="926" w:type="dxa"/>
            <w:tcBorders>
              <w:top w:val="nil"/>
              <w:left w:val="nil"/>
              <w:bottom w:val="single" w:sz="8" w:space="0" w:color="auto"/>
              <w:right w:val="single" w:sz="8" w:space="0" w:color="auto"/>
            </w:tcBorders>
            <w:tcMar>
              <w:top w:w="0" w:type="dxa"/>
              <w:left w:w="108" w:type="dxa"/>
              <w:bottom w:w="0" w:type="dxa"/>
              <w:right w:w="108" w:type="dxa"/>
            </w:tcMar>
          </w:tcPr>
          <w:p w14:paraId="61806E66" w14:textId="21832696" w:rsidR="007552DD" w:rsidRDefault="007552DD" w:rsidP="00CC614E">
            <w:pPr>
              <w:spacing w:line="252" w:lineRule="auto"/>
              <w:jc w:val="center"/>
              <w:rPr>
                <w:sz w:val="20"/>
                <w:szCs w:val="20"/>
              </w:rPr>
            </w:pPr>
            <w:r>
              <w:rPr>
                <w:rFonts w:cs="Calibri"/>
                <w:color w:val="000000"/>
                <w:sz w:val="20"/>
                <w:szCs w:val="20"/>
              </w:rPr>
              <w:t>N</w:t>
            </w:r>
          </w:p>
        </w:tc>
        <w:tc>
          <w:tcPr>
            <w:tcW w:w="2045" w:type="dxa"/>
            <w:tcBorders>
              <w:top w:val="nil"/>
              <w:left w:val="nil"/>
              <w:bottom w:val="single" w:sz="8" w:space="0" w:color="auto"/>
              <w:right w:val="single" w:sz="8" w:space="0" w:color="auto"/>
            </w:tcBorders>
            <w:tcMar>
              <w:top w:w="0" w:type="dxa"/>
              <w:left w:w="108" w:type="dxa"/>
              <w:bottom w:w="0" w:type="dxa"/>
              <w:right w:w="108" w:type="dxa"/>
            </w:tcMar>
          </w:tcPr>
          <w:p w14:paraId="16BB8A1C" w14:textId="15AD7DDF" w:rsidR="007552DD" w:rsidRPr="000F580F" w:rsidRDefault="007552DD" w:rsidP="00CC614E">
            <w:pPr>
              <w:spacing w:line="252" w:lineRule="auto"/>
              <w:rPr>
                <w:sz w:val="20"/>
                <w:szCs w:val="20"/>
              </w:rPr>
            </w:pPr>
            <w:r w:rsidRPr="000F580F">
              <w:rPr>
                <w:sz w:val="20"/>
                <w:szCs w:val="20"/>
              </w:rPr>
              <w:t>ERCOT supports approval of LPGRR074.</w:t>
            </w:r>
          </w:p>
        </w:tc>
        <w:tc>
          <w:tcPr>
            <w:tcW w:w="3506" w:type="dxa"/>
            <w:tcBorders>
              <w:top w:val="nil"/>
              <w:left w:val="nil"/>
              <w:bottom w:val="single" w:sz="8" w:space="0" w:color="auto"/>
              <w:right w:val="single" w:sz="8" w:space="0" w:color="auto"/>
            </w:tcBorders>
          </w:tcPr>
          <w:p w14:paraId="33AE1A75" w14:textId="29CD192E" w:rsidR="007552DD" w:rsidRPr="000F580F" w:rsidRDefault="007552DD" w:rsidP="00CC614E">
            <w:pPr>
              <w:spacing w:line="252" w:lineRule="auto"/>
              <w:rPr>
                <w:sz w:val="20"/>
                <w:szCs w:val="20"/>
              </w:rPr>
            </w:pPr>
            <w:r w:rsidRPr="00643307">
              <w:rPr>
                <w:sz w:val="20"/>
                <w:szCs w:val="20"/>
              </w:rPr>
              <w:t>ERCOT Staff has reviewed</w:t>
            </w:r>
            <w:r>
              <w:rPr>
                <w:sz w:val="20"/>
                <w:szCs w:val="20"/>
              </w:rPr>
              <w:t xml:space="preserve"> </w:t>
            </w:r>
            <w:r w:rsidRPr="00643307">
              <w:rPr>
                <w:sz w:val="20"/>
                <w:szCs w:val="20"/>
              </w:rPr>
              <w:t>LPGRR074 and believes that it provides a positive market impact by offering general system and/or process improvement(s) by aligning IDRRQ, LRG, and LRGDG term language in the Profile Decision Tree with Profile Segment language that was added upon the PUCT’s approval of LPGRR069, Add Lubbock Zip Codes and Clarify BUSIDRRQ/BUSLRG (DG) Assignments.</w:t>
            </w:r>
          </w:p>
        </w:tc>
      </w:tr>
      <w:tr w:rsidR="007552DD" w14:paraId="715DCA72"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701EEC3" w14:textId="61F643BA" w:rsidR="007552DD" w:rsidRDefault="007552DD" w:rsidP="000F580F">
            <w:pPr>
              <w:spacing w:line="252" w:lineRule="auto"/>
              <w:rPr>
                <w:b/>
                <w:bCs/>
                <w:color w:val="000000"/>
                <w:sz w:val="20"/>
                <w:szCs w:val="20"/>
              </w:rPr>
            </w:pPr>
            <w:r>
              <w:rPr>
                <w:rFonts w:cs="Calibri"/>
                <w:b/>
                <w:bCs/>
                <w:color w:val="000000"/>
                <w:sz w:val="20"/>
                <w:szCs w:val="20"/>
              </w:rPr>
              <w:t>1199NPRR</w:t>
            </w:r>
          </w:p>
        </w:tc>
        <w:tc>
          <w:tcPr>
            <w:tcW w:w="5423" w:type="dxa"/>
            <w:tcBorders>
              <w:top w:val="nil"/>
              <w:left w:val="nil"/>
              <w:bottom w:val="single" w:sz="8" w:space="0" w:color="auto"/>
              <w:right w:val="single" w:sz="8" w:space="0" w:color="auto"/>
            </w:tcBorders>
            <w:tcMar>
              <w:top w:w="0" w:type="dxa"/>
              <w:left w:w="108" w:type="dxa"/>
              <w:bottom w:w="0" w:type="dxa"/>
              <w:right w:w="108" w:type="dxa"/>
            </w:tcMar>
          </w:tcPr>
          <w:p w14:paraId="2031B4BD" w14:textId="3F913367" w:rsidR="007552DD" w:rsidRDefault="007552DD" w:rsidP="000F580F">
            <w:pPr>
              <w:spacing w:line="252" w:lineRule="auto"/>
              <w:rPr>
                <w:b/>
                <w:bCs/>
                <w:color w:val="000000"/>
                <w:sz w:val="20"/>
                <w:szCs w:val="20"/>
              </w:rPr>
            </w:pPr>
            <w:r>
              <w:rPr>
                <w:rFonts w:cs="Calibri"/>
                <w:b/>
                <w:bCs/>
                <w:color w:val="000000"/>
                <w:sz w:val="20"/>
                <w:szCs w:val="20"/>
              </w:rPr>
              <w:t xml:space="preserve">Implementation of Lone Star Infrastructure Protection Act (LSIPA) Requirements.  </w:t>
            </w:r>
            <w:r>
              <w:rPr>
                <w:rFonts w:cs="Calibri"/>
                <w:color w:val="000000"/>
                <w:sz w:val="20"/>
                <w:szCs w:val="20"/>
              </w:rPr>
              <w:t>This Nodal Protocol Revision Request (NPRR) revises the Protocols to reflect new requirements added to the LSIPA as part of Senate Bill (SB) 2013 during the 88th regular legislative session.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tcPr>
          <w:p w14:paraId="2DEF80EA" w14:textId="406DC16C" w:rsidR="007552DD" w:rsidRDefault="007552DD" w:rsidP="000F580F">
            <w:pPr>
              <w:spacing w:line="252" w:lineRule="auto"/>
              <w:jc w:val="center"/>
              <w:rPr>
                <w:color w:val="000000"/>
                <w:sz w:val="20"/>
                <w:szCs w:val="20"/>
              </w:rPr>
            </w:pPr>
            <w:r>
              <w:rPr>
                <w:rFonts w:cs="Calibri"/>
                <w:color w:val="000000"/>
                <w:sz w:val="20"/>
                <w:szCs w:val="20"/>
              </w:rPr>
              <w:t>Y</w:t>
            </w:r>
          </w:p>
        </w:tc>
        <w:tc>
          <w:tcPr>
            <w:tcW w:w="2045" w:type="dxa"/>
            <w:tcBorders>
              <w:top w:val="nil"/>
              <w:left w:val="nil"/>
              <w:bottom w:val="single" w:sz="8" w:space="0" w:color="auto"/>
              <w:right w:val="single" w:sz="8" w:space="0" w:color="auto"/>
            </w:tcBorders>
            <w:tcMar>
              <w:top w:w="0" w:type="dxa"/>
              <w:left w:w="108" w:type="dxa"/>
              <w:bottom w:w="0" w:type="dxa"/>
              <w:right w:w="108" w:type="dxa"/>
            </w:tcMar>
          </w:tcPr>
          <w:p w14:paraId="7AE5781D" w14:textId="5ACBCC8A" w:rsidR="007552DD" w:rsidRPr="000F580F" w:rsidRDefault="007552DD" w:rsidP="000F580F">
            <w:pPr>
              <w:spacing w:line="252" w:lineRule="auto"/>
              <w:rPr>
                <w:sz w:val="20"/>
                <w:szCs w:val="20"/>
              </w:rPr>
            </w:pPr>
            <w:r w:rsidRPr="000F580F">
              <w:rPr>
                <w:sz w:val="20"/>
                <w:szCs w:val="20"/>
              </w:rPr>
              <w:t>ERCOT supports approval of NPRR1199.</w:t>
            </w:r>
          </w:p>
        </w:tc>
        <w:tc>
          <w:tcPr>
            <w:tcW w:w="3506" w:type="dxa"/>
            <w:tcBorders>
              <w:top w:val="nil"/>
              <w:left w:val="nil"/>
              <w:bottom w:val="single" w:sz="8" w:space="0" w:color="auto"/>
              <w:right w:val="single" w:sz="8" w:space="0" w:color="auto"/>
            </w:tcBorders>
          </w:tcPr>
          <w:p w14:paraId="503DE3ED" w14:textId="5772BE58" w:rsidR="007552DD" w:rsidRPr="000F580F" w:rsidRDefault="007552DD" w:rsidP="000F580F">
            <w:pPr>
              <w:spacing w:line="252" w:lineRule="auto"/>
              <w:rPr>
                <w:sz w:val="20"/>
                <w:szCs w:val="20"/>
              </w:rPr>
            </w:pPr>
            <w:r w:rsidRPr="000F580F">
              <w:rPr>
                <w:sz w:val="20"/>
                <w:szCs w:val="20"/>
              </w:rPr>
              <w:t>ERCOT Staff has reviewed NPRR1199 and believes the market impact for NPRR1199 provides sufficient compromise between stakeholders and ERCOT regarding the incorporation of the LSIPA into the Protocols.</w:t>
            </w:r>
          </w:p>
        </w:tc>
      </w:tr>
      <w:tr w:rsidR="007552DD" w14:paraId="0792A9AD"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62C5EF7" w14:textId="4DA21F41" w:rsidR="007552DD" w:rsidRDefault="007552DD" w:rsidP="00CC614E">
            <w:pPr>
              <w:spacing w:line="252" w:lineRule="auto"/>
              <w:rPr>
                <w:b/>
                <w:bCs/>
                <w:color w:val="000000"/>
                <w:sz w:val="20"/>
                <w:szCs w:val="20"/>
              </w:rPr>
            </w:pPr>
            <w:r>
              <w:rPr>
                <w:rFonts w:cs="Calibri"/>
                <w:b/>
                <w:bCs/>
                <w:color w:val="000000"/>
                <w:sz w:val="20"/>
                <w:szCs w:val="20"/>
              </w:rPr>
              <w:lastRenderedPageBreak/>
              <w:t>1210NPRR</w:t>
            </w:r>
          </w:p>
        </w:tc>
        <w:tc>
          <w:tcPr>
            <w:tcW w:w="5423" w:type="dxa"/>
            <w:tcBorders>
              <w:top w:val="nil"/>
              <w:left w:val="nil"/>
              <w:bottom w:val="single" w:sz="8" w:space="0" w:color="auto"/>
              <w:right w:val="single" w:sz="8" w:space="0" w:color="auto"/>
            </w:tcBorders>
            <w:tcMar>
              <w:top w:w="0" w:type="dxa"/>
              <w:left w:w="108" w:type="dxa"/>
              <w:bottom w:w="0" w:type="dxa"/>
              <w:right w:w="108" w:type="dxa"/>
            </w:tcMar>
          </w:tcPr>
          <w:p w14:paraId="5F4404C4" w14:textId="5F95E457" w:rsidR="007552DD" w:rsidRDefault="007552DD" w:rsidP="00CC614E">
            <w:pPr>
              <w:spacing w:line="252" w:lineRule="auto"/>
              <w:rPr>
                <w:b/>
                <w:bCs/>
                <w:color w:val="000000"/>
                <w:sz w:val="20"/>
                <w:szCs w:val="20"/>
              </w:rPr>
            </w:pPr>
            <w:r>
              <w:rPr>
                <w:rFonts w:cs="Calibri"/>
                <w:b/>
                <w:bCs/>
                <w:sz w:val="20"/>
                <w:szCs w:val="20"/>
              </w:rPr>
              <w:t xml:space="preserve">Next Start Resource Test and Load-Carrying Test Frequency. </w:t>
            </w:r>
            <w:r>
              <w:rPr>
                <w:rFonts w:cs="Calibri"/>
                <w:sz w:val="20"/>
                <w:szCs w:val="20"/>
              </w:rPr>
              <w:t xml:space="preserve"> This Nodal Protocol Revision Request (NPRR) changes the frequency of the Next Start Resource Test and the Load-Carrying Test respectively from once every five years to once every four calendar years.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tcPr>
          <w:p w14:paraId="4F77C7A4" w14:textId="1465D4BF" w:rsidR="007552DD" w:rsidRDefault="007552DD" w:rsidP="00CC614E">
            <w:pPr>
              <w:spacing w:line="252" w:lineRule="auto"/>
              <w:jc w:val="center"/>
              <w:rPr>
                <w:color w:val="000000"/>
                <w:sz w:val="20"/>
                <w:szCs w:val="20"/>
              </w:rPr>
            </w:pPr>
            <w:r>
              <w:rPr>
                <w:rFonts w:cs="Calibri"/>
                <w:sz w:val="20"/>
                <w:szCs w:val="20"/>
              </w:rPr>
              <w:t>N</w:t>
            </w:r>
          </w:p>
        </w:tc>
        <w:tc>
          <w:tcPr>
            <w:tcW w:w="2045" w:type="dxa"/>
            <w:tcBorders>
              <w:top w:val="nil"/>
              <w:left w:val="nil"/>
              <w:bottom w:val="single" w:sz="8" w:space="0" w:color="auto"/>
              <w:right w:val="single" w:sz="8" w:space="0" w:color="auto"/>
            </w:tcBorders>
            <w:tcMar>
              <w:top w:w="0" w:type="dxa"/>
              <w:left w:w="108" w:type="dxa"/>
              <w:bottom w:w="0" w:type="dxa"/>
              <w:right w:w="108" w:type="dxa"/>
            </w:tcMar>
          </w:tcPr>
          <w:p w14:paraId="536660B2" w14:textId="67FD2B9B" w:rsidR="007552DD" w:rsidRPr="000F580F" w:rsidRDefault="007552DD" w:rsidP="00CC614E">
            <w:pPr>
              <w:spacing w:line="231" w:lineRule="atLeast"/>
              <w:rPr>
                <w:color w:val="000000"/>
                <w:sz w:val="20"/>
                <w:szCs w:val="20"/>
              </w:rPr>
            </w:pPr>
            <w:r w:rsidRPr="000F580F">
              <w:rPr>
                <w:color w:val="000000"/>
                <w:sz w:val="20"/>
                <w:szCs w:val="20"/>
              </w:rPr>
              <w:t>ERCOT supports approval of NPRR1210.</w:t>
            </w:r>
          </w:p>
        </w:tc>
        <w:tc>
          <w:tcPr>
            <w:tcW w:w="3506" w:type="dxa"/>
            <w:tcBorders>
              <w:top w:val="nil"/>
              <w:left w:val="nil"/>
              <w:bottom w:val="single" w:sz="8" w:space="0" w:color="auto"/>
              <w:right w:val="single" w:sz="8" w:space="0" w:color="auto"/>
            </w:tcBorders>
          </w:tcPr>
          <w:p w14:paraId="19986CCD" w14:textId="788372D0" w:rsidR="007552DD" w:rsidRPr="000F580F" w:rsidRDefault="007552DD" w:rsidP="00CC614E">
            <w:pPr>
              <w:spacing w:line="252" w:lineRule="auto"/>
              <w:rPr>
                <w:sz w:val="20"/>
                <w:szCs w:val="20"/>
              </w:rPr>
            </w:pPr>
            <w:r w:rsidRPr="009B6889">
              <w:rPr>
                <w:sz w:val="20"/>
                <w:szCs w:val="20"/>
              </w:rPr>
              <w:t>ERCOT Staff has reviewed NPRR1210 and believes it has a positive market impact by providing flexibility and consistency within the NERC-required testing time frame, while reducing complexity and potential risks associated with managing different testing frequencies and issues related to the time of year in which a deadline may fall.</w:t>
            </w:r>
          </w:p>
        </w:tc>
      </w:tr>
      <w:tr w:rsidR="007552DD" w14:paraId="5DB47A92" w14:textId="77777777" w:rsidTr="007552DD">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08403FA" w14:textId="219F4F86" w:rsidR="007552DD" w:rsidRDefault="007552DD" w:rsidP="00CC614E">
            <w:pPr>
              <w:spacing w:line="252" w:lineRule="auto"/>
              <w:rPr>
                <w:b/>
                <w:bCs/>
                <w:color w:val="000000"/>
                <w:sz w:val="20"/>
                <w:szCs w:val="20"/>
              </w:rPr>
            </w:pPr>
            <w:r>
              <w:rPr>
                <w:rFonts w:cs="Calibri"/>
                <w:b/>
                <w:bCs/>
                <w:color w:val="000000"/>
                <w:sz w:val="20"/>
                <w:szCs w:val="20"/>
              </w:rPr>
              <w:t>1213NPRR</w:t>
            </w:r>
          </w:p>
        </w:tc>
        <w:tc>
          <w:tcPr>
            <w:tcW w:w="5423" w:type="dxa"/>
            <w:tcBorders>
              <w:top w:val="nil"/>
              <w:left w:val="nil"/>
              <w:bottom w:val="single" w:sz="8" w:space="0" w:color="auto"/>
              <w:right w:val="single" w:sz="8" w:space="0" w:color="auto"/>
            </w:tcBorders>
            <w:tcMar>
              <w:top w:w="0" w:type="dxa"/>
              <w:left w:w="108" w:type="dxa"/>
              <w:bottom w:w="0" w:type="dxa"/>
              <w:right w:w="108" w:type="dxa"/>
            </w:tcMar>
          </w:tcPr>
          <w:p w14:paraId="03995528" w14:textId="77BA7AA1" w:rsidR="007552DD" w:rsidRDefault="007552DD" w:rsidP="00CC614E">
            <w:pPr>
              <w:spacing w:line="252" w:lineRule="auto"/>
              <w:rPr>
                <w:b/>
                <w:bCs/>
                <w:color w:val="000000"/>
                <w:sz w:val="20"/>
                <w:szCs w:val="20"/>
              </w:rPr>
            </w:pPr>
            <w:r>
              <w:rPr>
                <w:rFonts w:cs="Calibri"/>
                <w:b/>
                <w:bCs/>
                <w:sz w:val="20"/>
                <w:szCs w:val="20"/>
              </w:rPr>
              <w:t xml:space="preserve">Allow DGRs and DESRs on Circuits Subject to Load Shed to Provide ECRS.  </w:t>
            </w:r>
            <w:r>
              <w:rPr>
                <w:rFonts w:cs="Calibri"/>
                <w:sz w:val="20"/>
                <w:szCs w:val="20"/>
              </w:rPr>
              <w:t>This Nodal Protocol Revision Request (NPRR) amends requirements for Distribution Generation Resources (DGRs) and Distribution Energy Storage Resources (DESRs) that are seeking qualification to provide ERCOT Contingency Reserve Service (ECRS), as follows:  Paragraph (1)(c) of Section 3.8.6 allows for DGRs and DESRs on circuits subject to disconnection during Load shed events to provide ECRS; and Section 3.16 recognizes that ERCOT will establish limits on ECRS, which may be provided by DGRs/DESRs on circuits subject to disconnection during Load shed events.  [Enchanted Rock]</w:t>
            </w:r>
          </w:p>
        </w:tc>
        <w:tc>
          <w:tcPr>
            <w:tcW w:w="926" w:type="dxa"/>
            <w:tcBorders>
              <w:top w:val="nil"/>
              <w:left w:val="nil"/>
              <w:bottom w:val="single" w:sz="8" w:space="0" w:color="auto"/>
              <w:right w:val="single" w:sz="8" w:space="0" w:color="auto"/>
            </w:tcBorders>
            <w:tcMar>
              <w:top w:w="0" w:type="dxa"/>
              <w:left w:w="108" w:type="dxa"/>
              <w:bottom w:w="0" w:type="dxa"/>
              <w:right w:w="108" w:type="dxa"/>
            </w:tcMar>
          </w:tcPr>
          <w:p w14:paraId="2C649003" w14:textId="47FF601C" w:rsidR="007552DD" w:rsidRDefault="007552DD" w:rsidP="00CC614E">
            <w:pPr>
              <w:spacing w:line="252" w:lineRule="auto"/>
              <w:jc w:val="center"/>
              <w:rPr>
                <w:color w:val="000000"/>
                <w:sz w:val="20"/>
                <w:szCs w:val="20"/>
              </w:rPr>
            </w:pPr>
            <w:r>
              <w:rPr>
                <w:rFonts w:cs="Calibri"/>
                <w:sz w:val="20"/>
                <w:szCs w:val="20"/>
              </w:rPr>
              <w:t>N</w:t>
            </w:r>
          </w:p>
        </w:tc>
        <w:tc>
          <w:tcPr>
            <w:tcW w:w="2045" w:type="dxa"/>
            <w:tcBorders>
              <w:top w:val="nil"/>
              <w:left w:val="nil"/>
              <w:bottom w:val="single" w:sz="8" w:space="0" w:color="auto"/>
              <w:right w:val="single" w:sz="8" w:space="0" w:color="auto"/>
            </w:tcBorders>
            <w:tcMar>
              <w:top w:w="0" w:type="dxa"/>
              <w:left w:w="108" w:type="dxa"/>
              <w:bottom w:w="0" w:type="dxa"/>
              <w:right w:w="108" w:type="dxa"/>
            </w:tcMar>
          </w:tcPr>
          <w:p w14:paraId="6ED1E7D1" w14:textId="767EB9E3" w:rsidR="007552DD" w:rsidRDefault="007552DD" w:rsidP="00CC614E">
            <w:pPr>
              <w:spacing w:line="231" w:lineRule="atLeast"/>
              <w:rPr>
                <w:color w:val="000000"/>
                <w:sz w:val="20"/>
                <w:szCs w:val="20"/>
              </w:rPr>
            </w:pPr>
            <w:r>
              <w:rPr>
                <w:color w:val="000000"/>
                <w:sz w:val="20"/>
                <w:szCs w:val="20"/>
              </w:rPr>
              <w:t>ERCOT supports approval of NPRR1213.</w:t>
            </w:r>
          </w:p>
        </w:tc>
        <w:tc>
          <w:tcPr>
            <w:tcW w:w="3506" w:type="dxa"/>
            <w:tcBorders>
              <w:top w:val="nil"/>
              <w:left w:val="nil"/>
              <w:bottom w:val="single" w:sz="8" w:space="0" w:color="auto"/>
              <w:right w:val="single" w:sz="8" w:space="0" w:color="auto"/>
            </w:tcBorders>
          </w:tcPr>
          <w:p w14:paraId="05B72288" w14:textId="230FBADD" w:rsidR="007552DD" w:rsidRDefault="007552DD" w:rsidP="00CC614E">
            <w:pPr>
              <w:spacing w:line="252" w:lineRule="auto"/>
              <w:rPr>
                <w:sz w:val="20"/>
                <w:szCs w:val="20"/>
              </w:rPr>
            </w:pPr>
            <w:r w:rsidRPr="009B6889">
              <w:rPr>
                <w:sz w:val="20"/>
                <w:szCs w:val="20"/>
              </w:rPr>
              <w:t>ERCOT Staff has reviewed NPRR1213 and believes it supplements NPRR1171 in identifying an additional Ancillary Service</w:t>
            </w:r>
            <w:r>
              <w:rPr>
                <w:sz w:val="20"/>
                <w:szCs w:val="20"/>
              </w:rPr>
              <w:t>,</w:t>
            </w:r>
            <w:r w:rsidRPr="009B6889">
              <w:rPr>
                <w:sz w:val="20"/>
                <w:szCs w:val="20"/>
              </w:rPr>
              <w:t xml:space="preserve"> namely ECRS</w:t>
            </w:r>
            <w:r>
              <w:rPr>
                <w:sz w:val="20"/>
                <w:szCs w:val="20"/>
              </w:rPr>
              <w:t>,</w:t>
            </w:r>
            <w:r w:rsidRPr="009B6889">
              <w:rPr>
                <w:sz w:val="20"/>
                <w:szCs w:val="20"/>
              </w:rPr>
              <w:t xml:space="preserve"> that can be provided by DGRs and DESRs on feeders subject to Load shedding</w:t>
            </w:r>
            <w:r>
              <w:rPr>
                <w:sz w:val="20"/>
                <w:szCs w:val="20"/>
              </w:rPr>
              <w:t>.</w:t>
            </w:r>
          </w:p>
        </w:tc>
      </w:tr>
      <w:tr w:rsidR="007552DD" w14:paraId="226F8B99" w14:textId="77777777" w:rsidTr="007552DD">
        <w:tc>
          <w:tcPr>
            <w:tcW w:w="0" w:type="auto"/>
            <w:tcBorders>
              <w:top w:val="nil"/>
              <w:left w:val="single" w:sz="8" w:space="0" w:color="auto"/>
              <w:bottom w:val="nil"/>
              <w:right w:val="single" w:sz="8" w:space="0" w:color="auto"/>
            </w:tcBorders>
            <w:tcMar>
              <w:top w:w="0" w:type="dxa"/>
              <w:left w:w="108" w:type="dxa"/>
              <w:bottom w:w="0" w:type="dxa"/>
              <w:right w:w="108" w:type="dxa"/>
            </w:tcMar>
          </w:tcPr>
          <w:p w14:paraId="6FCF1199" w14:textId="46E2EABB" w:rsidR="007552DD" w:rsidRDefault="007552DD" w:rsidP="00CC614E">
            <w:pPr>
              <w:spacing w:line="252" w:lineRule="auto"/>
              <w:rPr>
                <w:b/>
                <w:bCs/>
                <w:color w:val="000000"/>
                <w:sz w:val="20"/>
                <w:szCs w:val="20"/>
              </w:rPr>
            </w:pPr>
            <w:r>
              <w:rPr>
                <w:rFonts w:cs="Calibri"/>
                <w:b/>
                <w:bCs/>
                <w:color w:val="000000"/>
                <w:sz w:val="20"/>
                <w:szCs w:val="20"/>
              </w:rPr>
              <w:t>261NOGRR</w:t>
            </w:r>
          </w:p>
        </w:tc>
        <w:tc>
          <w:tcPr>
            <w:tcW w:w="5423" w:type="dxa"/>
            <w:tcBorders>
              <w:top w:val="nil"/>
              <w:left w:val="nil"/>
              <w:bottom w:val="nil"/>
              <w:right w:val="single" w:sz="8" w:space="0" w:color="auto"/>
            </w:tcBorders>
            <w:tcMar>
              <w:top w:w="0" w:type="dxa"/>
              <w:left w:w="108" w:type="dxa"/>
              <w:bottom w:w="0" w:type="dxa"/>
              <w:right w:w="108" w:type="dxa"/>
            </w:tcMar>
          </w:tcPr>
          <w:p w14:paraId="75E2FD42" w14:textId="0A53E72C" w:rsidR="007552DD" w:rsidRDefault="007552DD" w:rsidP="00CC614E">
            <w:pPr>
              <w:spacing w:line="252" w:lineRule="auto"/>
              <w:rPr>
                <w:b/>
                <w:bCs/>
                <w:color w:val="000000"/>
                <w:sz w:val="20"/>
                <w:szCs w:val="20"/>
              </w:rPr>
            </w:pPr>
            <w:r>
              <w:rPr>
                <w:rFonts w:cs="Calibri"/>
                <w:b/>
                <w:bCs/>
                <w:color w:val="000000"/>
                <w:sz w:val="20"/>
                <w:szCs w:val="20"/>
              </w:rPr>
              <w:t xml:space="preserve">Move OBD to Section 8 – Procedure for Calculating RRS Limits for Individual Resources. </w:t>
            </w:r>
            <w:r>
              <w:rPr>
                <w:rFonts w:cs="Calibri"/>
                <w:color w:val="000000"/>
                <w:sz w:val="20"/>
                <w:szCs w:val="20"/>
              </w:rPr>
              <w:t xml:space="preserve"> This Nodal Operating Guide Revision Request (NOGRR) incorporates the Other Binding Document “Procedure for Calculating Responsive Reserve (RRS) Limits for Individual Resources” into the Nodal Operating Guide.  [ERCOT]</w:t>
            </w:r>
          </w:p>
        </w:tc>
        <w:tc>
          <w:tcPr>
            <w:tcW w:w="926" w:type="dxa"/>
            <w:tcBorders>
              <w:top w:val="nil"/>
              <w:left w:val="nil"/>
              <w:bottom w:val="nil"/>
              <w:right w:val="single" w:sz="8" w:space="0" w:color="auto"/>
            </w:tcBorders>
            <w:tcMar>
              <w:top w:w="0" w:type="dxa"/>
              <w:left w:w="108" w:type="dxa"/>
              <w:bottom w:w="0" w:type="dxa"/>
              <w:right w:w="108" w:type="dxa"/>
            </w:tcMar>
          </w:tcPr>
          <w:p w14:paraId="201AD5B9" w14:textId="4FD8314A" w:rsidR="007552DD" w:rsidRDefault="007552DD" w:rsidP="00CC614E">
            <w:pPr>
              <w:spacing w:line="252" w:lineRule="auto"/>
              <w:jc w:val="center"/>
              <w:rPr>
                <w:color w:val="000000"/>
                <w:sz w:val="20"/>
                <w:szCs w:val="20"/>
              </w:rPr>
            </w:pPr>
            <w:r>
              <w:rPr>
                <w:rFonts w:cs="Calibri"/>
                <w:color w:val="000000"/>
                <w:sz w:val="20"/>
                <w:szCs w:val="20"/>
              </w:rPr>
              <w:t>N</w:t>
            </w:r>
          </w:p>
        </w:tc>
        <w:tc>
          <w:tcPr>
            <w:tcW w:w="2045" w:type="dxa"/>
            <w:tcBorders>
              <w:top w:val="nil"/>
              <w:left w:val="nil"/>
              <w:bottom w:val="nil"/>
              <w:right w:val="single" w:sz="8" w:space="0" w:color="auto"/>
            </w:tcBorders>
            <w:tcMar>
              <w:top w:w="0" w:type="dxa"/>
              <w:left w:w="108" w:type="dxa"/>
              <w:bottom w:w="0" w:type="dxa"/>
              <w:right w:w="108" w:type="dxa"/>
            </w:tcMar>
          </w:tcPr>
          <w:p w14:paraId="6B0AA365" w14:textId="76AE3ED6" w:rsidR="007552DD" w:rsidRDefault="007552DD" w:rsidP="00CC614E">
            <w:pPr>
              <w:spacing w:line="231" w:lineRule="atLeast"/>
              <w:rPr>
                <w:color w:val="000000"/>
                <w:sz w:val="20"/>
                <w:szCs w:val="20"/>
              </w:rPr>
            </w:pPr>
            <w:r>
              <w:rPr>
                <w:color w:val="000000"/>
                <w:sz w:val="20"/>
                <w:szCs w:val="20"/>
              </w:rPr>
              <w:t>ERCOT supports approval of NOGRR261.</w:t>
            </w:r>
          </w:p>
        </w:tc>
        <w:tc>
          <w:tcPr>
            <w:tcW w:w="3506" w:type="dxa"/>
            <w:tcBorders>
              <w:top w:val="nil"/>
              <w:left w:val="nil"/>
              <w:bottom w:val="nil"/>
              <w:right w:val="single" w:sz="8" w:space="0" w:color="auto"/>
            </w:tcBorders>
          </w:tcPr>
          <w:p w14:paraId="122B4E82" w14:textId="068DE144" w:rsidR="007552DD" w:rsidRDefault="007552DD" w:rsidP="00CC614E">
            <w:pPr>
              <w:spacing w:line="252" w:lineRule="auto"/>
              <w:rPr>
                <w:sz w:val="20"/>
                <w:szCs w:val="20"/>
              </w:rPr>
            </w:pPr>
            <w:r w:rsidRPr="008301A8">
              <w:rPr>
                <w:sz w:val="20"/>
                <w:szCs w:val="20"/>
              </w:rPr>
              <w:t xml:space="preserve">ERCOT Staff has reviewed </w:t>
            </w:r>
            <w:r>
              <w:rPr>
                <w:sz w:val="20"/>
                <w:szCs w:val="20"/>
              </w:rPr>
              <w:t>NOGRR261</w:t>
            </w:r>
            <w:r w:rsidRPr="008301A8">
              <w:rPr>
                <w:sz w:val="20"/>
                <w:szCs w:val="20"/>
              </w:rPr>
              <w:t xml:space="preserve"> and believes it has a positive market impact by standardizing the approval process for binding language.</w:t>
            </w:r>
          </w:p>
        </w:tc>
      </w:tr>
      <w:tr w:rsidR="007552DD" w14:paraId="38430646" w14:textId="77777777" w:rsidTr="007552DD">
        <w:tc>
          <w:tcPr>
            <w:tcW w:w="0" w:type="auto"/>
            <w:tcBorders>
              <w:top w:val="nil"/>
              <w:left w:val="single" w:sz="8" w:space="0" w:color="auto"/>
              <w:bottom w:val="nil"/>
              <w:right w:val="single" w:sz="8" w:space="0" w:color="auto"/>
            </w:tcBorders>
            <w:tcMar>
              <w:top w:w="0" w:type="dxa"/>
              <w:left w:w="108" w:type="dxa"/>
              <w:bottom w:w="0" w:type="dxa"/>
              <w:right w:w="108" w:type="dxa"/>
            </w:tcMar>
          </w:tcPr>
          <w:p w14:paraId="0BF2EE0D" w14:textId="756B0CBA" w:rsidR="007552DD" w:rsidRDefault="007552DD" w:rsidP="007552DD">
            <w:pPr>
              <w:spacing w:line="252" w:lineRule="auto"/>
              <w:rPr>
                <w:rFonts w:cs="Calibri"/>
                <w:b/>
                <w:bCs/>
                <w:color w:val="000000"/>
                <w:sz w:val="20"/>
                <w:szCs w:val="20"/>
              </w:rPr>
            </w:pPr>
            <w:r>
              <w:rPr>
                <w:rFonts w:cs="Calibri"/>
                <w:b/>
                <w:bCs/>
                <w:color w:val="000000"/>
                <w:sz w:val="20"/>
                <w:szCs w:val="20"/>
              </w:rPr>
              <w:t>245NOGRR</w:t>
            </w:r>
          </w:p>
        </w:tc>
        <w:tc>
          <w:tcPr>
            <w:tcW w:w="5423" w:type="dxa"/>
            <w:tcBorders>
              <w:top w:val="nil"/>
              <w:left w:val="nil"/>
              <w:bottom w:val="nil"/>
              <w:right w:val="single" w:sz="8" w:space="0" w:color="auto"/>
            </w:tcBorders>
            <w:tcMar>
              <w:top w:w="0" w:type="dxa"/>
              <w:left w:w="108" w:type="dxa"/>
              <w:bottom w:w="0" w:type="dxa"/>
              <w:right w:w="108" w:type="dxa"/>
            </w:tcMar>
          </w:tcPr>
          <w:p w14:paraId="01A30CEB" w14:textId="26D426A5" w:rsidR="007552DD" w:rsidRDefault="007552DD" w:rsidP="007552DD">
            <w:pPr>
              <w:spacing w:line="252" w:lineRule="auto"/>
              <w:rPr>
                <w:rFonts w:cs="Calibri"/>
                <w:b/>
                <w:bCs/>
                <w:color w:val="000000"/>
                <w:sz w:val="20"/>
                <w:szCs w:val="20"/>
              </w:rPr>
            </w:pPr>
            <w:r>
              <w:rPr>
                <w:rFonts w:cs="Calibri"/>
                <w:b/>
                <w:bCs/>
                <w:color w:val="000000"/>
                <w:sz w:val="20"/>
                <w:szCs w:val="20"/>
              </w:rPr>
              <w:t xml:space="preserve">Inverter-Based Resource (IBR) Ride-Through Requirements.  </w:t>
            </w:r>
            <w:r>
              <w:rPr>
                <w:rFonts w:cs="Calibri"/>
                <w:color w:val="000000"/>
                <w:sz w:val="20"/>
                <w:szCs w:val="20"/>
              </w:rPr>
              <w:t>This NOGRR replaces the current voltage ride-through requirements for Intermittent Renewable Resources (IRRs) with voltage ride-through requirements for Inverter-Based Resources (IBRs) and provides new frequency ride-through requirements for IBRs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  It also requires all IBRs to improve performance to meet these standards, and establishes compliance requirements for Resource Entities when it is commercially reasonable to do so. [ERCOT]</w:t>
            </w:r>
          </w:p>
        </w:tc>
        <w:tc>
          <w:tcPr>
            <w:tcW w:w="926" w:type="dxa"/>
            <w:tcBorders>
              <w:top w:val="nil"/>
              <w:left w:val="nil"/>
              <w:bottom w:val="nil"/>
              <w:right w:val="single" w:sz="8" w:space="0" w:color="auto"/>
            </w:tcBorders>
            <w:tcMar>
              <w:top w:w="0" w:type="dxa"/>
              <w:left w:w="108" w:type="dxa"/>
              <w:bottom w:w="0" w:type="dxa"/>
              <w:right w:w="108" w:type="dxa"/>
            </w:tcMar>
          </w:tcPr>
          <w:p w14:paraId="67333C94" w14:textId="33DB5126" w:rsidR="007552DD" w:rsidRDefault="007552DD" w:rsidP="007552DD">
            <w:pPr>
              <w:spacing w:line="252" w:lineRule="auto"/>
              <w:jc w:val="center"/>
              <w:rPr>
                <w:rFonts w:cs="Calibri"/>
                <w:color w:val="000000"/>
                <w:sz w:val="20"/>
                <w:szCs w:val="20"/>
              </w:rPr>
            </w:pPr>
            <w:r>
              <w:rPr>
                <w:rFonts w:cs="Calibri"/>
                <w:color w:val="000000"/>
                <w:sz w:val="20"/>
                <w:szCs w:val="20"/>
              </w:rPr>
              <w:t>Y</w:t>
            </w:r>
          </w:p>
        </w:tc>
        <w:tc>
          <w:tcPr>
            <w:tcW w:w="2045" w:type="dxa"/>
            <w:tcBorders>
              <w:top w:val="nil"/>
              <w:left w:val="nil"/>
              <w:bottom w:val="nil"/>
              <w:right w:val="single" w:sz="8" w:space="0" w:color="auto"/>
            </w:tcBorders>
            <w:tcMar>
              <w:top w:w="0" w:type="dxa"/>
              <w:left w:w="108" w:type="dxa"/>
              <w:bottom w:w="0" w:type="dxa"/>
              <w:right w:w="108" w:type="dxa"/>
            </w:tcMar>
          </w:tcPr>
          <w:p w14:paraId="7FC4E409" w14:textId="77777777" w:rsidR="007552DD" w:rsidRDefault="007552DD" w:rsidP="007552DD">
            <w:pPr>
              <w:spacing w:line="231" w:lineRule="atLeast"/>
              <w:rPr>
                <w:color w:val="000000"/>
                <w:sz w:val="20"/>
                <w:szCs w:val="20"/>
              </w:rPr>
            </w:pPr>
            <w:bookmarkStart w:id="2" w:name="_Hlk146095104"/>
            <w:r>
              <w:rPr>
                <w:color w:val="000000"/>
                <w:sz w:val="20"/>
                <w:szCs w:val="20"/>
              </w:rPr>
              <w:t xml:space="preserve">ERCOT does not support approval of NOGRR245 as recommended by ROS in the 9/14/23 ROS Report as it does not address the critical reliability risk NOGRR245 intends to address.  </w:t>
            </w:r>
          </w:p>
          <w:bookmarkEnd w:id="2"/>
          <w:p w14:paraId="3F6D272E" w14:textId="77777777" w:rsidR="007552DD" w:rsidRDefault="007552DD" w:rsidP="007552DD">
            <w:pPr>
              <w:spacing w:line="231" w:lineRule="atLeast"/>
              <w:rPr>
                <w:color w:val="000000"/>
                <w:sz w:val="20"/>
                <w:szCs w:val="20"/>
              </w:rPr>
            </w:pPr>
          </w:p>
          <w:p w14:paraId="33A7F639" w14:textId="5984D791" w:rsidR="007552DD" w:rsidRDefault="007552DD" w:rsidP="007552DD">
            <w:pPr>
              <w:spacing w:line="231" w:lineRule="atLeast"/>
              <w:rPr>
                <w:color w:val="000000"/>
                <w:sz w:val="20"/>
                <w:szCs w:val="20"/>
              </w:rPr>
            </w:pPr>
            <w:r w:rsidRPr="003250D8">
              <w:rPr>
                <w:color w:val="000000"/>
                <w:sz w:val="20"/>
                <w:szCs w:val="20"/>
              </w:rPr>
              <w:t xml:space="preserve"> </w:t>
            </w:r>
          </w:p>
        </w:tc>
        <w:tc>
          <w:tcPr>
            <w:tcW w:w="3506" w:type="dxa"/>
            <w:tcBorders>
              <w:top w:val="nil"/>
              <w:left w:val="nil"/>
              <w:bottom w:val="nil"/>
              <w:right w:val="single" w:sz="8" w:space="0" w:color="auto"/>
            </w:tcBorders>
          </w:tcPr>
          <w:p w14:paraId="584EB6EE" w14:textId="77777777" w:rsidR="007552DD" w:rsidRDefault="007552DD" w:rsidP="007552DD">
            <w:pPr>
              <w:spacing w:line="231" w:lineRule="atLeast"/>
              <w:rPr>
                <w:color w:val="000000"/>
                <w:sz w:val="20"/>
                <w:szCs w:val="20"/>
              </w:rPr>
            </w:pPr>
            <w:r>
              <w:rPr>
                <w:color w:val="000000"/>
                <w:sz w:val="20"/>
                <w:szCs w:val="20"/>
              </w:rPr>
              <w:t xml:space="preserve">ERCOT Staff has reviewed NOGRR245 and believes that end users of the ERCOT System (i.e.,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w:t>
            </w:r>
            <w:r>
              <w:rPr>
                <w:color w:val="000000"/>
                <w:sz w:val="20"/>
                <w:szCs w:val="20"/>
              </w:rPr>
              <w:lastRenderedPageBreak/>
              <w:t>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p w14:paraId="5ECCBFD2" w14:textId="77777777" w:rsidR="007552DD" w:rsidRDefault="007552DD" w:rsidP="007552DD">
            <w:pPr>
              <w:spacing w:line="231" w:lineRule="atLeast"/>
              <w:rPr>
                <w:color w:val="000000"/>
                <w:sz w:val="20"/>
                <w:szCs w:val="20"/>
              </w:rPr>
            </w:pPr>
          </w:p>
          <w:p w14:paraId="4D9DC2B2" w14:textId="77777777" w:rsidR="007552DD" w:rsidRPr="008301A8" w:rsidRDefault="007552DD" w:rsidP="007552DD">
            <w:pPr>
              <w:spacing w:line="252" w:lineRule="auto"/>
              <w:rPr>
                <w:sz w:val="20"/>
                <w:szCs w:val="20"/>
              </w:rPr>
            </w:pPr>
          </w:p>
        </w:tc>
      </w:tr>
      <w:tr w:rsidR="007552DD" w14:paraId="27BA7CFE" w14:textId="77777777" w:rsidTr="007552DD">
        <w:tc>
          <w:tcPr>
            <w:tcW w:w="0" w:type="auto"/>
            <w:tcBorders>
              <w:top w:val="nil"/>
              <w:left w:val="single" w:sz="8" w:space="0" w:color="auto"/>
              <w:bottom w:val="nil"/>
              <w:right w:val="single" w:sz="8" w:space="0" w:color="auto"/>
            </w:tcBorders>
            <w:tcMar>
              <w:top w:w="0" w:type="dxa"/>
              <w:left w:w="108" w:type="dxa"/>
              <w:bottom w:w="0" w:type="dxa"/>
              <w:right w:w="108" w:type="dxa"/>
            </w:tcMar>
          </w:tcPr>
          <w:p w14:paraId="3CD2BE1A" w14:textId="66F59A86" w:rsidR="007552DD" w:rsidRDefault="007552DD" w:rsidP="007552DD">
            <w:pPr>
              <w:spacing w:line="252" w:lineRule="auto"/>
              <w:rPr>
                <w:rFonts w:cs="Calibri"/>
                <w:b/>
                <w:bCs/>
                <w:color w:val="000000"/>
                <w:sz w:val="20"/>
                <w:szCs w:val="20"/>
              </w:rPr>
            </w:pPr>
            <w:r>
              <w:rPr>
                <w:rFonts w:cs="Calibri"/>
                <w:b/>
                <w:bCs/>
                <w:color w:val="000000"/>
                <w:sz w:val="20"/>
                <w:szCs w:val="20"/>
              </w:rPr>
              <w:lastRenderedPageBreak/>
              <w:t>105PGRR</w:t>
            </w:r>
          </w:p>
        </w:tc>
        <w:tc>
          <w:tcPr>
            <w:tcW w:w="5423" w:type="dxa"/>
            <w:tcBorders>
              <w:top w:val="nil"/>
              <w:left w:val="nil"/>
              <w:bottom w:val="nil"/>
              <w:right w:val="single" w:sz="8" w:space="0" w:color="auto"/>
            </w:tcBorders>
            <w:tcMar>
              <w:top w:w="0" w:type="dxa"/>
              <w:left w:w="108" w:type="dxa"/>
              <w:bottom w:w="0" w:type="dxa"/>
              <w:right w:w="108" w:type="dxa"/>
            </w:tcMar>
          </w:tcPr>
          <w:p w14:paraId="7BD3BFBC" w14:textId="7735F665" w:rsidR="007552DD" w:rsidRDefault="007552DD" w:rsidP="007552DD">
            <w:pPr>
              <w:spacing w:line="252" w:lineRule="auto"/>
              <w:rPr>
                <w:rFonts w:cs="Calibri"/>
                <w:b/>
                <w:bCs/>
                <w:color w:val="000000"/>
                <w:sz w:val="20"/>
                <w:szCs w:val="20"/>
              </w:rPr>
            </w:pPr>
            <w:r>
              <w:rPr>
                <w:rFonts w:cs="Calibri"/>
                <w:b/>
                <w:bCs/>
                <w:color w:val="000000"/>
                <w:sz w:val="20"/>
                <w:szCs w:val="20"/>
              </w:rPr>
              <w:t xml:space="preserve">Deliverability Criteria for DC Tie Imports.  </w:t>
            </w:r>
            <w:r>
              <w:rPr>
                <w:rFonts w:cs="Calibri"/>
                <w:color w:val="000000"/>
                <w:sz w:val="20"/>
                <w:szCs w:val="20"/>
              </w:rPr>
              <w:t>This Planning Guide Revision Request (PGRR) adds Direct Current Tie (DC Tie) Resources to the list of Resources for which the minimum deliverability condition applies.  [REMC]</w:t>
            </w:r>
          </w:p>
        </w:tc>
        <w:tc>
          <w:tcPr>
            <w:tcW w:w="926" w:type="dxa"/>
            <w:tcBorders>
              <w:top w:val="nil"/>
              <w:left w:val="nil"/>
              <w:bottom w:val="nil"/>
              <w:right w:val="single" w:sz="8" w:space="0" w:color="auto"/>
            </w:tcBorders>
            <w:tcMar>
              <w:top w:w="0" w:type="dxa"/>
              <w:left w:w="108" w:type="dxa"/>
              <w:bottom w:w="0" w:type="dxa"/>
              <w:right w:w="108" w:type="dxa"/>
            </w:tcMar>
          </w:tcPr>
          <w:p w14:paraId="056F9CC4" w14:textId="6C3A7A39" w:rsidR="007552DD" w:rsidRDefault="007552DD" w:rsidP="007552DD">
            <w:pPr>
              <w:spacing w:line="252" w:lineRule="auto"/>
              <w:jc w:val="center"/>
              <w:rPr>
                <w:rFonts w:cs="Calibri"/>
                <w:color w:val="000000"/>
                <w:sz w:val="20"/>
                <w:szCs w:val="20"/>
              </w:rPr>
            </w:pPr>
            <w:r>
              <w:rPr>
                <w:rFonts w:cs="Calibri"/>
                <w:color w:val="000000"/>
                <w:sz w:val="20"/>
                <w:szCs w:val="20"/>
              </w:rPr>
              <w:t>N</w:t>
            </w:r>
          </w:p>
        </w:tc>
        <w:tc>
          <w:tcPr>
            <w:tcW w:w="2045" w:type="dxa"/>
            <w:tcBorders>
              <w:top w:val="nil"/>
              <w:left w:val="nil"/>
              <w:bottom w:val="nil"/>
              <w:right w:val="single" w:sz="8" w:space="0" w:color="auto"/>
            </w:tcBorders>
            <w:tcMar>
              <w:top w:w="0" w:type="dxa"/>
              <w:left w:w="108" w:type="dxa"/>
              <w:bottom w:w="0" w:type="dxa"/>
              <w:right w:w="108" w:type="dxa"/>
            </w:tcMar>
          </w:tcPr>
          <w:p w14:paraId="25DDBC48" w14:textId="1A6FCE87" w:rsidR="007552DD" w:rsidRDefault="007552DD" w:rsidP="007552DD">
            <w:pPr>
              <w:spacing w:line="231" w:lineRule="atLeast"/>
              <w:rPr>
                <w:color w:val="000000"/>
                <w:sz w:val="20"/>
                <w:szCs w:val="20"/>
              </w:rPr>
            </w:pPr>
            <w:r w:rsidRPr="006B4142">
              <w:rPr>
                <w:sz w:val="20"/>
                <w:szCs w:val="20"/>
              </w:rPr>
              <w:t>ERCOT does not support approval of</w:t>
            </w:r>
            <w:r>
              <w:rPr>
                <w:sz w:val="20"/>
                <w:szCs w:val="20"/>
              </w:rPr>
              <w:t xml:space="preserve"> </w:t>
            </w:r>
            <w:r w:rsidRPr="006B4142">
              <w:rPr>
                <w:sz w:val="20"/>
                <w:szCs w:val="20"/>
              </w:rPr>
              <w:t>PGRR105</w:t>
            </w:r>
            <w:r>
              <w:rPr>
                <w:sz w:val="20"/>
                <w:szCs w:val="20"/>
              </w:rPr>
              <w:t xml:space="preserve"> as recommended by ROS in the 9/7/23 ROS Report.</w:t>
            </w:r>
          </w:p>
        </w:tc>
        <w:tc>
          <w:tcPr>
            <w:tcW w:w="3506" w:type="dxa"/>
            <w:tcBorders>
              <w:top w:val="nil"/>
              <w:left w:val="nil"/>
              <w:bottom w:val="nil"/>
              <w:right w:val="single" w:sz="8" w:space="0" w:color="auto"/>
            </w:tcBorders>
          </w:tcPr>
          <w:p w14:paraId="468CEF05" w14:textId="4E52C139" w:rsidR="007552DD" w:rsidRDefault="007552DD" w:rsidP="007552DD">
            <w:pPr>
              <w:spacing w:line="231" w:lineRule="atLeast"/>
              <w:rPr>
                <w:color w:val="000000"/>
                <w:sz w:val="20"/>
                <w:szCs w:val="20"/>
              </w:rPr>
            </w:pPr>
            <w:r w:rsidRPr="006B4142">
              <w:rPr>
                <w:sz w:val="20"/>
                <w:szCs w:val="20"/>
              </w:rPr>
              <w:t>ERCOT Staff has reviewed PGRR105 and believes that it is contrary to a recent decision of the Public Utility Commission of Texas (PUCT) and that it raises a policy issue that is best suited for the PUCT</w:t>
            </w:r>
            <w:r>
              <w:rPr>
                <w:sz w:val="20"/>
                <w:szCs w:val="20"/>
              </w:rPr>
              <w:t>.</w:t>
            </w:r>
          </w:p>
        </w:tc>
      </w:tr>
      <w:tr w:rsidR="007552DD" w14:paraId="4A39A892" w14:textId="77777777" w:rsidTr="007552DD">
        <w:tc>
          <w:tcPr>
            <w:tcW w:w="0" w:type="auto"/>
            <w:tcBorders>
              <w:top w:val="nil"/>
              <w:left w:val="single" w:sz="8" w:space="0" w:color="auto"/>
              <w:bottom w:val="nil"/>
              <w:right w:val="single" w:sz="8" w:space="0" w:color="auto"/>
            </w:tcBorders>
            <w:tcMar>
              <w:top w:w="0" w:type="dxa"/>
              <w:left w:w="108" w:type="dxa"/>
              <w:bottom w:w="0" w:type="dxa"/>
              <w:right w:w="108" w:type="dxa"/>
            </w:tcMar>
          </w:tcPr>
          <w:p w14:paraId="2AE339F1" w14:textId="5D2E4C9E" w:rsidR="007552DD" w:rsidRDefault="007552DD" w:rsidP="007552DD">
            <w:pPr>
              <w:spacing w:line="252" w:lineRule="auto"/>
              <w:rPr>
                <w:rFonts w:cs="Calibri"/>
                <w:b/>
                <w:bCs/>
                <w:color w:val="000000"/>
                <w:sz w:val="20"/>
                <w:szCs w:val="20"/>
              </w:rPr>
            </w:pPr>
            <w:r>
              <w:rPr>
                <w:b/>
                <w:bCs/>
                <w:color w:val="000000"/>
                <w:sz w:val="20"/>
                <w:szCs w:val="20"/>
              </w:rPr>
              <w:t>1193NPRR</w:t>
            </w:r>
          </w:p>
        </w:tc>
        <w:tc>
          <w:tcPr>
            <w:tcW w:w="5423" w:type="dxa"/>
            <w:tcBorders>
              <w:top w:val="nil"/>
              <w:left w:val="nil"/>
              <w:bottom w:val="nil"/>
              <w:right w:val="single" w:sz="8" w:space="0" w:color="auto"/>
            </w:tcBorders>
            <w:tcMar>
              <w:top w:w="0" w:type="dxa"/>
              <w:left w:w="108" w:type="dxa"/>
              <w:bottom w:w="0" w:type="dxa"/>
              <w:right w:w="108" w:type="dxa"/>
            </w:tcMar>
          </w:tcPr>
          <w:p w14:paraId="6A3293A9" w14:textId="543E2FD3" w:rsidR="007552DD" w:rsidRDefault="007552DD" w:rsidP="007552DD">
            <w:pPr>
              <w:spacing w:line="252" w:lineRule="auto"/>
              <w:rPr>
                <w:rFonts w:cs="Calibri"/>
                <w:b/>
                <w:bCs/>
                <w:color w:val="000000"/>
                <w:sz w:val="20"/>
                <w:szCs w:val="20"/>
              </w:rPr>
            </w:pPr>
            <w:r>
              <w:rPr>
                <w:b/>
                <w:bCs/>
                <w:color w:val="000000"/>
                <w:sz w:val="20"/>
                <w:szCs w:val="20"/>
              </w:rPr>
              <w:t xml:space="preserve">Related to SMOGRR027, Move OBD to Settlement Metering Operating Guide – EPS Metering Design Proposal.  </w:t>
            </w:r>
            <w:r>
              <w:rPr>
                <w:color w:val="000000"/>
                <w:sz w:val="20"/>
                <w:szCs w:val="20"/>
              </w:rPr>
              <w:t>This Nodal Protocol Revision Request (NPRR) changes the referenced location of the EPS Design Proposal Form, as it is moving from the Other Binding Document List into the Settlement Metering Operating Guide (SMOG).  [ERCOT]</w:t>
            </w:r>
          </w:p>
        </w:tc>
        <w:tc>
          <w:tcPr>
            <w:tcW w:w="926" w:type="dxa"/>
            <w:tcBorders>
              <w:top w:val="nil"/>
              <w:left w:val="nil"/>
              <w:bottom w:val="nil"/>
              <w:right w:val="single" w:sz="8" w:space="0" w:color="auto"/>
            </w:tcBorders>
            <w:tcMar>
              <w:top w:w="0" w:type="dxa"/>
              <w:left w:w="108" w:type="dxa"/>
              <w:bottom w:w="0" w:type="dxa"/>
              <w:right w:w="108" w:type="dxa"/>
            </w:tcMar>
          </w:tcPr>
          <w:p w14:paraId="3157B4AE" w14:textId="70BD971A" w:rsidR="007552DD" w:rsidRDefault="007552DD" w:rsidP="007552DD">
            <w:pPr>
              <w:spacing w:line="252" w:lineRule="auto"/>
              <w:jc w:val="center"/>
              <w:rPr>
                <w:rFonts w:cs="Calibri"/>
                <w:color w:val="000000"/>
                <w:sz w:val="20"/>
                <w:szCs w:val="20"/>
              </w:rPr>
            </w:pPr>
            <w:r>
              <w:rPr>
                <w:color w:val="000000"/>
                <w:sz w:val="20"/>
                <w:szCs w:val="20"/>
              </w:rPr>
              <w:t>N</w:t>
            </w:r>
          </w:p>
        </w:tc>
        <w:tc>
          <w:tcPr>
            <w:tcW w:w="2045" w:type="dxa"/>
            <w:tcBorders>
              <w:top w:val="nil"/>
              <w:left w:val="nil"/>
              <w:bottom w:val="nil"/>
              <w:right w:val="single" w:sz="8" w:space="0" w:color="auto"/>
            </w:tcBorders>
            <w:tcMar>
              <w:top w:w="0" w:type="dxa"/>
              <w:left w:w="108" w:type="dxa"/>
              <w:bottom w:w="0" w:type="dxa"/>
              <w:right w:w="108" w:type="dxa"/>
            </w:tcMar>
          </w:tcPr>
          <w:p w14:paraId="0CBB3B79" w14:textId="345ABE67" w:rsidR="007552DD" w:rsidRPr="006B4142" w:rsidRDefault="007552DD" w:rsidP="007552DD">
            <w:pPr>
              <w:spacing w:line="231" w:lineRule="atLeast"/>
              <w:rPr>
                <w:sz w:val="20"/>
                <w:szCs w:val="20"/>
              </w:rPr>
            </w:pPr>
            <w:r>
              <w:rPr>
                <w:sz w:val="20"/>
                <w:szCs w:val="20"/>
              </w:rPr>
              <w:t>ERCOT supports approval of NPRR1193</w:t>
            </w:r>
          </w:p>
        </w:tc>
        <w:tc>
          <w:tcPr>
            <w:tcW w:w="3506" w:type="dxa"/>
            <w:tcBorders>
              <w:top w:val="nil"/>
              <w:left w:val="nil"/>
              <w:bottom w:val="nil"/>
              <w:right w:val="single" w:sz="8" w:space="0" w:color="auto"/>
            </w:tcBorders>
          </w:tcPr>
          <w:p w14:paraId="05E556A5" w14:textId="184735EF" w:rsidR="007552DD" w:rsidRPr="006B4142" w:rsidRDefault="007552DD" w:rsidP="007552DD">
            <w:pPr>
              <w:spacing w:line="231" w:lineRule="atLeast"/>
              <w:rPr>
                <w:sz w:val="20"/>
                <w:szCs w:val="20"/>
              </w:rPr>
            </w:pPr>
            <w:r w:rsidRPr="00AC4559">
              <w:rPr>
                <w:sz w:val="20"/>
                <w:szCs w:val="20"/>
              </w:rPr>
              <w:t>ERCOT Staff has reviewed NPRR1193 and believes it has a positive market impact by standardizing the approval process for binding language.</w:t>
            </w:r>
          </w:p>
        </w:tc>
      </w:tr>
      <w:bookmarkEnd w:id="0"/>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0B75D" w14:textId="77777777" w:rsidR="008C723B" w:rsidRDefault="008C723B" w:rsidP="00985FF4">
      <w:r>
        <w:separator/>
      </w:r>
    </w:p>
  </w:endnote>
  <w:endnote w:type="continuationSeparator" w:id="0">
    <w:p w14:paraId="422BBAB7" w14:textId="77777777" w:rsidR="008C723B" w:rsidRDefault="008C723B"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5EBBC" w14:textId="77777777" w:rsidR="008C723B" w:rsidRDefault="008C723B" w:rsidP="00985FF4">
      <w:r>
        <w:separator/>
      </w:r>
    </w:p>
  </w:footnote>
  <w:footnote w:type="continuationSeparator" w:id="0">
    <w:p w14:paraId="19527FFC" w14:textId="77777777" w:rsidR="008C723B" w:rsidRDefault="008C723B"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66C7B4E4" w:rsidR="00985FF4" w:rsidRDefault="00985FF4" w:rsidP="00985FF4">
    <w:pPr>
      <w:pStyle w:val="Header"/>
      <w:jc w:val="center"/>
    </w:pPr>
    <w:r>
      <w:t xml:space="preserve">ERCOT Opinions </w:t>
    </w:r>
    <w:r w:rsidR="00557905">
      <w:t xml:space="preserve">and ERCOT Market Impact Statements </w:t>
    </w:r>
    <w:r>
      <w:t xml:space="preserve">for the </w:t>
    </w:r>
    <w:r w:rsidR="00CC614E">
      <w:t>2/14</w:t>
    </w:r>
    <w:r w:rsidR="00FD5181">
      <w:t>/24</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19A"/>
    <w:rsid w:val="000073FB"/>
    <w:rsid w:val="00014426"/>
    <w:rsid w:val="0001521E"/>
    <w:rsid w:val="00026668"/>
    <w:rsid w:val="00032EC2"/>
    <w:rsid w:val="00033A56"/>
    <w:rsid w:val="000362AB"/>
    <w:rsid w:val="00036D21"/>
    <w:rsid w:val="0004714A"/>
    <w:rsid w:val="00077160"/>
    <w:rsid w:val="000831A1"/>
    <w:rsid w:val="000959E0"/>
    <w:rsid w:val="000A464D"/>
    <w:rsid w:val="000A7BFC"/>
    <w:rsid w:val="000A7FEC"/>
    <w:rsid w:val="000B1891"/>
    <w:rsid w:val="000B5B40"/>
    <w:rsid w:val="000B5BD0"/>
    <w:rsid w:val="000C785B"/>
    <w:rsid w:val="000D0353"/>
    <w:rsid w:val="000D0F28"/>
    <w:rsid w:val="000D1D00"/>
    <w:rsid w:val="000E59F8"/>
    <w:rsid w:val="000F22EA"/>
    <w:rsid w:val="000F580F"/>
    <w:rsid w:val="000F641B"/>
    <w:rsid w:val="00101B04"/>
    <w:rsid w:val="00101E68"/>
    <w:rsid w:val="00104CBC"/>
    <w:rsid w:val="00106FC1"/>
    <w:rsid w:val="001135EA"/>
    <w:rsid w:val="00114E53"/>
    <w:rsid w:val="001154E1"/>
    <w:rsid w:val="0011791D"/>
    <w:rsid w:val="00120B09"/>
    <w:rsid w:val="00120C0C"/>
    <w:rsid w:val="00121A51"/>
    <w:rsid w:val="00124255"/>
    <w:rsid w:val="0012461F"/>
    <w:rsid w:val="00131AD8"/>
    <w:rsid w:val="0013324E"/>
    <w:rsid w:val="0014082E"/>
    <w:rsid w:val="00145734"/>
    <w:rsid w:val="00152E8F"/>
    <w:rsid w:val="0016016F"/>
    <w:rsid w:val="00160EE6"/>
    <w:rsid w:val="001625B1"/>
    <w:rsid w:val="001907A3"/>
    <w:rsid w:val="001A11D5"/>
    <w:rsid w:val="001A2D79"/>
    <w:rsid w:val="001A5863"/>
    <w:rsid w:val="001A5BB7"/>
    <w:rsid w:val="001B13CF"/>
    <w:rsid w:val="001B743A"/>
    <w:rsid w:val="001B7829"/>
    <w:rsid w:val="001C7937"/>
    <w:rsid w:val="001D2296"/>
    <w:rsid w:val="001E1F60"/>
    <w:rsid w:val="001F18CF"/>
    <w:rsid w:val="001F4319"/>
    <w:rsid w:val="001F4476"/>
    <w:rsid w:val="00204F95"/>
    <w:rsid w:val="00210A3C"/>
    <w:rsid w:val="00211542"/>
    <w:rsid w:val="00212B99"/>
    <w:rsid w:val="0023113D"/>
    <w:rsid w:val="00231C14"/>
    <w:rsid w:val="00234AF1"/>
    <w:rsid w:val="002378E5"/>
    <w:rsid w:val="00262E21"/>
    <w:rsid w:val="00274E29"/>
    <w:rsid w:val="00283FFB"/>
    <w:rsid w:val="00293347"/>
    <w:rsid w:val="002A6085"/>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65C8D"/>
    <w:rsid w:val="003700A1"/>
    <w:rsid w:val="003733F6"/>
    <w:rsid w:val="00397D5B"/>
    <w:rsid w:val="003A2191"/>
    <w:rsid w:val="003B12BD"/>
    <w:rsid w:val="003C18FD"/>
    <w:rsid w:val="003C69EA"/>
    <w:rsid w:val="003D1D46"/>
    <w:rsid w:val="003D6A28"/>
    <w:rsid w:val="003E1FAB"/>
    <w:rsid w:val="003E6433"/>
    <w:rsid w:val="003F0A77"/>
    <w:rsid w:val="003F0D29"/>
    <w:rsid w:val="003F15F0"/>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E7466"/>
    <w:rsid w:val="004F2E07"/>
    <w:rsid w:val="00502C7D"/>
    <w:rsid w:val="0051039A"/>
    <w:rsid w:val="00514792"/>
    <w:rsid w:val="005340BB"/>
    <w:rsid w:val="00536692"/>
    <w:rsid w:val="00536E0B"/>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0F49"/>
    <w:rsid w:val="005E147E"/>
    <w:rsid w:val="005E1FB0"/>
    <w:rsid w:val="005E229D"/>
    <w:rsid w:val="005E3A8D"/>
    <w:rsid w:val="005E6217"/>
    <w:rsid w:val="005F0D36"/>
    <w:rsid w:val="005F6CDD"/>
    <w:rsid w:val="00603631"/>
    <w:rsid w:val="00605686"/>
    <w:rsid w:val="006056C9"/>
    <w:rsid w:val="006238D2"/>
    <w:rsid w:val="006256A5"/>
    <w:rsid w:val="0063079C"/>
    <w:rsid w:val="006332E6"/>
    <w:rsid w:val="0063390E"/>
    <w:rsid w:val="0063436F"/>
    <w:rsid w:val="006357E3"/>
    <w:rsid w:val="00643307"/>
    <w:rsid w:val="00650171"/>
    <w:rsid w:val="0066245C"/>
    <w:rsid w:val="00663AA2"/>
    <w:rsid w:val="00665D76"/>
    <w:rsid w:val="006679D2"/>
    <w:rsid w:val="006723B7"/>
    <w:rsid w:val="00672B98"/>
    <w:rsid w:val="00684FF7"/>
    <w:rsid w:val="006942EA"/>
    <w:rsid w:val="006A46A7"/>
    <w:rsid w:val="006A740C"/>
    <w:rsid w:val="006B11F5"/>
    <w:rsid w:val="006B34E3"/>
    <w:rsid w:val="006B4142"/>
    <w:rsid w:val="006B57A0"/>
    <w:rsid w:val="006C3CC8"/>
    <w:rsid w:val="006D20CB"/>
    <w:rsid w:val="006E08BD"/>
    <w:rsid w:val="006E2E22"/>
    <w:rsid w:val="006F0956"/>
    <w:rsid w:val="006F1E45"/>
    <w:rsid w:val="007067D3"/>
    <w:rsid w:val="00710076"/>
    <w:rsid w:val="007109C1"/>
    <w:rsid w:val="007134B7"/>
    <w:rsid w:val="00714445"/>
    <w:rsid w:val="00715A89"/>
    <w:rsid w:val="00715BF1"/>
    <w:rsid w:val="00723A40"/>
    <w:rsid w:val="0073132D"/>
    <w:rsid w:val="00734E3F"/>
    <w:rsid w:val="007452CB"/>
    <w:rsid w:val="00751815"/>
    <w:rsid w:val="007532B7"/>
    <w:rsid w:val="007552DD"/>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301A8"/>
    <w:rsid w:val="00841F6C"/>
    <w:rsid w:val="00855C1B"/>
    <w:rsid w:val="00885262"/>
    <w:rsid w:val="008874B6"/>
    <w:rsid w:val="00890DF0"/>
    <w:rsid w:val="008A1AAE"/>
    <w:rsid w:val="008A1DA2"/>
    <w:rsid w:val="008A3D80"/>
    <w:rsid w:val="008A55C2"/>
    <w:rsid w:val="008B23B9"/>
    <w:rsid w:val="008C723B"/>
    <w:rsid w:val="008D3606"/>
    <w:rsid w:val="008E2215"/>
    <w:rsid w:val="008E5BDD"/>
    <w:rsid w:val="008F1FF2"/>
    <w:rsid w:val="00900D36"/>
    <w:rsid w:val="00903D39"/>
    <w:rsid w:val="0091176A"/>
    <w:rsid w:val="00913E20"/>
    <w:rsid w:val="009214DA"/>
    <w:rsid w:val="00922EE1"/>
    <w:rsid w:val="00926D2B"/>
    <w:rsid w:val="00927F7D"/>
    <w:rsid w:val="00931822"/>
    <w:rsid w:val="0093204C"/>
    <w:rsid w:val="00936C86"/>
    <w:rsid w:val="00941125"/>
    <w:rsid w:val="0096024F"/>
    <w:rsid w:val="00965358"/>
    <w:rsid w:val="00971A8E"/>
    <w:rsid w:val="00981A1E"/>
    <w:rsid w:val="00983F8E"/>
    <w:rsid w:val="00985FF4"/>
    <w:rsid w:val="00991077"/>
    <w:rsid w:val="00992EF1"/>
    <w:rsid w:val="00993006"/>
    <w:rsid w:val="009A33A9"/>
    <w:rsid w:val="009B11E7"/>
    <w:rsid w:val="009B27B4"/>
    <w:rsid w:val="009B474D"/>
    <w:rsid w:val="009B4BD7"/>
    <w:rsid w:val="009B6889"/>
    <w:rsid w:val="009C5427"/>
    <w:rsid w:val="009D03C5"/>
    <w:rsid w:val="009D7DCD"/>
    <w:rsid w:val="009F28CC"/>
    <w:rsid w:val="00A11AAC"/>
    <w:rsid w:val="00A21AB4"/>
    <w:rsid w:val="00A34194"/>
    <w:rsid w:val="00A45026"/>
    <w:rsid w:val="00A47CD1"/>
    <w:rsid w:val="00A6136D"/>
    <w:rsid w:val="00A641BB"/>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A7466"/>
    <w:rsid w:val="00AB495B"/>
    <w:rsid w:val="00AC0725"/>
    <w:rsid w:val="00AC0F63"/>
    <w:rsid w:val="00AC3DA0"/>
    <w:rsid w:val="00AC4559"/>
    <w:rsid w:val="00AD50EB"/>
    <w:rsid w:val="00B0155A"/>
    <w:rsid w:val="00B04070"/>
    <w:rsid w:val="00B079DA"/>
    <w:rsid w:val="00B125ED"/>
    <w:rsid w:val="00B152E0"/>
    <w:rsid w:val="00B247AC"/>
    <w:rsid w:val="00B247DA"/>
    <w:rsid w:val="00B510EE"/>
    <w:rsid w:val="00B52E33"/>
    <w:rsid w:val="00B533F4"/>
    <w:rsid w:val="00B615F1"/>
    <w:rsid w:val="00B61A42"/>
    <w:rsid w:val="00B87C79"/>
    <w:rsid w:val="00B919F7"/>
    <w:rsid w:val="00B91C3E"/>
    <w:rsid w:val="00BB4659"/>
    <w:rsid w:val="00BC203D"/>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973F1"/>
    <w:rsid w:val="00CA3A69"/>
    <w:rsid w:val="00CA727A"/>
    <w:rsid w:val="00CC25B3"/>
    <w:rsid w:val="00CC614E"/>
    <w:rsid w:val="00CD65CC"/>
    <w:rsid w:val="00CF23D4"/>
    <w:rsid w:val="00CF69AA"/>
    <w:rsid w:val="00D26039"/>
    <w:rsid w:val="00D31647"/>
    <w:rsid w:val="00D436A5"/>
    <w:rsid w:val="00D43D5F"/>
    <w:rsid w:val="00D54ED3"/>
    <w:rsid w:val="00D63D9E"/>
    <w:rsid w:val="00D64A5D"/>
    <w:rsid w:val="00D77C52"/>
    <w:rsid w:val="00D807DF"/>
    <w:rsid w:val="00D9087F"/>
    <w:rsid w:val="00D926F9"/>
    <w:rsid w:val="00D942D6"/>
    <w:rsid w:val="00D9724B"/>
    <w:rsid w:val="00DA2A46"/>
    <w:rsid w:val="00DA4E51"/>
    <w:rsid w:val="00DB2035"/>
    <w:rsid w:val="00DC39B6"/>
    <w:rsid w:val="00DC6449"/>
    <w:rsid w:val="00DD53BA"/>
    <w:rsid w:val="00DE3961"/>
    <w:rsid w:val="00DF1748"/>
    <w:rsid w:val="00E0125B"/>
    <w:rsid w:val="00E02B59"/>
    <w:rsid w:val="00E07C02"/>
    <w:rsid w:val="00E238B8"/>
    <w:rsid w:val="00E30331"/>
    <w:rsid w:val="00E35ED2"/>
    <w:rsid w:val="00E40EDC"/>
    <w:rsid w:val="00E43618"/>
    <w:rsid w:val="00E53E2D"/>
    <w:rsid w:val="00E60BF8"/>
    <w:rsid w:val="00E62AA6"/>
    <w:rsid w:val="00E666FF"/>
    <w:rsid w:val="00E66AC7"/>
    <w:rsid w:val="00E71BAA"/>
    <w:rsid w:val="00E7340C"/>
    <w:rsid w:val="00E76DAD"/>
    <w:rsid w:val="00E77AA5"/>
    <w:rsid w:val="00E8061B"/>
    <w:rsid w:val="00E85CE6"/>
    <w:rsid w:val="00E86046"/>
    <w:rsid w:val="00E87720"/>
    <w:rsid w:val="00E950DB"/>
    <w:rsid w:val="00EA187D"/>
    <w:rsid w:val="00EA5A35"/>
    <w:rsid w:val="00EA63C2"/>
    <w:rsid w:val="00EB4A3E"/>
    <w:rsid w:val="00EB7623"/>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D5181"/>
    <w:rsid w:val="00FE5186"/>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0893794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85232720">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2667470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6311228">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54269512">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63648540">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176178">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36433243">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384597000">
      <w:bodyDiv w:val="1"/>
      <w:marLeft w:val="0"/>
      <w:marRight w:val="0"/>
      <w:marTop w:val="0"/>
      <w:marBottom w:val="0"/>
      <w:divBdr>
        <w:top w:val="none" w:sz="0" w:space="0" w:color="auto"/>
        <w:left w:val="none" w:sz="0" w:space="0" w:color="auto"/>
        <w:bottom w:val="none" w:sz="0" w:space="0" w:color="auto"/>
        <w:right w:val="none" w:sz="0" w:space="0" w:color="auto"/>
      </w:divBdr>
    </w:div>
    <w:div w:id="1385791070">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21876054">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07690769">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37292372">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61616225">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2282648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872766209">
      <w:bodyDiv w:val="1"/>
      <w:marLeft w:val="0"/>
      <w:marRight w:val="0"/>
      <w:marTop w:val="0"/>
      <w:marBottom w:val="0"/>
      <w:divBdr>
        <w:top w:val="none" w:sz="0" w:space="0" w:color="auto"/>
        <w:left w:val="none" w:sz="0" w:space="0" w:color="auto"/>
        <w:bottom w:val="none" w:sz="0" w:space="0" w:color="auto"/>
        <w:right w:val="none" w:sz="0" w:space="0" w:color="auto"/>
      </w:divBdr>
    </w:div>
    <w:div w:id="1892885949">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4347940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09469310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1206</Words>
  <Characters>6876</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2024-02-13T16:40:00Z</dcterms:created>
  <dcterms:modified xsi:type="dcterms:W3CDTF">2024-02-13T16:40:00Z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