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38031A" w:rsidP="00BE7A92">
            <w:pPr>
              <w:pStyle w:val="Header"/>
            </w:pPr>
            <w:hyperlink r:id="rId12" w:history="1">
              <w:r w:rsidR="00A37BC9"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6B91ACEC" w:rsidR="00067FE2" w:rsidRDefault="00056154" w:rsidP="00F44236">
            <w:pPr>
              <w:pStyle w:val="Header"/>
            </w:pPr>
            <w:r w:rsidRPr="002A4A60">
              <w:t>Optional Exclusion of Load from Netting at ERCOT-Polled Settlement (EPS) Metering Facilities which Include Resources</w:t>
            </w:r>
          </w:p>
        </w:tc>
      </w:tr>
      <w:tr w:rsidR="00D473CC" w:rsidRPr="00E01925" w14:paraId="44DA48DC" w14:textId="77777777" w:rsidTr="00BC2D06">
        <w:trPr>
          <w:trHeight w:val="518"/>
        </w:trPr>
        <w:tc>
          <w:tcPr>
            <w:tcW w:w="2880" w:type="dxa"/>
            <w:gridSpan w:val="2"/>
            <w:shd w:val="clear" w:color="auto" w:fill="FFFFFF"/>
            <w:vAlign w:val="center"/>
          </w:tcPr>
          <w:p w14:paraId="7945E86F" w14:textId="046D98DF" w:rsidR="00D473CC" w:rsidRPr="00E01925" w:rsidRDefault="00D473CC" w:rsidP="002350F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9F2DB78" w14:textId="4ADA8CCF" w:rsidR="00D473CC" w:rsidRPr="00E01925" w:rsidRDefault="003D51F8" w:rsidP="002350F8">
            <w:pPr>
              <w:pStyle w:val="NormalArial"/>
              <w:spacing w:before="120" w:after="120"/>
            </w:pPr>
            <w:r>
              <w:t>February 8, 2024</w:t>
            </w:r>
          </w:p>
        </w:tc>
      </w:tr>
      <w:tr w:rsidR="00D473CC" w:rsidRPr="00E01925" w14:paraId="35976B4C" w14:textId="77777777" w:rsidTr="00BC2D06">
        <w:trPr>
          <w:trHeight w:val="518"/>
        </w:trPr>
        <w:tc>
          <w:tcPr>
            <w:tcW w:w="2880" w:type="dxa"/>
            <w:gridSpan w:val="2"/>
            <w:shd w:val="clear" w:color="auto" w:fill="FFFFFF"/>
            <w:vAlign w:val="center"/>
          </w:tcPr>
          <w:p w14:paraId="60742AE0" w14:textId="0414E6CE" w:rsidR="00D473CC" w:rsidRPr="00E01925" w:rsidRDefault="00D473CC" w:rsidP="002350F8">
            <w:pPr>
              <w:pStyle w:val="Header"/>
              <w:spacing w:before="120" w:after="120"/>
              <w:rPr>
                <w:bCs w:val="0"/>
              </w:rPr>
            </w:pPr>
            <w:r>
              <w:rPr>
                <w:bCs w:val="0"/>
              </w:rPr>
              <w:t>Action</w:t>
            </w:r>
          </w:p>
        </w:tc>
        <w:tc>
          <w:tcPr>
            <w:tcW w:w="7560" w:type="dxa"/>
            <w:gridSpan w:val="2"/>
            <w:vAlign w:val="center"/>
          </w:tcPr>
          <w:p w14:paraId="639DBE39" w14:textId="576F40C4" w:rsidR="00D473CC" w:rsidRDefault="003D51F8" w:rsidP="002350F8">
            <w:pPr>
              <w:pStyle w:val="NormalArial"/>
              <w:spacing w:before="120" w:after="120"/>
            </w:pPr>
            <w:r>
              <w:t>Recommended Approval</w:t>
            </w:r>
          </w:p>
        </w:tc>
      </w:tr>
      <w:tr w:rsidR="00D473CC" w:rsidRPr="00E01925" w14:paraId="7F68F49B" w14:textId="77777777" w:rsidTr="00BC2D06">
        <w:trPr>
          <w:trHeight w:val="518"/>
        </w:trPr>
        <w:tc>
          <w:tcPr>
            <w:tcW w:w="2880" w:type="dxa"/>
            <w:gridSpan w:val="2"/>
            <w:shd w:val="clear" w:color="auto" w:fill="FFFFFF"/>
            <w:vAlign w:val="center"/>
          </w:tcPr>
          <w:p w14:paraId="66FAC38D" w14:textId="2C232201" w:rsidR="00D473CC" w:rsidRPr="00E01925" w:rsidRDefault="00D473CC" w:rsidP="002350F8">
            <w:pPr>
              <w:pStyle w:val="Header"/>
              <w:spacing w:before="120" w:after="120"/>
              <w:rPr>
                <w:bCs w:val="0"/>
              </w:rPr>
            </w:pPr>
            <w:r>
              <w:t xml:space="preserve">Timeline </w:t>
            </w:r>
          </w:p>
        </w:tc>
        <w:tc>
          <w:tcPr>
            <w:tcW w:w="7560" w:type="dxa"/>
            <w:gridSpan w:val="2"/>
            <w:vAlign w:val="center"/>
          </w:tcPr>
          <w:p w14:paraId="3D2CEC10" w14:textId="5ADC59FA" w:rsidR="00D473CC" w:rsidRDefault="00D473CC" w:rsidP="002350F8">
            <w:pPr>
              <w:pStyle w:val="NormalArial"/>
              <w:spacing w:before="120" w:after="120"/>
            </w:pPr>
            <w:r>
              <w:t>Normal</w:t>
            </w:r>
          </w:p>
        </w:tc>
      </w:tr>
      <w:tr w:rsidR="00D473CC" w:rsidRPr="00E01925" w14:paraId="253E87CF" w14:textId="77777777" w:rsidTr="00BC2D06">
        <w:trPr>
          <w:trHeight w:val="518"/>
        </w:trPr>
        <w:tc>
          <w:tcPr>
            <w:tcW w:w="2880" w:type="dxa"/>
            <w:gridSpan w:val="2"/>
            <w:shd w:val="clear" w:color="auto" w:fill="FFFFFF"/>
            <w:vAlign w:val="center"/>
          </w:tcPr>
          <w:p w14:paraId="0715C0DD" w14:textId="5274AEF3" w:rsidR="00D473CC" w:rsidRPr="00E01925" w:rsidRDefault="00D473CC" w:rsidP="002350F8">
            <w:pPr>
              <w:pStyle w:val="Header"/>
              <w:spacing w:before="120" w:after="120"/>
              <w:rPr>
                <w:bCs w:val="0"/>
              </w:rPr>
            </w:pPr>
            <w:r>
              <w:t>Proposed Effective Date</w:t>
            </w:r>
          </w:p>
        </w:tc>
        <w:tc>
          <w:tcPr>
            <w:tcW w:w="7560" w:type="dxa"/>
            <w:gridSpan w:val="2"/>
            <w:vAlign w:val="center"/>
          </w:tcPr>
          <w:p w14:paraId="68948851" w14:textId="61688607" w:rsidR="00D473CC" w:rsidRDefault="00D473CC" w:rsidP="002350F8">
            <w:pPr>
              <w:pStyle w:val="NormalArial"/>
              <w:spacing w:before="120" w:after="120"/>
            </w:pPr>
            <w:r>
              <w:t>To be determined</w:t>
            </w:r>
          </w:p>
        </w:tc>
      </w:tr>
      <w:tr w:rsidR="00D473CC" w:rsidRPr="00E01925" w14:paraId="775352D0" w14:textId="77777777" w:rsidTr="00BC2D06">
        <w:trPr>
          <w:trHeight w:val="518"/>
        </w:trPr>
        <w:tc>
          <w:tcPr>
            <w:tcW w:w="2880" w:type="dxa"/>
            <w:gridSpan w:val="2"/>
            <w:shd w:val="clear" w:color="auto" w:fill="FFFFFF"/>
            <w:vAlign w:val="center"/>
          </w:tcPr>
          <w:p w14:paraId="0C5192C0" w14:textId="01EAAE03" w:rsidR="00D473CC" w:rsidRPr="00E01925" w:rsidRDefault="00D473CC" w:rsidP="002350F8">
            <w:pPr>
              <w:pStyle w:val="Header"/>
              <w:spacing w:before="120" w:after="120"/>
              <w:rPr>
                <w:bCs w:val="0"/>
              </w:rPr>
            </w:pPr>
            <w:r>
              <w:t>Priority and Rank Assigned</w:t>
            </w:r>
          </w:p>
        </w:tc>
        <w:tc>
          <w:tcPr>
            <w:tcW w:w="7560" w:type="dxa"/>
            <w:gridSpan w:val="2"/>
            <w:vAlign w:val="center"/>
          </w:tcPr>
          <w:p w14:paraId="307799C8" w14:textId="2322590C" w:rsidR="00D473CC" w:rsidRDefault="00D473CC" w:rsidP="002350F8">
            <w:pPr>
              <w:pStyle w:val="NormalArial"/>
              <w:spacing w:before="120" w:after="120"/>
            </w:pPr>
            <w:r>
              <w:t>To be determined</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056154"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056154" w:rsidRDefault="00056154" w:rsidP="00056154">
            <w:pPr>
              <w:pStyle w:val="Header"/>
            </w:pPr>
            <w:r>
              <w:t>Revision Description</w:t>
            </w:r>
          </w:p>
        </w:tc>
        <w:tc>
          <w:tcPr>
            <w:tcW w:w="7560" w:type="dxa"/>
            <w:gridSpan w:val="2"/>
            <w:tcBorders>
              <w:bottom w:val="single" w:sz="4" w:space="0" w:color="auto"/>
            </w:tcBorders>
            <w:vAlign w:val="center"/>
          </w:tcPr>
          <w:p w14:paraId="18D573CD" w14:textId="52C812F3" w:rsidR="00056154" w:rsidRPr="00FB509B" w:rsidRDefault="00056154" w:rsidP="00056154">
            <w:pPr>
              <w:pStyle w:val="NormalArial"/>
              <w:spacing w:before="120" w:after="120"/>
            </w:pPr>
            <w:r>
              <w:t xml:space="preserve">This Nodal Protocol Revision Request (NPRR) adds the ability for   Resources to separately meter and settle Load(s) located behind the EPS metering point at the Resource’s POI.  </w:t>
            </w:r>
          </w:p>
        </w:tc>
      </w:tr>
      <w:tr w:rsidR="009833CB" w14:paraId="13C3D4F4" w14:textId="77777777" w:rsidTr="00625E5D">
        <w:trPr>
          <w:trHeight w:val="518"/>
        </w:trPr>
        <w:tc>
          <w:tcPr>
            <w:tcW w:w="2880" w:type="dxa"/>
            <w:gridSpan w:val="2"/>
            <w:shd w:val="clear" w:color="auto" w:fill="FFFFFF"/>
            <w:vAlign w:val="center"/>
          </w:tcPr>
          <w:p w14:paraId="52651743" w14:textId="45AF3D62" w:rsidR="009833CB" w:rsidRDefault="009833CB" w:rsidP="009833CB">
            <w:pPr>
              <w:pStyle w:val="Header"/>
            </w:pPr>
            <w:r>
              <w:t>Reason for Revision</w:t>
            </w:r>
          </w:p>
        </w:tc>
        <w:tc>
          <w:tcPr>
            <w:tcW w:w="7560" w:type="dxa"/>
            <w:gridSpan w:val="2"/>
            <w:vAlign w:val="center"/>
          </w:tcPr>
          <w:p w14:paraId="01350A96" w14:textId="6CBF6D46" w:rsidR="009833CB" w:rsidRDefault="009833CB" w:rsidP="009833CB">
            <w:pPr>
              <w:pStyle w:val="NormalArial"/>
              <w:tabs>
                <w:tab w:val="left" w:pos="432"/>
              </w:tabs>
              <w:spacing w:before="120"/>
              <w:ind w:left="432" w:hanging="432"/>
              <w:rPr>
                <w:rFonts w:cs="Arial"/>
                <w:color w:val="000000"/>
              </w:rPr>
            </w:pPr>
            <w:r w:rsidRPr="006629C8">
              <w:object w:dxaOrig="225" w:dyaOrig="225" w14:anchorId="23599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3" o:title=""/>
                </v:shape>
                <w:control r:id="rId14" w:name="TextBox112" w:shapeid="_x0000_i1037"/>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AE3BCC9" w14:textId="6CF089CD" w:rsidR="009833CB" w:rsidRPr="00BD53C5" w:rsidRDefault="009833CB" w:rsidP="009833CB">
            <w:pPr>
              <w:pStyle w:val="NormalArial"/>
              <w:tabs>
                <w:tab w:val="left" w:pos="432"/>
              </w:tabs>
              <w:spacing w:before="120"/>
              <w:ind w:left="432" w:hanging="432"/>
              <w:rPr>
                <w:rFonts w:cs="Arial"/>
                <w:color w:val="000000"/>
              </w:rPr>
            </w:pPr>
            <w:r w:rsidRPr="00CD242D">
              <w:object w:dxaOrig="225" w:dyaOrig="225" w14:anchorId="3E6E31C7">
                <v:shape id="_x0000_i1039" type="#_x0000_t75" style="width:15.6pt;height:15pt" o:ole="">
                  <v:imagedata r:id="rId13"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DCE4FE0" w14:textId="75228261" w:rsidR="009833CB" w:rsidRPr="00BD53C5" w:rsidRDefault="009833CB" w:rsidP="009833CB">
            <w:pPr>
              <w:pStyle w:val="NormalArial"/>
              <w:spacing w:before="120"/>
              <w:ind w:left="432" w:hanging="432"/>
              <w:rPr>
                <w:rFonts w:cs="Arial"/>
                <w:color w:val="000000"/>
              </w:rPr>
            </w:pPr>
            <w:r w:rsidRPr="006629C8">
              <w:object w:dxaOrig="225" w:dyaOrig="225" w14:anchorId="24788280">
                <v:shape id="_x0000_i1041" type="#_x0000_t75" style="width:15.6pt;height:15pt" o:ole="">
                  <v:imagedata r:id="rId13"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EDB1620" w14:textId="743854F0" w:rsidR="009833CB" w:rsidRDefault="009833CB" w:rsidP="009833CB">
            <w:pPr>
              <w:pStyle w:val="NormalArial"/>
              <w:spacing w:before="120"/>
              <w:rPr>
                <w:iCs/>
                <w:kern w:val="24"/>
              </w:rPr>
            </w:pPr>
            <w:r w:rsidRPr="006629C8">
              <w:object w:dxaOrig="225" w:dyaOrig="225" w14:anchorId="3E332EDC">
                <v:shape id="_x0000_i1043" type="#_x0000_t75" style="width:15.6pt;height:15pt" o:ole="">
                  <v:imagedata r:id="rId20" o:title=""/>
                </v:shape>
                <w:control r:id="rId21" w:name="TextBox13" w:shapeid="_x0000_i1043"/>
              </w:object>
            </w:r>
            <w:r w:rsidRPr="006629C8">
              <w:t xml:space="preserve">  </w:t>
            </w:r>
            <w:r w:rsidRPr="00344591">
              <w:rPr>
                <w:iCs/>
                <w:kern w:val="24"/>
              </w:rPr>
              <w:t>General system and/or process improvement(s)</w:t>
            </w:r>
          </w:p>
          <w:p w14:paraId="25EC839F" w14:textId="1D67454B" w:rsidR="009833CB" w:rsidRDefault="009833CB" w:rsidP="009833CB">
            <w:pPr>
              <w:pStyle w:val="NormalArial"/>
              <w:spacing w:before="120"/>
              <w:rPr>
                <w:iCs/>
                <w:kern w:val="24"/>
              </w:rPr>
            </w:pPr>
            <w:r w:rsidRPr="006629C8">
              <w:object w:dxaOrig="225" w:dyaOrig="225" w14:anchorId="4C9976E7">
                <v:shape id="_x0000_i1045" type="#_x0000_t75" style="width:15.6pt;height:15pt" o:ole="">
                  <v:imagedata r:id="rId13" o:title=""/>
                </v:shape>
                <w:control r:id="rId22" w:name="TextBox14" w:shapeid="_x0000_i1045"/>
              </w:object>
            </w:r>
            <w:r w:rsidRPr="006629C8">
              <w:t xml:space="preserve">  </w:t>
            </w:r>
            <w:r>
              <w:rPr>
                <w:iCs/>
                <w:kern w:val="24"/>
              </w:rPr>
              <w:t>Regulatory requirements</w:t>
            </w:r>
          </w:p>
          <w:p w14:paraId="7D8234DD" w14:textId="1C05DA31" w:rsidR="009833CB" w:rsidRPr="00CD242D" w:rsidRDefault="009833CB" w:rsidP="009833CB">
            <w:pPr>
              <w:pStyle w:val="NormalArial"/>
              <w:spacing w:before="120"/>
              <w:rPr>
                <w:rFonts w:cs="Arial"/>
                <w:color w:val="000000"/>
              </w:rPr>
            </w:pPr>
            <w:r w:rsidRPr="006629C8">
              <w:object w:dxaOrig="225" w:dyaOrig="225" w14:anchorId="3673529C">
                <v:shape id="_x0000_i1047" type="#_x0000_t75" style="width:15.6pt;height:15pt" o:ole="">
                  <v:imagedata r:id="rId13" o:title=""/>
                </v:shape>
                <w:control r:id="rId23" w:name="TextBox15" w:shapeid="_x0000_i1047"/>
              </w:object>
            </w:r>
            <w:r w:rsidRPr="006629C8">
              <w:t xml:space="preserve">  </w:t>
            </w:r>
            <w:r>
              <w:rPr>
                <w:rFonts w:cs="Arial"/>
                <w:color w:val="000000"/>
              </w:rPr>
              <w:t>ERCOT Board/PUCT Directive</w:t>
            </w:r>
          </w:p>
          <w:p w14:paraId="0732F4C8" w14:textId="77777777" w:rsidR="009833CB" w:rsidRDefault="009833CB" w:rsidP="009833CB">
            <w:pPr>
              <w:pStyle w:val="NormalArial"/>
              <w:rPr>
                <w:i/>
                <w:sz w:val="20"/>
                <w:szCs w:val="20"/>
              </w:rPr>
            </w:pPr>
          </w:p>
          <w:p w14:paraId="046AE445" w14:textId="48E53EC0" w:rsidR="009833CB" w:rsidRPr="001313B4" w:rsidRDefault="009833CB" w:rsidP="009833CB">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056154"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20DE0411" w:rsidR="00056154" w:rsidRDefault="00056154" w:rsidP="00056154">
            <w:pPr>
              <w:pStyle w:val="Header"/>
            </w:pPr>
            <w:r>
              <w:lastRenderedPageBreak/>
              <w:t>Justification of Reason for Revision and Market Impacts</w:t>
            </w:r>
          </w:p>
        </w:tc>
        <w:tc>
          <w:tcPr>
            <w:tcW w:w="7560" w:type="dxa"/>
            <w:gridSpan w:val="2"/>
            <w:tcBorders>
              <w:bottom w:val="single" w:sz="4" w:space="0" w:color="auto"/>
            </w:tcBorders>
            <w:vAlign w:val="center"/>
          </w:tcPr>
          <w:p w14:paraId="0946125D" w14:textId="15151A2C" w:rsidR="00056154" w:rsidRPr="00625E5D" w:rsidRDefault="00056154" w:rsidP="00056154">
            <w:pPr>
              <w:pStyle w:val="NormalArial"/>
              <w:spacing w:before="120" w:after="120"/>
              <w:rPr>
                <w:iCs/>
                <w:kern w:val="24"/>
              </w:rPr>
            </w:pPr>
            <w:r>
              <w:t xml:space="preserve">These revisions to Section 10.3.2.3 create a process for Resources to net Loads and generation behind a single EPS Meter.  For projects with auxiliary Loads, netting of these Loads can impact the expected performance of the project as measured at the POI.  The proposed language allows for a Resource Entity to meter Loads and exclude it from a netting arrangement and settle this Load with a separate TDSP </w:t>
            </w:r>
            <w:r w:rsidRPr="00BE7A92">
              <w:t>Electric Service Identifier</w:t>
            </w:r>
            <w:r>
              <w:t xml:space="preserve"> (ESI ID) with a Load Serving Entity (LSE).  </w:t>
            </w:r>
          </w:p>
        </w:tc>
      </w:tr>
      <w:tr w:rsidR="00D473CC" w:rsidRPr="00F318C5" w14:paraId="341E2CB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8D40C" w14:textId="77777777" w:rsidR="00D473CC" w:rsidRPr="00450880" w:rsidRDefault="00D473CC"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F24A" w14:textId="77777777" w:rsidR="00D473CC" w:rsidRDefault="00D473CC" w:rsidP="009F1A94">
            <w:pPr>
              <w:pStyle w:val="NormalArial"/>
              <w:spacing w:before="120" w:after="120"/>
            </w:pPr>
            <w:r w:rsidRPr="00F318C5">
              <w:t xml:space="preserve">On </w:t>
            </w:r>
            <w:r>
              <w:t>10/12</w:t>
            </w:r>
            <w:r w:rsidRPr="00F318C5">
              <w:t>/23, PRS voted</w:t>
            </w:r>
            <w:r w:rsidR="00AB40A2">
              <w:t xml:space="preserve"> unanimously to table NPRR1197 and refer the issue to WMS</w:t>
            </w:r>
            <w:r w:rsidRPr="00F318C5">
              <w:t xml:space="preserve">.  </w:t>
            </w:r>
            <w:r>
              <w:t>All Market Segments participated in the vote.</w:t>
            </w:r>
          </w:p>
          <w:p w14:paraId="34AB8BC7" w14:textId="4CC4DE70" w:rsidR="003D51F8" w:rsidRPr="00F318C5" w:rsidRDefault="003D51F8" w:rsidP="009F1A94">
            <w:pPr>
              <w:pStyle w:val="NormalArial"/>
              <w:spacing w:before="120" w:after="120"/>
            </w:pPr>
            <w:r>
              <w:t xml:space="preserve">On 2/8/24, PRS voted to </w:t>
            </w:r>
            <w:r w:rsidRPr="003D51F8">
              <w:t>recommend approval of NPRR1197 as amended by the 2/7/24 Oncor comments as revised by PRS</w:t>
            </w:r>
            <w:r>
              <w:t>.  There was one opposing vote from the Cooperative (STEC) Market Segment and three abstentions from the Consumer (Residential Consumer), Cooperative (Brazos), and Independent Generator (Constellation) Market Segments.  All Market Segments participated in the vote.</w:t>
            </w:r>
          </w:p>
        </w:tc>
      </w:tr>
      <w:tr w:rsidR="00D473CC" w:rsidRPr="00F318C5" w14:paraId="56BF378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5E650" w14:textId="77777777" w:rsidR="00D473CC" w:rsidRPr="00450880" w:rsidRDefault="00D473CC"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59BC" w14:textId="77777777" w:rsidR="00D473CC" w:rsidRDefault="00D473CC" w:rsidP="009F1A94">
            <w:pPr>
              <w:pStyle w:val="NormalArial"/>
              <w:spacing w:before="120" w:after="120"/>
              <w:rPr>
                <w:rFonts w:cs="Arial"/>
              </w:rPr>
            </w:pPr>
            <w:r w:rsidRPr="00F318C5">
              <w:t xml:space="preserve">On </w:t>
            </w:r>
            <w:r>
              <w:t>10/12/</w:t>
            </w:r>
            <w:r w:rsidRPr="00F318C5">
              <w:t xml:space="preserve">23, </w:t>
            </w:r>
            <w:r w:rsidR="00AB40A2">
              <w:t xml:space="preserve">participants noted the 10/11/23 WMS comments and the desire for continued discussion of NPRR1197 at </w:t>
            </w:r>
            <w:r w:rsidR="00AB40A2" w:rsidRPr="00AB74DC">
              <w:rPr>
                <w:rFonts w:cs="Arial"/>
              </w:rPr>
              <w:t>the Metering Working Group (MWG)</w:t>
            </w:r>
            <w:r w:rsidR="00AB40A2">
              <w:rPr>
                <w:rFonts w:cs="Arial"/>
              </w:rPr>
              <w:t>.</w:t>
            </w:r>
          </w:p>
          <w:p w14:paraId="6B813445" w14:textId="0CD16982" w:rsidR="003D51F8" w:rsidRPr="00F318C5" w:rsidRDefault="003D51F8" w:rsidP="009F1A94">
            <w:pPr>
              <w:pStyle w:val="NormalArial"/>
              <w:spacing w:before="120" w:after="120"/>
            </w:pPr>
            <w:r>
              <w:rPr>
                <w:rFonts w:cs="Arial"/>
              </w:rPr>
              <w:t xml:space="preserve">On 2/8/24, participants reviewed the 2/2/24 Engie comments and 2/7/24 Oncor comments to NPRR1197.  Opponents restated their concern that NPRR1197 codifies into Protocols the metering situation they’d attempted to prohibit in the recently rejected NPRR1194, </w:t>
            </w:r>
            <w:r w:rsidRPr="003D51F8">
              <w:rPr>
                <w:rFonts w:cs="Arial"/>
              </w:rPr>
              <w:t>Wholesale Storage Load Auxiliary Netting</w:t>
            </w:r>
            <w:r>
              <w:rPr>
                <w:rFonts w:cs="Arial"/>
              </w:rPr>
              <w:t>.</w:t>
            </w:r>
          </w:p>
        </w:tc>
      </w:tr>
    </w:tbl>
    <w:p w14:paraId="58F123A4" w14:textId="77777777" w:rsidR="00D473CC"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3CC" w:rsidRPr="00895AB9" w14:paraId="7E797544" w14:textId="77777777" w:rsidTr="009F1A94">
        <w:trPr>
          <w:trHeight w:val="432"/>
        </w:trPr>
        <w:tc>
          <w:tcPr>
            <w:tcW w:w="10440" w:type="dxa"/>
            <w:gridSpan w:val="2"/>
            <w:shd w:val="clear" w:color="auto" w:fill="FFFFFF"/>
            <w:vAlign w:val="center"/>
          </w:tcPr>
          <w:p w14:paraId="35F12086" w14:textId="77777777" w:rsidR="00D473CC" w:rsidRPr="00895AB9" w:rsidRDefault="00D473CC" w:rsidP="009F1A94">
            <w:pPr>
              <w:pStyle w:val="NormalArial"/>
              <w:ind w:hanging="2"/>
              <w:jc w:val="center"/>
              <w:rPr>
                <w:b/>
              </w:rPr>
            </w:pPr>
            <w:r>
              <w:rPr>
                <w:b/>
              </w:rPr>
              <w:t>Opinions</w:t>
            </w:r>
          </w:p>
        </w:tc>
      </w:tr>
      <w:tr w:rsidR="00D473CC" w:rsidRPr="00550B01" w14:paraId="221137BD" w14:textId="77777777" w:rsidTr="009F1A94">
        <w:trPr>
          <w:trHeight w:val="432"/>
        </w:trPr>
        <w:tc>
          <w:tcPr>
            <w:tcW w:w="2880" w:type="dxa"/>
            <w:shd w:val="clear" w:color="auto" w:fill="FFFFFF"/>
            <w:vAlign w:val="center"/>
          </w:tcPr>
          <w:p w14:paraId="1494A193" w14:textId="77777777" w:rsidR="00D473CC" w:rsidRPr="00F6614D" w:rsidRDefault="00D473CC" w:rsidP="009F1A94">
            <w:pPr>
              <w:pStyle w:val="Header"/>
              <w:ind w:hanging="2"/>
            </w:pPr>
            <w:r w:rsidRPr="00F6614D">
              <w:t>Credit Review</w:t>
            </w:r>
          </w:p>
        </w:tc>
        <w:tc>
          <w:tcPr>
            <w:tcW w:w="7560" w:type="dxa"/>
            <w:vAlign w:val="center"/>
          </w:tcPr>
          <w:p w14:paraId="25073F39" w14:textId="77777777" w:rsidR="00D473CC" w:rsidRPr="00550B01" w:rsidRDefault="00D473CC" w:rsidP="009F1A94">
            <w:pPr>
              <w:pStyle w:val="NormalArial"/>
              <w:spacing w:before="120" w:after="120"/>
              <w:ind w:hanging="2"/>
            </w:pPr>
            <w:r w:rsidRPr="00550B01">
              <w:t>To be determined</w:t>
            </w:r>
          </w:p>
        </w:tc>
      </w:tr>
      <w:tr w:rsidR="00D473CC" w:rsidRPr="00F6614D" w14:paraId="50E6E68D" w14:textId="77777777" w:rsidTr="009F1A94">
        <w:trPr>
          <w:trHeight w:val="432"/>
        </w:trPr>
        <w:tc>
          <w:tcPr>
            <w:tcW w:w="2880" w:type="dxa"/>
            <w:shd w:val="clear" w:color="auto" w:fill="FFFFFF"/>
            <w:vAlign w:val="center"/>
          </w:tcPr>
          <w:p w14:paraId="099412D3" w14:textId="77777777" w:rsidR="00D473CC" w:rsidRPr="00F6614D" w:rsidRDefault="00D473CC" w:rsidP="009F1A94">
            <w:pPr>
              <w:pStyle w:val="Header"/>
              <w:ind w:hanging="2"/>
            </w:pPr>
            <w:r>
              <w:t xml:space="preserve">Independent Market Monitor </w:t>
            </w:r>
            <w:r w:rsidRPr="00F6614D">
              <w:t>Opinion</w:t>
            </w:r>
          </w:p>
        </w:tc>
        <w:tc>
          <w:tcPr>
            <w:tcW w:w="7560" w:type="dxa"/>
            <w:vAlign w:val="center"/>
          </w:tcPr>
          <w:p w14:paraId="10A2CEDE" w14:textId="77777777" w:rsidR="00D473CC" w:rsidRPr="00F6614D" w:rsidRDefault="00D473CC" w:rsidP="009F1A94">
            <w:pPr>
              <w:pStyle w:val="NormalArial"/>
              <w:spacing w:before="120" w:after="120"/>
              <w:ind w:hanging="2"/>
              <w:rPr>
                <w:b/>
                <w:bCs/>
              </w:rPr>
            </w:pPr>
            <w:r w:rsidRPr="00550B01">
              <w:t>To be determined</w:t>
            </w:r>
          </w:p>
        </w:tc>
      </w:tr>
      <w:tr w:rsidR="00D473CC" w:rsidRPr="00F6614D" w14:paraId="53466453" w14:textId="77777777" w:rsidTr="009F1A94">
        <w:trPr>
          <w:trHeight w:val="432"/>
        </w:trPr>
        <w:tc>
          <w:tcPr>
            <w:tcW w:w="2880" w:type="dxa"/>
            <w:shd w:val="clear" w:color="auto" w:fill="FFFFFF"/>
            <w:vAlign w:val="center"/>
          </w:tcPr>
          <w:p w14:paraId="45278923" w14:textId="77777777" w:rsidR="00D473CC" w:rsidRPr="00F6614D" w:rsidRDefault="00D473CC" w:rsidP="009F1A94">
            <w:pPr>
              <w:pStyle w:val="Header"/>
              <w:ind w:hanging="2"/>
            </w:pPr>
            <w:r w:rsidRPr="00F6614D">
              <w:t>ERCOT Opinion</w:t>
            </w:r>
          </w:p>
        </w:tc>
        <w:tc>
          <w:tcPr>
            <w:tcW w:w="7560" w:type="dxa"/>
            <w:vAlign w:val="center"/>
          </w:tcPr>
          <w:p w14:paraId="18C4DC5C" w14:textId="77777777" w:rsidR="00D473CC" w:rsidRPr="00F6614D" w:rsidRDefault="00D473CC" w:rsidP="009F1A94">
            <w:pPr>
              <w:pStyle w:val="NormalArial"/>
              <w:spacing w:before="120" w:after="120"/>
              <w:ind w:hanging="2"/>
              <w:rPr>
                <w:b/>
                <w:bCs/>
              </w:rPr>
            </w:pPr>
            <w:r w:rsidRPr="00550B01">
              <w:t>To be determined</w:t>
            </w:r>
          </w:p>
        </w:tc>
      </w:tr>
      <w:tr w:rsidR="00D473CC" w:rsidRPr="00F6614D" w14:paraId="6CE3DBB9" w14:textId="77777777" w:rsidTr="009F1A94">
        <w:trPr>
          <w:trHeight w:val="432"/>
        </w:trPr>
        <w:tc>
          <w:tcPr>
            <w:tcW w:w="2880" w:type="dxa"/>
            <w:shd w:val="clear" w:color="auto" w:fill="FFFFFF"/>
            <w:vAlign w:val="center"/>
          </w:tcPr>
          <w:p w14:paraId="4E83B91D" w14:textId="77777777" w:rsidR="00D473CC" w:rsidRPr="00F6614D" w:rsidRDefault="00D473CC" w:rsidP="009F1A94">
            <w:pPr>
              <w:pStyle w:val="Header"/>
              <w:ind w:hanging="2"/>
            </w:pPr>
            <w:r w:rsidRPr="00F6614D">
              <w:t>ERCOT Market Impact Statement</w:t>
            </w:r>
          </w:p>
        </w:tc>
        <w:tc>
          <w:tcPr>
            <w:tcW w:w="7560" w:type="dxa"/>
            <w:vAlign w:val="center"/>
          </w:tcPr>
          <w:p w14:paraId="2E617C21" w14:textId="77777777" w:rsidR="00D473CC" w:rsidRPr="00F6614D" w:rsidRDefault="00D473CC" w:rsidP="009F1A94">
            <w:pPr>
              <w:pStyle w:val="NormalArial"/>
              <w:spacing w:before="120" w:after="120"/>
              <w:ind w:hanging="2"/>
              <w:rPr>
                <w:b/>
                <w:bCs/>
              </w:rPr>
            </w:pPr>
            <w:r w:rsidRPr="00550B01">
              <w:t>To be determined</w:t>
            </w:r>
          </w:p>
        </w:tc>
      </w:tr>
    </w:tbl>
    <w:p w14:paraId="7C712AF6" w14:textId="77777777" w:rsidR="00D473CC" w:rsidRPr="00D85807"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38031A">
            <w:pPr>
              <w:pStyle w:val="NormalArial"/>
            </w:pPr>
            <w:hyperlink r:id="rId24" w:history="1">
              <w:r w:rsidR="00C3210D" w:rsidRPr="008C02FD">
                <w:rPr>
                  <w:rStyle w:val="Hyperlink"/>
                </w:rPr>
                <w:t>shawn.grimsley@engie.com</w:t>
              </w:r>
            </w:hyperlink>
            <w:r w:rsidR="000E19A0" w:rsidRPr="008C02FD">
              <w:t xml:space="preserve"> </w:t>
            </w:r>
            <w:r w:rsidR="008C02FD" w:rsidRPr="008C02FD">
              <w:t xml:space="preserve">/ </w:t>
            </w:r>
            <w:hyperlink r:id="rId25"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38031A" w:rsidP="000E19A0">
            <w:pPr>
              <w:pStyle w:val="NormalArial"/>
            </w:pPr>
            <w:hyperlink r:id="rId26"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t>Phone Number</w:t>
            </w:r>
          </w:p>
        </w:tc>
        <w:tc>
          <w:tcPr>
            <w:tcW w:w="7560" w:type="dxa"/>
            <w:vAlign w:val="center"/>
          </w:tcPr>
          <w:p w14:paraId="0DB6255F" w14:textId="19A56131" w:rsidR="000E19A0" w:rsidRDefault="00BE7A92" w:rsidP="000E19A0">
            <w:pPr>
              <w:pStyle w:val="NormalArial"/>
            </w:pPr>
            <w:r>
              <w:t>512-248-6464</w:t>
            </w:r>
          </w:p>
        </w:tc>
      </w:tr>
    </w:tbl>
    <w:p w14:paraId="6EB8AF2E"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473CC" w14:paraId="3DBB5479"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5730B" w14:textId="77777777" w:rsidR="00D473CC" w:rsidRDefault="00D473CC" w:rsidP="009F1A94">
            <w:pPr>
              <w:pStyle w:val="NormalArial"/>
              <w:ind w:hanging="2"/>
              <w:jc w:val="center"/>
              <w:rPr>
                <w:b/>
              </w:rPr>
            </w:pPr>
            <w:r>
              <w:rPr>
                <w:b/>
              </w:rPr>
              <w:t>Comments Received</w:t>
            </w:r>
          </w:p>
        </w:tc>
      </w:tr>
      <w:tr w:rsidR="00D473CC" w14:paraId="1CCFD2B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9E0" w14:textId="77777777" w:rsidR="00D473CC" w:rsidRDefault="00D473CC"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E470FF" w14:textId="77777777" w:rsidR="00D473CC" w:rsidRDefault="00D473CC" w:rsidP="009F1A94">
            <w:pPr>
              <w:pStyle w:val="NormalArial"/>
              <w:ind w:hanging="2"/>
              <w:rPr>
                <w:b/>
              </w:rPr>
            </w:pPr>
            <w:r>
              <w:rPr>
                <w:b/>
              </w:rPr>
              <w:t>Comment Summary</w:t>
            </w:r>
          </w:p>
        </w:tc>
      </w:tr>
      <w:tr w:rsidR="00073DB7" w14:paraId="4344033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E9788F" w14:textId="2A23AFA9" w:rsidR="00073DB7" w:rsidRDefault="00073DB7" w:rsidP="009F1A94">
            <w:pPr>
              <w:pStyle w:val="Header"/>
              <w:rPr>
                <w:b w:val="0"/>
                <w:bCs w:val="0"/>
              </w:rPr>
            </w:pPr>
            <w:r>
              <w:rPr>
                <w:b w:val="0"/>
                <w:bCs w:val="0"/>
              </w:rPr>
              <w:t>ERCOT 101023</w:t>
            </w:r>
          </w:p>
        </w:tc>
        <w:tc>
          <w:tcPr>
            <w:tcW w:w="7560" w:type="dxa"/>
            <w:tcBorders>
              <w:top w:val="single" w:sz="4" w:space="0" w:color="auto"/>
              <w:left w:val="single" w:sz="4" w:space="0" w:color="auto"/>
              <w:bottom w:val="single" w:sz="4" w:space="0" w:color="auto"/>
              <w:right w:val="single" w:sz="4" w:space="0" w:color="auto"/>
            </w:tcBorders>
            <w:vAlign w:val="center"/>
          </w:tcPr>
          <w:p w14:paraId="79C2DA77" w14:textId="4F831FF2" w:rsidR="00073DB7" w:rsidRDefault="00E602A7" w:rsidP="009F1A94">
            <w:pPr>
              <w:pStyle w:val="NormalArial"/>
              <w:spacing w:before="120" w:after="120"/>
              <w:ind w:hanging="2"/>
              <w:rPr>
                <w:rFonts w:cs="Arial"/>
              </w:rPr>
            </w:pPr>
            <w:r>
              <w:rPr>
                <w:rFonts w:cs="Arial"/>
              </w:rPr>
              <w:t>Updated title, clarified the process for requested that and EPS Meter be installed to meter other auxiliary Load at a Generation site, and allowed auxiliary Load to be excluded from the Generation site netting process</w:t>
            </w:r>
          </w:p>
        </w:tc>
      </w:tr>
      <w:tr w:rsidR="00D473CC" w14:paraId="0F264331"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D25AB7" w14:textId="53A8F495" w:rsidR="00D473CC" w:rsidRDefault="00AB40A2" w:rsidP="009F1A94">
            <w:pPr>
              <w:pStyle w:val="Header"/>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7FEF01D5" w14:textId="7C2472D4" w:rsidR="00D473CC" w:rsidRDefault="00AB40A2" w:rsidP="009F1A94">
            <w:pPr>
              <w:pStyle w:val="NormalArial"/>
              <w:spacing w:before="120" w:after="120"/>
              <w:ind w:hanging="2"/>
            </w:pPr>
            <w:r>
              <w:rPr>
                <w:rFonts w:cs="Arial"/>
              </w:rPr>
              <w:t xml:space="preserve">Requested PRS table NPRR1197 for further review by </w:t>
            </w:r>
            <w:r w:rsidRPr="00AB74DC">
              <w:rPr>
                <w:rFonts w:cs="Arial"/>
              </w:rPr>
              <w:t>MWG</w:t>
            </w:r>
          </w:p>
        </w:tc>
      </w:tr>
      <w:tr w:rsidR="003448E5" w14:paraId="1AE1D5F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643F92" w14:textId="236B1A1D" w:rsidR="003448E5" w:rsidRDefault="003448E5" w:rsidP="009F1A94">
            <w:pPr>
              <w:pStyle w:val="Header"/>
              <w:rPr>
                <w:b w:val="0"/>
                <w:bCs w:val="0"/>
              </w:rPr>
            </w:pPr>
            <w:r>
              <w:rPr>
                <w:b w:val="0"/>
                <w:bCs w:val="0"/>
              </w:rPr>
              <w:t>Engie 101323</w:t>
            </w:r>
          </w:p>
        </w:tc>
        <w:tc>
          <w:tcPr>
            <w:tcW w:w="7560" w:type="dxa"/>
            <w:tcBorders>
              <w:top w:val="single" w:sz="4" w:space="0" w:color="auto"/>
              <w:left w:val="single" w:sz="4" w:space="0" w:color="auto"/>
              <w:bottom w:val="single" w:sz="4" w:space="0" w:color="auto"/>
              <w:right w:val="single" w:sz="4" w:space="0" w:color="auto"/>
            </w:tcBorders>
            <w:vAlign w:val="center"/>
          </w:tcPr>
          <w:p w14:paraId="09E7C0F3" w14:textId="27F81FFF" w:rsidR="003448E5" w:rsidRDefault="00D64A82" w:rsidP="009F1A94">
            <w:pPr>
              <w:pStyle w:val="NormalArial"/>
              <w:spacing w:before="120" w:after="120"/>
              <w:ind w:hanging="2"/>
              <w:rPr>
                <w:rFonts w:cs="Arial"/>
              </w:rPr>
            </w:pPr>
            <w:r>
              <w:rPr>
                <w:rFonts w:cs="Arial"/>
              </w:rPr>
              <w:t>Removed requirement for mutual agreement between the connecting Transmission Service Provider (TSP), Distribution Service Provider (DSP), and Resource Entity</w:t>
            </w:r>
          </w:p>
        </w:tc>
      </w:tr>
      <w:tr w:rsidR="00E602A7" w14:paraId="3795EF5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64E74" w14:textId="6EE1F237" w:rsidR="00E602A7" w:rsidRDefault="00E602A7" w:rsidP="009F1A94">
            <w:pPr>
              <w:pStyle w:val="Header"/>
              <w:rPr>
                <w:b w:val="0"/>
                <w:bCs w:val="0"/>
              </w:rPr>
            </w:pPr>
            <w:r>
              <w:rPr>
                <w:b w:val="0"/>
                <w:bCs w:val="0"/>
              </w:rPr>
              <w:t>WMS 110123</w:t>
            </w:r>
          </w:p>
        </w:tc>
        <w:tc>
          <w:tcPr>
            <w:tcW w:w="7560" w:type="dxa"/>
            <w:tcBorders>
              <w:top w:val="single" w:sz="4" w:space="0" w:color="auto"/>
              <w:left w:val="single" w:sz="4" w:space="0" w:color="auto"/>
              <w:bottom w:val="single" w:sz="4" w:space="0" w:color="auto"/>
              <w:right w:val="single" w:sz="4" w:space="0" w:color="auto"/>
            </w:tcBorders>
            <w:vAlign w:val="center"/>
          </w:tcPr>
          <w:p w14:paraId="493CABC1" w14:textId="1DB1B2FE" w:rsidR="00E602A7" w:rsidRDefault="00E602A7" w:rsidP="009F1A94">
            <w:pPr>
              <w:pStyle w:val="NormalArial"/>
              <w:spacing w:before="120" w:after="120"/>
              <w:ind w:hanging="2"/>
              <w:rPr>
                <w:rFonts w:cs="Arial"/>
              </w:rPr>
            </w:pPr>
            <w:r>
              <w:rPr>
                <w:rFonts w:cs="Arial"/>
              </w:rPr>
              <w:t>Requested PRS continue to table NPRR1197 for further review by MWG</w:t>
            </w:r>
          </w:p>
        </w:tc>
      </w:tr>
      <w:tr w:rsidR="003D51F8" w14:paraId="53591B76"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9BE5FF" w14:textId="08BFFB7F" w:rsidR="003D51F8" w:rsidRDefault="003D51F8" w:rsidP="009F1A94">
            <w:pPr>
              <w:pStyle w:val="Header"/>
              <w:rPr>
                <w:b w:val="0"/>
                <w:bCs w:val="0"/>
              </w:rPr>
            </w:pPr>
            <w:r>
              <w:rPr>
                <w:b w:val="0"/>
                <w:bCs w:val="0"/>
              </w:rPr>
              <w:t>WMS 011024</w:t>
            </w:r>
          </w:p>
        </w:tc>
        <w:tc>
          <w:tcPr>
            <w:tcW w:w="7560" w:type="dxa"/>
            <w:tcBorders>
              <w:top w:val="single" w:sz="4" w:space="0" w:color="auto"/>
              <w:left w:val="single" w:sz="4" w:space="0" w:color="auto"/>
              <w:bottom w:val="single" w:sz="4" w:space="0" w:color="auto"/>
              <w:right w:val="single" w:sz="4" w:space="0" w:color="auto"/>
            </w:tcBorders>
            <w:vAlign w:val="center"/>
          </w:tcPr>
          <w:p w14:paraId="2FD32C59" w14:textId="0CFEAD89" w:rsidR="003D51F8" w:rsidRDefault="003D51F8" w:rsidP="009F1A94">
            <w:pPr>
              <w:pStyle w:val="NormalArial"/>
              <w:spacing w:before="120" w:after="120"/>
              <w:ind w:hanging="2"/>
              <w:rPr>
                <w:rFonts w:cs="Arial"/>
              </w:rPr>
            </w:pPr>
            <w:r>
              <w:rPr>
                <w:rFonts w:cs="Arial"/>
              </w:rPr>
              <w:t>Endorsed NPRR1197 as amended by the 10/10/23 ERCOT comments</w:t>
            </w:r>
          </w:p>
        </w:tc>
      </w:tr>
      <w:tr w:rsidR="003D51F8" w14:paraId="0E65031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13A09D" w14:textId="3404B8CD" w:rsidR="003D51F8" w:rsidRDefault="003D51F8" w:rsidP="009F1A94">
            <w:pPr>
              <w:pStyle w:val="Header"/>
              <w:rPr>
                <w:b w:val="0"/>
                <w:bCs w:val="0"/>
              </w:rPr>
            </w:pPr>
            <w:r>
              <w:rPr>
                <w:b w:val="0"/>
                <w:bCs w:val="0"/>
              </w:rPr>
              <w:t>Engie 020224</w:t>
            </w:r>
          </w:p>
        </w:tc>
        <w:tc>
          <w:tcPr>
            <w:tcW w:w="7560" w:type="dxa"/>
            <w:tcBorders>
              <w:top w:val="single" w:sz="4" w:space="0" w:color="auto"/>
              <w:left w:val="single" w:sz="4" w:space="0" w:color="auto"/>
              <w:bottom w:val="single" w:sz="4" w:space="0" w:color="auto"/>
              <w:right w:val="single" w:sz="4" w:space="0" w:color="auto"/>
            </w:tcBorders>
            <w:vAlign w:val="center"/>
          </w:tcPr>
          <w:p w14:paraId="7F056E4A" w14:textId="184D0299" w:rsidR="003D51F8" w:rsidRDefault="00036C53" w:rsidP="009F1A94">
            <w:pPr>
              <w:pStyle w:val="NormalArial"/>
              <w:spacing w:before="120" w:after="120"/>
              <w:ind w:hanging="2"/>
              <w:rPr>
                <w:rFonts w:cs="Arial"/>
              </w:rPr>
            </w:pPr>
            <w:r>
              <w:rPr>
                <w:rFonts w:cs="Arial"/>
              </w:rPr>
              <w:t>Proposed additional edits to the 10/10/23 ERCOT comments to clarify the mutual agreement between all impacted parties for the proposed metering arrangement.</w:t>
            </w:r>
          </w:p>
        </w:tc>
      </w:tr>
      <w:tr w:rsidR="003D51F8" w14:paraId="3EB21B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83E5A0" w14:textId="456F083B" w:rsidR="003D51F8" w:rsidRDefault="003D51F8" w:rsidP="009F1A94">
            <w:pPr>
              <w:pStyle w:val="Header"/>
              <w:rPr>
                <w:b w:val="0"/>
                <w:bCs w:val="0"/>
              </w:rPr>
            </w:pPr>
            <w:r>
              <w:rPr>
                <w:b w:val="0"/>
                <w:bCs w:val="0"/>
              </w:rPr>
              <w:t>Oncor 020724</w:t>
            </w:r>
          </w:p>
        </w:tc>
        <w:tc>
          <w:tcPr>
            <w:tcW w:w="7560" w:type="dxa"/>
            <w:tcBorders>
              <w:top w:val="single" w:sz="4" w:space="0" w:color="auto"/>
              <w:left w:val="single" w:sz="4" w:space="0" w:color="auto"/>
              <w:bottom w:val="single" w:sz="4" w:space="0" w:color="auto"/>
              <w:right w:val="single" w:sz="4" w:space="0" w:color="auto"/>
            </w:tcBorders>
            <w:vAlign w:val="center"/>
          </w:tcPr>
          <w:p w14:paraId="7B0D0CD4" w14:textId="4DAE3454" w:rsidR="003D51F8" w:rsidRDefault="00036C53" w:rsidP="009F1A94">
            <w:pPr>
              <w:pStyle w:val="NormalArial"/>
              <w:spacing w:before="120" w:after="120"/>
              <w:ind w:hanging="2"/>
              <w:rPr>
                <w:rFonts w:cs="Arial"/>
              </w:rPr>
            </w:pPr>
            <w:r>
              <w:rPr>
                <w:rFonts w:cs="Arial"/>
              </w:rPr>
              <w:t>Proposed additional edits to the 10/10/23 ERCOT comments clarifying the list of potential impacted parties for the proposed metering arrangement.</w:t>
            </w:r>
          </w:p>
        </w:tc>
      </w:tr>
    </w:tbl>
    <w:p w14:paraId="49EC5730"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lastRenderedPageBreak/>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t>Section 10.3.2.3</w:t>
      </w:r>
    </w:p>
    <w:p w14:paraId="7C90B3DB" w14:textId="03018206" w:rsidR="00AA7286" w:rsidRPr="0038031A" w:rsidRDefault="003D1116" w:rsidP="0038031A">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w:t>
      </w:r>
      <w:r w:rsidRPr="00BE7A92">
        <w:rPr>
          <w:szCs w:val="20"/>
        </w:rPr>
        <w:lastRenderedPageBreak/>
        <w:t xml:space="preserve">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lastRenderedPageBreak/>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lastRenderedPageBreak/>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 xml:space="preserve">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w:t>
      </w:r>
      <w:r w:rsidRPr="00BE7A92">
        <w:rPr>
          <w:szCs w:val="20"/>
        </w:rPr>
        <w:lastRenderedPageBreak/>
        <w:t>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81E8543" w14:textId="77777777" w:rsidR="003D51F8" w:rsidRDefault="003D51F8" w:rsidP="003D51F8">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w:t>
        </w:r>
        <w:del w:id="4" w:author="ERCOT 101023" w:date="2023-10-09T14:54:00Z">
          <w:r w:rsidDel="00166D21">
            <w:rPr>
              <w:snapToGrid w:val="0"/>
            </w:rPr>
            <w:delText xml:space="preserve">non-charging </w:delText>
          </w:r>
        </w:del>
        <w:r>
          <w:rPr>
            <w:snapToGrid w:val="0"/>
          </w:rPr>
          <w:t>Load(s) located behind the EPS metering point at the Resource’s POI to be exclude</w:t>
        </w:r>
      </w:ins>
      <w:ins w:id="5" w:author="ERCOT 101023" w:date="2023-10-09T14:54:00Z">
        <w:r>
          <w:rPr>
            <w:snapToGrid w:val="0"/>
          </w:rPr>
          <w:t>d</w:t>
        </w:r>
      </w:ins>
      <w:ins w:id="6" w:author="Engie" w:date="2023-08-30T15:44:00Z">
        <w:r>
          <w:rPr>
            <w:snapToGrid w:val="0"/>
          </w:rPr>
          <w:t xml:space="preserve"> from the netting arrangement for an EPS Metering Facility, a </w:t>
        </w:r>
        <w:del w:id="7" w:author="ERCOT 101023" w:date="2023-10-09T14:54:00Z">
          <w:r w:rsidDel="00166D21">
            <w:rPr>
              <w:snapToGrid w:val="0"/>
            </w:rPr>
            <w:delText>l</w:delText>
          </w:r>
        </w:del>
      </w:ins>
      <w:ins w:id="8" w:author="ERCOT 101023" w:date="2023-10-09T14:54:00Z">
        <w:r>
          <w:rPr>
            <w:snapToGrid w:val="0"/>
          </w:rPr>
          <w:t>L</w:t>
        </w:r>
      </w:ins>
      <w:ins w:id="9" w:author="Engie" w:date="2023-08-30T15:44:00Z">
        <w:r>
          <w:rPr>
            <w:snapToGrid w:val="0"/>
          </w:rPr>
          <w:t>oad EPS meter shall be located behind the EPS metering point at the Resource’s POI and a separate TDSP ESI ID</w:t>
        </w:r>
        <w:del w:id="10"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11" w:author="ERCOT 101023" w:date="2023-10-09T14:54:00Z">
          <w:r w:rsidDel="00166D21">
            <w:rPr>
              <w:snapToGrid w:val="0"/>
            </w:rPr>
            <w:delText xml:space="preserve">non-charging </w:delText>
          </w:r>
        </w:del>
        <w:r>
          <w:rPr>
            <w:snapToGrid w:val="0"/>
          </w:rPr>
          <w:t xml:space="preserve">Load(s) being removed from the netting arrangement.  This configuration requires mutual agreement between the connecting TSP, DSP, </w:t>
        </w:r>
        <w:del w:id="12" w:author="Oncor 020724" w:date="2024-02-07T10:36:00Z">
          <w:r w:rsidDel="00813677">
            <w:rPr>
              <w:snapToGrid w:val="0"/>
            </w:rPr>
            <w:delText xml:space="preserve">and </w:delText>
          </w:r>
        </w:del>
        <w:r>
          <w:rPr>
            <w:snapToGrid w:val="0"/>
          </w:rPr>
          <w:t>Resource Entit</w:t>
        </w:r>
      </w:ins>
      <w:ins w:id="13" w:author="Oncor 020724" w:date="2024-02-07T10:35:00Z">
        <w:r>
          <w:rPr>
            <w:snapToGrid w:val="0"/>
          </w:rPr>
          <w:t>i</w:t>
        </w:r>
      </w:ins>
      <w:ins w:id="14" w:author="Oncor 020724" w:date="2024-02-07T10:36:00Z">
        <w:r>
          <w:rPr>
            <w:snapToGrid w:val="0"/>
          </w:rPr>
          <w:t>es</w:t>
        </w:r>
      </w:ins>
      <w:ins w:id="15" w:author="Engie" w:date="2023-08-30T15:44:00Z">
        <w:del w:id="16" w:author="Oncor 020724" w:date="2024-02-07T10:35:00Z">
          <w:r w:rsidDel="00813677">
            <w:rPr>
              <w:snapToGrid w:val="0"/>
            </w:rPr>
            <w:delText>y</w:delText>
          </w:r>
        </w:del>
      </w:ins>
      <w:ins w:id="17" w:author="Oncor 020724" w:date="2024-02-07T10:36:00Z">
        <w:r>
          <w:rPr>
            <w:snapToGrid w:val="0"/>
          </w:rPr>
          <w:t>, and any other Load(s) behind the EPS metering point</w:t>
        </w:r>
      </w:ins>
      <w:ins w:id="18" w:author="Engie" w:date="2023-08-30T15:44:00Z">
        <w:r>
          <w:rPr>
            <w:snapToGrid w:val="0"/>
          </w:rPr>
          <w:t>.</w:t>
        </w:r>
      </w:ins>
      <w:ins w:id="19" w:author="ERCOT 101023" w:date="2023-10-09T14:55:00Z">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20"/>
      <w:r w:rsidRPr="00BE7A92">
        <w:rPr>
          <w:b/>
          <w:bCs/>
          <w:i/>
          <w:szCs w:val="20"/>
        </w:rPr>
        <w:t>11.1.6</w:t>
      </w:r>
      <w:commentRangeEnd w:id="20"/>
      <w:r w:rsidR="003D1116">
        <w:rPr>
          <w:rStyle w:val="CommentReference"/>
        </w:rPr>
        <w:commentReference w:id="20"/>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lastRenderedPageBreak/>
              <w:t>(2)</w:t>
            </w:r>
            <w:r w:rsidRPr="00BE7A92">
              <w:rPr>
                <w:iCs/>
              </w:rPr>
              <w:tab/>
              <w:t>Both Load consumption and generation production meters will be combined together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lastRenderedPageBreak/>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For WSL that is separately metered at the POI, the WSL will not be included in the determination of whether the generation site is net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lastRenderedPageBreak/>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through the use of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 xml:space="preserve">For measured or calculated charging Load that is behind the POI or Service Delivery Point, the charging Load will be added back into the POI or </w:t>
            </w:r>
            <w:r w:rsidRPr="00BE7A92">
              <w:rPr>
                <w:szCs w:val="20"/>
              </w:rPr>
              <w:lastRenderedPageBreak/>
              <w:t>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w:t>
            </w:r>
            <w:r w:rsidRPr="00BE7A92">
              <w:rPr>
                <w:szCs w:val="20"/>
              </w:rPr>
              <w:lastRenderedPageBreak/>
              <w:t xml:space="preserve">the EPS meter that measures charging Load is required to be used for Settlement.  For these sites,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3603DBD9" w14:textId="77777777" w:rsidR="003D51F8" w:rsidRPr="00625F5B" w:rsidRDefault="003D51F8" w:rsidP="003D51F8">
      <w:pPr>
        <w:spacing w:before="240" w:after="240"/>
        <w:ind w:left="720" w:hanging="720"/>
        <w:rPr>
          <w:ins w:id="21" w:author="Engie" w:date="2023-08-30T15:46:00Z"/>
          <w:szCs w:val="20"/>
        </w:rPr>
      </w:pPr>
      <w:ins w:id="22" w:author="Engie" w:date="2023-08-30T15:46:00Z">
        <w:r w:rsidRPr="00625F5B">
          <w:rPr>
            <w:szCs w:val="20"/>
          </w:rPr>
          <w:lastRenderedPageBreak/>
          <w:t>(</w:t>
        </w:r>
      </w:ins>
      <w:ins w:id="23" w:author="ERCOT 101023" w:date="2023-10-09T14:56:00Z">
        <w:r>
          <w:rPr>
            <w:szCs w:val="20"/>
          </w:rPr>
          <w:t>6</w:t>
        </w:r>
      </w:ins>
      <w:ins w:id="24" w:author="Engie" w:date="2023-08-30T15:46:00Z">
        <w:del w:id="25"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26"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ins>
      <w:ins w:id="27" w:author="PRS 020824" w:date="2024-02-08T10:44:00Z">
        <w:r>
          <w:rPr>
            <w:szCs w:val="20"/>
          </w:rPr>
          <w:t xml:space="preserve"> pursuant to </w:t>
        </w:r>
      </w:ins>
      <w:ins w:id="28" w:author="PRS 020824" w:date="2024-02-08T10:45:00Z">
        <w:r>
          <w:rPr>
            <w:szCs w:val="20"/>
          </w:rPr>
          <w:t xml:space="preserve">paragraph (10) of </w:t>
        </w:r>
      </w:ins>
      <w:ins w:id="29" w:author="PRS 020824" w:date="2024-02-08T10:44:00Z">
        <w:r>
          <w:rPr>
            <w:szCs w:val="20"/>
          </w:rPr>
          <w:t>Section 10.3.2.3</w:t>
        </w:r>
      </w:ins>
      <w:ins w:id="30" w:author="PRS 020824" w:date="2024-02-08T10:45:00Z">
        <w:r>
          <w:rPr>
            <w:szCs w:val="20"/>
          </w:rPr>
          <w:t xml:space="preserve">, </w:t>
        </w:r>
        <w:r w:rsidRPr="00E307B3">
          <w:rPr>
            <w:szCs w:val="20"/>
          </w:rPr>
          <w:t>Generation Netting for ERCOT-Polled Settlement Meters</w:t>
        </w:r>
      </w:ins>
      <w:ins w:id="31" w:author="Engie" w:date="2023-08-30T15:46:00Z">
        <w:r w:rsidRPr="00625F5B">
          <w:rPr>
            <w:szCs w:val="20"/>
          </w:rPr>
          <w:t xml:space="preserve">: </w:t>
        </w:r>
      </w:ins>
    </w:p>
    <w:p w14:paraId="0A9ACC11" w14:textId="5AAA0CC5" w:rsidR="00BE7A92" w:rsidRPr="008C02FD" w:rsidRDefault="00BE7A92" w:rsidP="00BE7A92">
      <w:pPr>
        <w:spacing w:after="240"/>
        <w:ind w:left="1440" w:hanging="720"/>
        <w:rPr>
          <w:ins w:id="32" w:author="Engie" w:date="2023-08-30T15:46:00Z"/>
          <w:color w:val="000000"/>
          <w:szCs w:val="20"/>
        </w:rPr>
      </w:pPr>
      <w:ins w:id="33" w:author="Engie" w:date="2023-08-30T15:46:00Z">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34" w:author="Engie" w:date="2023-08-30T15:48:00Z">
        <w:r w:rsidR="00FC6EC8">
          <w:rPr>
            <w:color w:val="000000"/>
            <w:szCs w:val="20"/>
          </w:rPr>
          <w:t>L</w:t>
        </w:r>
      </w:ins>
      <w:ins w:id="35"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36" w:author="Engie" w:date="2023-08-30T15:46:00Z"/>
          <w:szCs w:val="20"/>
        </w:rPr>
      </w:pPr>
      <w:ins w:id="37" w:author="Engie" w:date="2023-08-30T15:46:00Z">
        <w:r w:rsidRPr="00625F5B">
          <w:rPr>
            <w:szCs w:val="20"/>
          </w:rPr>
          <w:t>(b)</w:t>
        </w:r>
        <w:r w:rsidRPr="00625F5B">
          <w:rPr>
            <w:szCs w:val="20"/>
          </w:rPr>
          <w:tab/>
          <w:t xml:space="preserve">For non-charging Load(s) that are metered behind the POI metering point, the </w:t>
        </w:r>
      </w:ins>
      <w:ins w:id="38" w:author="Engie" w:date="2023-08-30T15:48:00Z">
        <w:r w:rsidR="00FC6EC8">
          <w:rPr>
            <w:szCs w:val="20"/>
          </w:rPr>
          <w:t>L</w:t>
        </w:r>
      </w:ins>
      <w:ins w:id="39"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40" w:author="Engie" w:date="2023-08-30T15:46:00Z">
        <w:r w:rsidRPr="00625F5B">
          <w:rPr>
            <w:szCs w:val="20"/>
          </w:rPr>
          <w:t>(c)</w:t>
        </w:r>
        <w:r w:rsidRPr="00625F5B">
          <w:rPr>
            <w:szCs w:val="20"/>
          </w:rPr>
          <w:tab/>
          <w:t xml:space="preserve">For non-charging Load(s) that are separately metered at the POI, the non-charging </w:t>
        </w:r>
      </w:ins>
      <w:ins w:id="41" w:author="Engie" w:date="2023-08-30T15:49:00Z">
        <w:r w:rsidR="00FC6EC8">
          <w:rPr>
            <w:szCs w:val="20"/>
          </w:rPr>
          <w:t>L</w:t>
        </w:r>
      </w:ins>
      <w:ins w:id="42" w:author="Engie" w:date="2023-08-30T15:46:00Z">
        <w:r w:rsidRPr="00625F5B">
          <w:rPr>
            <w:szCs w:val="20"/>
          </w:rPr>
          <w:t>oad will not be included in the determination of whether the generation site is net generation or net Load for the purpose of Settlement.</w:t>
        </w:r>
      </w:ins>
    </w:p>
    <w:sectPr w:rsidR="0066370F" w:rsidRPr="00BE7A92">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76CBE52A" w:rsidR="003D1116" w:rsidRDefault="003D1116">
      <w:pPr>
        <w:pStyle w:val="CommentText"/>
      </w:pPr>
      <w:r>
        <w:rPr>
          <w:rStyle w:val="CommentReference"/>
        </w:rPr>
        <w:annotationRef/>
      </w:r>
      <w:r>
        <w:t>Please note NPRR1188 also propose</w:t>
      </w:r>
      <w:r w:rsidR="003D51F8">
        <w:t>s</w:t>
      </w:r>
      <w:r>
        <w:t xml:space="preserve"> revisions to this section.</w:t>
      </w:r>
    </w:p>
  </w:comment>
  <w:comment w:id="20" w:author="ERCOT Market Rules" w:date="2023-08-30T15:54:00Z" w:initials="PC">
    <w:p w14:paraId="477A3A44" w14:textId="0897940F" w:rsidR="003D1116" w:rsidRDefault="003D1116">
      <w:pPr>
        <w:pStyle w:val="CommentText"/>
      </w:pPr>
      <w:r>
        <w:rPr>
          <w:rStyle w:val="CommentReference"/>
        </w:rPr>
        <w:annotationRef/>
      </w:r>
      <w:r>
        <w:t>Please note NPRR1188 also propose</w:t>
      </w:r>
      <w:r w:rsidR="003D51F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406B66A1"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NPRR-</w:t>
    </w:r>
    <w:r w:rsidR="003D51F8">
      <w:rPr>
        <w:rFonts w:ascii="Arial" w:hAnsi="Arial" w:cs="Arial"/>
        <w:sz w:val="18"/>
      </w:rPr>
      <w:t>14</w:t>
    </w:r>
    <w:r w:rsidR="00D473CC">
      <w:rPr>
        <w:rFonts w:ascii="Arial" w:hAnsi="Arial" w:cs="Arial"/>
        <w:sz w:val="18"/>
      </w:rPr>
      <w:t xml:space="preserve"> PRS Report </w:t>
    </w:r>
    <w:r w:rsidR="003D51F8">
      <w:rPr>
        <w:rFonts w:ascii="Arial" w:hAnsi="Arial" w:cs="Arial"/>
        <w:sz w:val="18"/>
      </w:rPr>
      <w:t>020824</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69DE7270" w:rsidR="00D176CF" w:rsidRDefault="00D473C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rson w15:author="Oncor 020724">
    <w15:presenceInfo w15:providerId="None" w15:userId="Oncor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36C53"/>
    <w:rsid w:val="00056154"/>
    <w:rsid w:val="00060A5A"/>
    <w:rsid w:val="00064B44"/>
    <w:rsid w:val="00067FE2"/>
    <w:rsid w:val="000733AF"/>
    <w:rsid w:val="00073DB7"/>
    <w:rsid w:val="0007682E"/>
    <w:rsid w:val="0009147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9314C"/>
    <w:rsid w:val="001A2994"/>
    <w:rsid w:val="001B7AC6"/>
    <w:rsid w:val="001C2DA6"/>
    <w:rsid w:val="001F0ECE"/>
    <w:rsid w:val="001F38F0"/>
    <w:rsid w:val="002159E5"/>
    <w:rsid w:val="0021639A"/>
    <w:rsid w:val="0023414A"/>
    <w:rsid w:val="002350F8"/>
    <w:rsid w:val="00237430"/>
    <w:rsid w:val="0024763A"/>
    <w:rsid w:val="00276A99"/>
    <w:rsid w:val="00286AD9"/>
    <w:rsid w:val="002966F3"/>
    <w:rsid w:val="002A7BF6"/>
    <w:rsid w:val="002B69F3"/>
    <w:rsid w:val="002B763A"/>
    <w:rsid w:val="002D382A"/>
    <w:rsid w:val="002D7C1C"/>
    <w:rsid w:val="002F1EDD"/>
    <w:rsid w:val="002F61B5"/>
    <w:rsid w:val="003013F2"/>
    <w:rsid w:val="0030232A"/>
    <w:rsid w:val="003028AA"/>
    <w:rsid w:val="0030694A"/>
    <w:rsid w:val="003069F4"/>
    <w:rsid w:val="00315E1A"/>
    <w:rsid w:val="003448E5"/>
    <w:rsid w:val="00356883"/>
    <w:rsid w:val="0035759D"/>
    <w:rsid w:val="00360920"/>
    <w:rsid w:val="003719C7"/>
    <w:rsid w:val="0038031A"/>
    <w:rsid w:val="00384709"/>
    <w:rsid w:val="00386C35"/>
    <w:rsid w:val="003923D4"/>
    <w:rsid w:val="003A154F"/>
    <w:rsid w:val="003A3D77"/>
    <w:rsid w:val="003B5AED"/>
    <w:rsid w:val="003C6B7B"/>
    <w:rsid w:val="003D1116"/>
    <w:rsid w:val="003D51F8"/>
    <w:rsid w:val="003E33B9"/>
    <w:rsid w:val="003E565E"/>
    <w:rsid w:val="004135BD"/>
    <w:rsid w:val="00413E01"/>
    <w:rsid w:val="004302A4"/>
    <w:rsid w:val="004463BA"/>
    <w:rsid w:val="00450F89"/>
    <w:rsid w:val="004822D4"/>
    <w:rsid w:val="0049290B"/>
    <w:rsid w:val="004A445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5F7E70"/>
    <w:rsid w:val="00604E56"/>
    <w:rsid w:val="00612E4F"/>
    <w:rsid w:val="00615D5E"/>
    <w:rsid w:val="00616435"/>
    <w:rsid w:val="00622E99"/>
    <w:rsid w:val="00625E5D"/>
    <w:rsid w:val="00634DB6"/>
    <w:rsid w:val="00643AFE"/>
    <w:rsid w:val="00655FC7"/>
    <w:rsid w:val="006563F6"/>
    <w:rsid w:val="0066370F"/>
    <w:rsid w:val="00664A79"/>
    <w:rsid w:val="006822AB"/>
    <w:rsid w:val="006A0784"/>
    <w:rsid w:val="006A697B"/>
    <w:rsid w:val="006B4DDE"/>
    <w:rsid w:val="006D50A5"/>
    <w:rsid w:val="006E4597"/>
    <w:rsid w:val="00743968"/>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8F3E2E"/>
    <w:rsid w:val="009002FB"/>
    <w:rsid w:val="00900B8E"/>
    <w:rsid w:val="00907B1E"/>
    <w:rsid w:val="00910AD8"/>
    <w:rsid w:val="00943AFD"/>
    <w:rsid w:val="00963A51"/>
    <w:rsid w:val="009833CB"/>
    <w:rsid w:val="00983B6E"/>
    <w:rsid w:val="00987CD1"/>
    <w:rsid w:val="009936F8"/>
    <w:rsid w:val="0099534B"/>
    <w:rsid w:val="009A3772"/>
    <w:rsid w:val="009D17F0"/>
    <w:rsid w:val="00A031D3"/>
    <w:rsid w:val="00A223FB"/>
    <w:rsid w:val="00A33F11"/>
    <w:rsid w:val="00A3512E"/>
    <w:rsid w:val="00A37BC9"/>
    <w:rsid w:val="00A42796"/>
    <w:rsid w:val="00A47BF2"/>
    <w:rsid w:val="00A5311D"/>
    <w:rsid w:val="00A57B39"/>
    <w:rsid w:val="00AA02C1"/>
    <w:rsid w:val="00AA7286"/>
    <w:rsid w:val="00AB40A2"/>
    <w:rsid w:val="00AB42C6"/>
    <w:rsid w:val="00AD3B58"/>
    <w:rsid w:val="00AF28D8"/>
    <w:rsid w:val="00AF56C6"/>
    <w:rsid w:val="00AF7CB2"/>
    <w:rsid w:val="00B032E8"/>
    <w:rsid w:val="00B3472A"/>
    <w:rsid w:val="00B53DC3"/>
    <w:rsid w:val="00B54B6E"/>
    <w:rsid w:val="00B55A81"/>
    <w:rsid w:val="00B57F96"/>
    <w:rsid w:val="00B67892"/>
    <w:rsid w:val="00B829D8"/>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48D1"/>
    <w:rsid w:val="00CC4F39"/>
    <w:rsid w:val="00CD544C"/>
    <w:rsid w:val="00CE0B09"/>
    <w:rsid w:val="00CF4256"/>
    <w:rsid w:val="00D01C07"/>
    <w:rsid w:val="00D04FE8"/>
    <w:rsid w:val="00D176CF"/>
    <w:rsid w:val="00D17AD5"/>
    <w:rsid w:val="00D232E4"/>
    <w:rsid w:val="00D271E3"/>
    <w:rsid w:val="00D45288"/>
    <w:rsid w:val="00D473CC"/>
    <w:rsid w:val="00D47A80"/>
    <w:rsid w:val="00D64A82"/>
    <w:rsid w:val="00D66965"/>
    <w:rsid w:val="00D71F1D"/>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02A7"/>
    <w:rsid w:val="00E66604"/>
    <w:rsid w:val="00E71C39"/>
    <w:rsid w:val="00E76E10"/>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C26"/>
    <w:rsid w:val="00FC3D4B"/>
    <w:rsid w:val="00FC6312"/>
    <w:rsid w:val="00FC6EC8"/>
    <w:rsid w:val="00FD2F44"/>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6"/>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 w:type="character" w:customStyle="1" w:styleId="HeaderChar">
    <w:name w:val="Header Char"/>
    <w:link w:val="Header"/>
    <w:rsid w:val="00D473C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hyperlink" Target="mailto:cory.phillips@ercot.com" TargetMode="External"/><Relationship Id="rId21" Type="http://schemas.openxmlformats.org/officeDocument/2006/relationships/control" Target="activeX/activeX4.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rcot.com/mktrules/issues/NPRR1197"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robert.helton@engie.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image" Target="media/image2.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awn.grimsley@engi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6.xm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rcot.com/files/docs/2023/08/25/ERCOT-Strategic-Plan-2024-202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bf472f7-a010-4b5a-bb99-a26ed4c99680"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3.xml><?xml version="1.0" encoding="utf-8"?>
<ds:datastoreItem xmlns:ds="http://schemas.openxmlformats.org/officeDocument/2006/customXml" ds:itemID="{E146606A-7A5B-48A1-AA31-B345BFDC831B}">
  <ds:schemaRefs>
    <ds:schemaRef ds:uri="Microsoft.SharePoint.Taxonomy.ContentTypeSync"/>
  </ds:schemaRefs>
</ds:datastoreItem>
</file>

<file path=customXml/itemProps4.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3772</Words>
  <Characters>21068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24791</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2023-08-07T15:49:00Z</cp:lastPrinted>
  <dcterms:created xsi:type="dcterms:W3CDTF">2024-02-09T21:54:00Z</dcterms:created>
  <dcterms:modified xsi:type="dcterms:W3CDTF">2024-02-09T21:54:00Z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