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519146" w14:textId="77777777" w:rsidR="000B17E9" w:rsidRDefault="000B17E9" w:rsidP="00D55287">
      <w:pPr>
        <w:pStyle w:val="PlainText"/>
        <w:spacing w:line="276" w:lineRule="auto"/>
        <w:rPr>
          <w:b/>
          <w:bCs/>
        </w:rPr>
      </w:pPr>
    </w:p>
    <w:p w14:paraId="0F691EF0" w14:textId="0C8CAD14" w:rsidR="000B17E9" w:rsidRDefault="00D55287" w:rsidP="00D55287">
      <w:pPr>
        <w:pStyle w:val="PlainText"/>
        <w:spacing w:line="276" w:lineRule="auto"/>
        <w:rPr>
          <w:b/>
          <w:bCs/>
        </w:rPr>
      </w:pPr>
      <w:r>
        <w:rPr>
          <w:b/>
          <w:bCs/>
        </w:rPr>
        <w:t>Planning Working Group (PLWG)</w:t>
      </w:r>
      <w:r w:rsidR="000B17E9">
        <w:rPr>
          <w:b/>
          <w:bCs/>
        </w:rPr>
        <w:t xml:space="preserve"> </w:t>
      </w:r>
    </w:p>
    <w:p w14:paraId="0BD88839" w14:textId="4FB67FDA" w:rsidR="000B17E9" w:rsidRDefault="000B17E9" w:rsidP="00D55287">
      <w:pPr>
        <w:pStyle w:val="PlainText"/>
        <w:spacing w:line="276" w:lineRule="auto"/>
        <w:rPr>
          <w:b/>
          <w:bCs/>
        </w:rPr>
      </w:pPr>
      <w:r>
        <w:rPr>
          <w:b/>
          <w:bCs/>
        </w:rPr>
        <w:t>Meeting Notes</w:t>
      </w:r>
    </w:p>
    <w:p w14:paraId="2F568E95" w14:textId="3E3B1443" w:rsidR="00D55287" w:rsidRDefault="00EC7608" w:rsidP="00D55287">
      <w:pPr>
        <w:pStyle w:val="PlainText"/>
        <w:spacing w:line="276" w:lineRule="auto"/>
        <w:rPr>
          <w:b/>
          <w:bCs/>
        </w:rPr>
      </w:pPr>
      <w:r>
        <w:rPr>
          <w:b/>
          <w:bCs/>
        </w:rPr>
        <w:t>January</w:t>
      </w:r>
      <w:r w:rsidR="00675532">
        <w:rPr>
          <w:b/>
          <w:bCs/>
        </w:rPr>
        <w:t xml:space="preserve"> 1</w:t>
      </w:r>
      <w:r>
        <w:rPr>
          <w:b/>
          <w:bCs/>
        </w:rPr>
        <w:t>7</w:t>
      </w:r>
      <w:r w:rsidR="000B17E9">
        <w:rPr>
          <w:b/>
          <w:bCs/>
        </w:rPr>
        <w:t>, 2023</w:t>
      </w:r>
    </w:p>
    <w:p w14:paraId="07A52EDE" w14:textId="345C719B" w:rsidR="000B17E9" w:rsidRDefault="000B17E9" w:rsidP="00D55287">
      <w:pPr>
        <w:pStyle w:val="PlainText"/>
        <w:spacing w:line="276" w:lineRule="auto"/>
        <w:rPr>
          <w:b/>
          <w:bCs/>
        </w:rPr>
      </w:pPr>
      <w:r>
        <w:rPr>
          <w:b/>
          <w:bCs/>
        </w:rPr>
        <w:t>WebEx</w:t>
      </w:r>
      <w:r w:rsidR="006C651E">
        <w:rPr>
          <w:b/>
          <w:bCs/>
        </w:rPr>
        <w:t xml:space="preserve"> Only</w:t>
      </w:r>
    </w:p>
    <w:p w14:paraId="26A8C3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Antitrust Admonition</w:t>
      </w:r>
    </w:p>
    <w:p w14:paraId="336FF2E5"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Agenda Review</w:t>
      </w:r>
    </w:p>
    <w:p w14:paraId="68C618B3" w14:textId="0E6EB2B1" w:rsidR="00D55287" w:rsidRDefault="00D55287" w:rsidP="00D55287">
      <w:pPr>
        <w:pStyle w:val="PlainText"/>
        <w:numPr>
          <w:ilvl w:val="0"/>
          <w:numId w:val="1"/>
        </w:numPr>
        <w:spacing w:line="276" w:lineRule="auto"/>
        <w:rPr>
          <w:rFonts w:eastAsia="Times New Roman"/>
          <w:b/>
          <w:bCs/>
        </w:rPr>
      </w:pPr>
      <w:r>
        <w:rPr>
          <w:rFonts w:eastAsia="Times New Roman"/>
          <w:b/>
          <w:bCs/>
        </w:rPr>
        <w:t xml:space="preserve">Review of PLWG Meeting Minutes from </w:t>
      </w:r>
      <w:r w:rsidR="00D80B6F">
        <w:rPr>
          <w:rFonts w:eastAsia="Times New Roman"/>
          <w:b/>
          <w:bCs/>
        </w:rPr>
        <w:t>December 13</w:t>
      </w:r>
      <w:r>
        <w:rPr>
          <w:rFonts w:eastAsia="Times New Roman"/>
          <w:b/>
          <w:bCs/>
        </w:rPr>
        <w:t>, 2023</w:t>
      </w:r>
    </w:p>
    <w:p w14:paraId="722B3DBD" w14:textId="1046291E" w:rsidR="000B17E9" w:rsidRDefault="000B17E9" w:rsidP="000B17E9">
      <w:pPr>
        <w:pStyle w:val="PlainText"/>
        <w:numPr>
          <w:ilvl w:val="1"/>
          <w:numId w:val="1"/>
        </w:numPr>
        <w:spacing w:line="276" w:lineRule="auto"/>
        <w:rPr>
          <w:rFonts w:eastAsia="Times New Roman"/>
          <w:b/>
          <w:bCs/>
        </w:rPr>
      </w:pPr>
      <w:r>
        <w:rPr>
          <w:rFonts w:eastAsia="Times New Roman"/>
        </w:rPr>
        <w:t>No changes were made to the meeting notes</w:t>
      </w:r>
    </w:p>
    <w:p w14:paraId="744E4766" w14:textId="77777777" w:rsidR="00675532" w:rsidRDefault="00675532" w:rsidP="00675532">
      <w:pPr>
        <w:pStyle w:val="PlainText"/>
        <w:numPr>
          <w:ilvl w:val="0"/>
          <w:numId w:val="1"/>
        </w:numPr>
        <w:spacing w:line="276" w:lineRule="auto"/>
        <w:rPr>
          <w:rFonts w:eastAsia="Times New Roman"/>
        </w:rPr>
      </w:pPr>
      <w:r>
        <w:rPr>
          <w:rFonts w:eastAsia="Times New Roman"/>
          <w:b/>
          <w:bCs/>
        </w:rPr>
        <w:t>General Update</w:t>
      </w:r>
    </w:p>
    <w:p w14:paraId="39BAA022" w14:textId="3A9CEFEC" w:rsidR="006C651E" w:rsidRDefault="00D80B6F" w:rsidP="006C651E">
      <w:pPr>
        <w:pStyle w:val="PlainText"/>
        <w:numPr>
          <w:ilvl w:val="1"/>
          <w:numId w:val="1"/>
        </w:numPr>
        <w:spacing w:line="276" w:lineRule="auto"/>
        <w:rPr>
          <w:rFonts w:eastAsia="Times New Roman"/>
        </w:rPr>
      </w:pPr>
      <w:r>
        <w:rPr>
          <w:rFonts w:eastAsia="Times New Roman"/>
        </w:rPr>
        <w:t>Alexandra Miller (EDF Renewables) reported to ROS the unopposed nominations for Dylan Preas (LCRA TSC) and Mina Turner (AEP) as 2024 chair and vice-chair, respectively</w:t>
      </w:r>
      <w:r w:rsidR="006C651E">
        <w:rPr>
          <w:rFonts w:eastAsia="Times New Roman"/>
        </w:rPr>
        <w:t>.</w:t>
      </w:r>
    </w:p>
    <w:p w14:paraId="18E2B917" w14:textId="2CA00ED8" w:rsidR="006C651E" w:rsidRDefault="00000000" w:rsidP="006C651E">
      <w:pPr>
        <w:pStyle w:val="PlainText"/>
        <w:numPr>
          <w:ilvl w:val="0"/>
          <w:numId w:val="1"/>
        </w:numPr>
        <w:spacing w:line="276" w:lineRule="auto"/>
        <w:rPr>
          <w:rFonts w:eastAsia="Times New Roman"/>
          <w:b/>
          <w:bCs/>
        </w:rPr>
      </w:pPr>
      <w:hyperlink r:id="rId5" w:history="1">
        <w:r w:rsidR="006C651E">
          <w:rPr>
            <w:rStyle w:val="Hyperlink"/>
            <w:rFonts w:eastAsia="Times New Roman"/>
            <w:b/>
            <w:bCs/>
          </w:rPr>
          <w:t>PGR</w:t>
        </w:r>
        <w:r w:rsidR="006C651E">
          <w:rPr>
            <w:rStyle w:val="Hyperlink"/>
            <w:rFonts w:eastAsia="Times New Roman"/>
            <w:b/>
            <w:bCs/>
          </w:rPr>
          <w:t>R</w:t>
        </w:r>
        <w:r w:rsidR="006C651E">
          <w:rPr>
            <w:rStyle w:val="Hyperlink"/>
            <w:rFonts w:eastAsia="Times New Roman"/>
            <w:b/>
            <w:bCs/>
          </w:rPr>
          <w:t xml:space="preserve"> 112</w:t>
        </w:r>
      </w:hyperlink>
      <w:r w:rsidR="006C651E">
        <w:rPr>
          <w:rFonts w:eastAsia="Times New Roman"/>
          <w:b/>
          <w:bCs/>
        </w:rPr>
        <w:t xml:space="preserve"> Dynamic Data Model and Full Interconnection Study (FIS) Deadline for Quarterly Stability Assessment (Jenifer Fernandes, ERCOT)</w:t>
      </w:r>
    </w:p>
    <w:p w14:paraId="4A9F83D0" w14:textId="2C323B81" w:rsidR="00D80B6F" w:rsidRDefault="00D80B6F" w:rsidP="00D80B6F">
      <w:pPr>
        <w:pStyle w:val="PlainText"/>
        <w:numPr>
          <w:ilvl w:val="1"/>
          <w:numId w:val="1"/>
        </w:numPr>
        <w:spacing w:line="276" w:lineRule="auto"/>
        <w:rPr>
          <w:rFonts w:eastAsia="Times New Roman"/>
        </w:rPr>
      </w:pPr>
      <w:r>
        <w:rPr>
          <w:rFonts w:eastAsia="Times New Roman"/>
        </w:rPr>
        <w:t xml:space="preserve">ERCOT submitted </w:t>
      </w:r>
      <w:hyperlink r:id="rId6" w:history="1">
        <w:r>
          <w:rPr>
            <w:rStyle w:val="Hyperlink"/>
            <w:rFonts w:eastAsia="Times New Roman"/>
          </w:rPr>
          <w:t>reply com</w:t>
        </w:r>
        <w:r>
          <w:rPr>
            <w:rStyle w:val="Hyperlink"/>
            <w:rFonts w:eastAsia="Times New Roman"/>
          </w:rPr>
          <w:t>m</w:t>
        </w:r>
        <w:r>
          <w:rPr>
            <w:rStyle w:val="Hyperlink"/>
            <w:rFonts w:eastAsia="Times New Roman"/>
          </w:rPr>
          <w:t>ents</w:t>
        </w:r>
      </w:hyperlink>
      <w:r>
        <w:rPr>
          <w:rFonts w:eastAsia="Times New Roman"/>
        </w:rPr>
        <w:t xml:space="preserve"> on January 17. ERCOT agrees to extend the deadline for submission from 30 Business Days to 45 days. ERCOT does not agree to change the requirement from a final FIS to a preliminary FIS.</w:t>
      </w:r>
    </w:p>
    <w:p w14:paraId="6490A039" w14:textId="77777777" w:rsidR="00D80B6F" w:rsidRDefault="00D80B6F" w:rsidP="00D80B6F">
      <w:pPr>
        <w:pStyle w:val="PlainText"/>
        <w:numPr>
          <w:ilvl w:val="1"/>
          <w:numId w:val="1"/>
        </w:numPr>
        <w:spacing w:line="276" w:lineRule="auto"/>
        <w:rPr>
          <w:rFonts w:eastAsia="Times New Roman"/>
        </w:rPr>
      </w:pPr>
      <w:r>
        <w:rPr>
          <w:rFonts w:eastAsia="Times New Roman"/>
        </w:rPr>
        <w:t>ERCOT also revised the proposed language to require that a Generation Resource or SOG satisfies certain prerequisites before ERCOT includes them in a QSA.</w:t>
      </w:r>
    </w:p>
    <w:p w14:paraId="49097016" w14:textId="4F83AB02" w:rsidR="006C651E" w:rsidRPr="00D80B6F" w:rsidRDefault="00D80B6F" w:rsidP="00D80B6F">
      <w:pPr>
        <w:pStyle w:val="PlainText"/>
        <w:numPr>
          <w:ilvl w:val="1"/>
          <w:numId w:val="1"/>
        </w:numPr>
        <w:spacing w:line="276" w:lineRule="auto"/>
        <w:rPr>
          <w:rFonts w:eastAsia="Times New Roman"/>
        </w:rPr>
      </w:pPr>
      <w:r>
        <w:rPr>
          <w:rFonts w:eastAsia="Times New Roman"/>
          <w:i/>
          <w:iCs/>
        </w:rPr>
        <w:t>PLWG agreed to table PGRR 112 for further discussion at the February meeting to allow stakeholders additional time to review the ERCOT reply comments.</w:t>
      </w:r>
    </w:p>
    <w:p w14:paraId="7BD6F5CF" w14:textId="76A84D32" w:rsidR="006C651E" w:rsidRDefault="00000000" w:rsidP="006C651E">
      <w:pPr>
        <w:pStyle w:val="ListParagraph"/>
        <w:numPr>
          <w:ilvl w:val="0"/>
          <w:numId w:val="1"/>
        </w:numPr>
        <w:spacing w:line="276" w:lineRule="auto"/>
        <w:rPr>
          <w:rFonts w:ascii="Arial" w:eastAsia="Times New Roman" w:hAnsi="Arial" w:cs="Arial"/>
          <w:b/>
          <w:bCs/>
        </w:rPr>
      </w:pPr>
      <w:hyperlink r:id="rId7" w:history="1">
        <w:r w:rsidR="006C651E">
          <w:rPr>
            <w:rStyle w:val="Hyperlink"/>
            <w:rFonts w:ascii="Arial" w:eastAsia="Times New Roman" w:hAnsi="Arial" w:cs="Arial"/>
            <w:b/>
            <w:bCs/>
          </w:rPr>
          <w:t>PGRR 107</w:t>
        </w:r>
      </w:hyperlink>
      <w:r w:rsidR="006C651E">
        <w:rPr>
          <w:rFonts w:ascii="Arial" w:eastAsia="Times New Roman" w:hAnsi="Arial" w:cs="Arial"/>
          <w:b/>
          <w:bCs/>
        </w:rPr>
        <w:t xml:space="preserve"> (</w:t>
      </w:r>
      <w:hyperlink r:id="rId8" w:history="1">
        <w:r w:rsidR="006C651E">
          <w:rPr>
            <w:rStyle w:val="Hyperlink"/>
            <w:rFonts w:ascii="Arial" w:eastAsia="Times New Roman" w:hAnsi="Arial" w:cs="Arial"/>
            <w:b/>
            <w:bCs/>
          </w:rPr>
          <w:t>NPRR 1180</w:t>
        </w:r>
      </w:hyperlink>
      <w:r w:rsidR="006C651E">
        <w:rPr>
          <w:rFonts w:ascii="Arial" w:eastAsia="Times New Roman" w:hAnsi="Arial" w:cs="Arial"/>
          <w:b/>
          <w:bCs/>
        </w:rPr>
        <w:t>) – Inclusion of Forecasted Load in Planning Analyses (Nathan Bigbee, ERCOT)</w:t>
      </w:r>
    </w:p>
    <w:p w14:paraId="68895208" w14:textId="210A13C9" w:rsidR="00DA04BB" w:rsidRDefault="00DA04BB" w:rsidP="00DA04BB">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ERCOT submitted </w:t>
      </w:r>
      <w:hyperlink r:id="rId9" w:history="1">
        <w:r>
          <w:rPr>
            <w:rStyle w:val="Hyperlink"/>
            <w:rFonts w:ascii="Arial" w:eastAsia="Times New Roman" w:hAnsi="Arial" w:cs="Arial"/>
          </w:rPr>
          <w:t>reply comments</w:t>
        </w:r>
      </w:hyperlink>
      <w:r>
        <w:rPr>
          <w:rFonts w:ascii="Arial" w:eastAsia="Times New Roman" w:hAnsi="Arial" w:cs="Arial"/>
        </w:rPr>
        <w:t xml:space="preserve"> on December 13. Nathan Bigbee, Deputy General Counsel at ERCOT, summarized the comments. ERCOT also submitted </w:t>
      </w:r>
      <w:hyperlink r:id="rId10" w:history="1">
        <w:r>
          <w:rPr>
            <w:rStyle w:val="Hyperlink"/>
            <w:rFonts w:ascii="Arial" w:eastAsia="Times New Roman" w:hAnsi="Arial" w:cs="Arial"/>
          </w:rPr>
          <w:t>reply comments</w:t>
        </w:r>
      </w:hyperlink>
      <w:r>
        <w:rPr>
          <w:rFonts w:ascii="Arial" w:eastAsia="Times New Roman" w:hAnsi="Arial" w:cs="Arial"/>
        </w:rPr>
        <w:t xml:space="preserve"> to NPRR 1180.</w:t>
      </w:r>
    </w:p>
    <w:p w14:paraId="771CE4E7" w14:textId="77777777" w:rsidR="00DA04BB" w:rsidRDefault="00DA04BB" w:rsidP="00DA04BB">
      <w:pPr>
        <w:pStyle w:val="ListParagraph"/>
        <w:numPr>
          <w:ilvl w:val="1"/>
          <w:numId w:val="1"/>
        </w:numPr>
        <w:spacing w:line="276" w:lineRule="auto"/>
        <w:rPr>
          <w:rFonts w:ascii="Arial" w:eastAsia="Times New Roman" w:hAnsi="Arial" w:cs="Arial"/>
        </w:rPr>
      </w:pPr>
      <w:r>
        <w:rPr>
          <w:rFonts w:ascii="Arial" w:eastAsia="Times New Roman" w:hAnsi="Arial" w:cs="Arial"/>
        </w:rPr>
        <w:t>ERCOT asserts that it is only required to consider – not “accept at face value” as asserted by Oncor – a load forecast provided by a TSP. Instead, ERCOT says that it must assess the TSP load forecast to be “credible” as a condition for using that forecast in its planning analyses; ERCOT believes this “credibility” test should be explicitly stated given the potential for TSP load forecast information to affect RTP and EIR analyses.</w:t>
      </w:r>
    </w:p>
    <w:p w14:paraId="2A86769E" w14:textId="77777777" w:rsidR="00DA04BB" w:rsidRDefault="00DA04BB" w:rsidP="00DA04BB">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ERCOT disagrees that it should be required to endorse a project that is </w:t>
      </w:r>
      <w:r>
        <w:rPr>
          <w:rFonts w:ascii="Arial" w:eastAsia="Times New Roman" w:hAnsi="Arial" w:cs="Arial"/>
          <w:u w:val="single"/>
        </w:rPr>
        <w:t>not</w:t>
      </w:r>
      <w:r>
        <w:rPr>
          <w:rFonts w:ascii="Arial" w:eastAsia="Times New Roman" w:hAnsi="Arial" w:cs="Arial"/>
        </w:rPr>
        <w:t xml:space="preserve"> supported by an interconnection agreement or other credible and quantifiable evidence supporting the TSP load forecast. For Tier 1 and Tier 2 projects requiring a CCN, the EIR will evaluate the proposed project with and without a load that ERCOT has evaluated to be not credible; then, as part of the CCN process, the PUCT would have to authority to adjudicate the credibility of the TSP load forecast and the need for the project.</w:t>
      </w:r>
    </w:p>
    <w:p w14:paraId="03815941" w14:textId="3CF25B70" w:rsidR="00DA04BB" w:rsidRDefault="00DA04BB" w:rsidP="00DA04BB">
      <w:pPr>
        <w:pStyle w:val="ListParagraph"/>
        <w:numPr>
          <w:ilvl w:val="1"/>
          <w:numId w:val="1"/>
        </w:numPr>
        <w:spacing w:line="276" w:lineRule="auto"/>
        <w:rPr>
          <w:rFonts w:ascii="Arial" w:eastAsia="Times New Roman" w:hAnsi="Arial" w:cs="Arial"/>
        </w:rPr>
      </w:pPr>
      <w:r>
        <w:rPr>
          <w:rFonts w:ascii="Arial" w:eastAsia="Times New Roman" w:hAnsi="Arial" w:cs="Arial"/>
        </w:rPr>
        <w:t xml:space="preserve">Stakeholders expressed concern about ERCOT’s unilateral ability to determine the credibility of a load forecast in planning studies, the definition of quantifiable </w:t>
      </w:r>
      <w:r>
        <w:rPr>
          <w:rFonts w:ascii="Arial" w:eastAsia="Times New Roman" w:hAnsi="Arial" w:cs="Arial"/>
        </w:rPr>
        <w:lastRenderedPageBreak/>
        <w:t>evidence, and the ability for a TDSP to dispute ERCOT’s credibility determination.</w:t>
      </w:r>
    </w:p>
    <w:p w14:paraId="1449BB87" w14:textId="462398CF" w:rsidR="00DA04BB" w:rsidRDefault="00DA04BB" w:rsidP="00DA04BB">
      <w:pPr>
        <w:pStyle w:val="ListParagraph"/>
        <w:numPr>
          <w:ilvl w:val="1"/>
          <w:numId w:val="1"/>
        </w:numPr>
        <w:spacing w:line="276" w:lineRule="auto"/>
        <w:rPr>
          <w:rFonts w:ascii="Arial" w:eastAsia="Times New Roman" w:hAnsi="Arial" w:cs="Arial"/>
        </w:rPr>
      </w:pPr>
      <w:r>
        <w:rPr>
          <w:rFonts w:ascii="Arial" w:eastAsia="Times New Roman" w:hAnsi="Arial" w:cs="Arial"/>
        </w:rPr>
        <w:t>Oncor expects to submit reply comments before the February meeting. Other stakeholders also expressed interest in submitting reply comments.</w:t>
      </w:r>
    </w:p>
    <w:p w14:paraId="7A9F2B4A" w14:textId="6BABE443" w:rsidR="00551E59" w:rsidRPr="00551E59" w:rsidRDefault="00DA04BB" w:rsidP="00DA04BB">
      <w:pPr>
        <w:pStyle w:val="PlainText"/>
        <w:numPr>
          <w:ilvl w:val="1"/>
          <w:numId w:val="1"/>
        </w:numPr>
        <w:spacing w:line="276" w:lineRule="auto"/>
        <w:rPr>
          <w:rFonts w:eastAsia="Times New Roman"/>
        </w:rPr>
      </w:pPr>
      <w:r>
        <w:rPr>
          <w:rFonts w:eastAsia="Times New Roman"/>
          <w:i/>
          <w:iCs/>
        </w:rPr>
        <w:t>PLWG agreed to table the revised NPRR 1180 and PGRR 107 for further discussion at the February meeting</w:t>
      </w:r>
      <w:r w:rsidR="006C651E">
        <w:rPr>
          <w:rFonts w:eastAsia="Times New Roman"/>
          <w:i/>
          <w:iCs/>
        </w:rPr>
        <w:t>.</w:t>
      </w:r>
    </w:p>
    <w:p w14:paraId="643CDE20" w14:textId="0BF844EA" w:rsidR="00DA04BB" w:rsidRDefault="00DA04BB" w:rsidP="004152AB">
      <w:pPr>
        <w:pStyle w:val="PlainText"/>
        <w:numPr>
          <w:ilvl w:val="0"/>
          <w:numId w:val="1"/>
        </w:numPr>
        <w:spacing w:line="276" w:lineRule="auto"/>
        <w:rPr>
          <w:rFonts w:eastAsia="Times New Roman"/>
          <w:b/>
          <w:bCs/>
        </w:rPr>
      </w:pPr>
      <w:r>
        <w:rPr>
          <w:rFonts w:eastAsia="Times New Roman"/>
          <w:b/>
          <w:bCs/>
        </w:rPr>
        <w:t>SSWG Modeling Assumptions</w:t>
      </w:r>
    </w:p>
    <w:p w14:paraId="7EBB9E54" w14:textId="62127A48" w:rsidR="00DA04BB" w:rsidRDefault="00DA04BB" w:rsidP="00DA04BB">
      <w:pPr>
        <w:pStyle w:val="PlainText"/>
        <w:numPr>
          <w:ilvl w:val="1"/>
          <w:numId w:val="1"/>
        </w:numPr>
        <w:spacing w:line="276" w:lineRule="auto"/>
        <w:rPr>
          <w:rFonts w:eastAsia="Times New Roman"/>
          <w:b/>
          <w:bCs/>
        </w:rPr>
      </w:pPr>
      <w:r>
        <w:rPr>
          <w:rFonts w:eastAsia="Times New Roman"/>
        </w:rPr>
        <w:t>A small group with SSWG and PLWG representation met in late November to discuss this topic. The discussion is still ongoing and the group plans to report in February</w:t>
      </w:r>
      <w:r>
        <w:rPr>
          <w:rFonts w:eastAsia="Times New Roman"/>
        </w:rPr>
        <w:t>.</w:t>
      </w:r>
    </w:p>
    <w:p w14:paraId="19BB705F" w14:textId="1AA5C32A" w:rsidR="004152AB" w:rsidRDefault="004152AB" w:rsidP="004152AB">
      <w:pPr>
        <w:pStyle w:val="PlainText"/>
        <w:numPr>
          <w:ilvl w:val="0"/>
          <w:numId w:val="1"/>
        </w:numPr>
        <w:spacing w:line="276" w:lineRule="auto"/>
        <w:rPr>
          <w:rFonts w:eastAsia="Times New Roman"/>
          <w:b/>
          <w:bCs/>
        </w:rPr>
      </w:pPr>
      <w:r>
        <w:rPr>
          <w:rFonts w:eastAsia="Times New Roman"/>
          <w:b/>
          <w:bCs/>
        </w:rPr>
        <w:t>Review Open Action Items</w:t>
      </w:r>
    </w:p>
    <w:p w14:paraId="46D2BBDC" w14:textId="3F9E1B35" w:rsidR="004152AB" w:rsidRDefault="004152AB"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FAC-002-4 Qualified Change.</w:t>
      </w:r>
      <w:r>
        <w:rPr>
          <w:rFonts w:ascii="Arial" w:eastAsia="Times New Roman" w:hAnsi="Arial" w:cs="Arial"/>
        </w:rPr>
        <w:t xml:space="preserve"> </w:t>
      </w:r>
      <w:r w:rsidR="00DA04BB">
        <w:rPr>
          <w:rFonts w:ascii="Arial" w:eastAsia="Times New Roman" w:hAnsi="Arial" w:cs="Arial"/>
        </w:rPr>
        <w:t>Close this item, ERCOT posted the Qualified Change definition in Dec 2023, in accordance with FAC-002-4</w:t>
      </w:r>
      <w:r w:rsidR="00DA04BB">
        <w:rPr>
          <w:rFonts w:ascii="Arial" w:eastAsia="Times New Roman" w:hAnsi="Arial" w:cs="Arial"/>
        </w:rPr>
        <w:t>.</w:t>
      </w:r>
    </w:p>
    <w:p w14:paraId="1D7DCE7A" w14:textId="7C0A96BB" w:rsidR="004152AB" w:rsidRDefault="004152AB" w:rsidP="004152AB">
      <w:pPr>
        <w:pStyle w:val="ListParagraph"/>
        <w:numPr>
          <w:ilvl w:val="1"/>
          <w:numId w:val="1"/>
        </w:numPr>
        <w:spacing w:line="276" w:lineRule="auto"/>
        <w:rPr>
          <w:rFonts w:ascii="Arial" w:eastAsia="Times New Roman" w:hAnsi="Arial" w:cs="Arial"/>
        </w:rPr>
      </w:pPr>
      <w:r>
        <w:rPr>
          <w:rFonts w:ascii="Arial" w:eastAsia="Times New Roman" w:hAnsi="Arial" w:cs="Arial"/>
          <w:b/>
          <w:bCs/>
        </w:rPr>
        <w:t>ERCOT Congestion Cost Savings Test.</w:t>
      </w:r>
      <w:r>
        <w:rPr>
          <w:rFonts w:ascii="Arial" w:eastAsia="Times New Roman" w:hAnsi="Arial" w:cs="Arial"/>
        </w:rPr>
        <w:t xml:space="preserve"> </w:t>
      </w:r>
      <w:r w:rsidR="006C651E">
        <w:rPr>
          <w:rFonts w:ascii="Arial" w:eastAsia="Times New Roman" w:hAnsi="Arial" w:cs="Arial"/>
        </w:rPr>
        <w:t>(No updates)</w:t>
      </w:r>
    </w:p>
    <w:p w14:paraId="7E66D2D7" w14:textId="3D456C29" w:rsidR="004152AB" w:rsidRDefault="00000000" w:rsidP="004152AB">
      <w:pPr>
        <w:pStyle w:val="ListParagraph"/>
        <w:numPr>
          <w:ilvl w:val="1"/>
          <w:numId w:val="1"/>
        </w:numPr>
        <w:spacing w:line="276" w:lineRule="auto"/>
        <w:rPr>
          <w:rFonts w:ascii="Arial" w:eastAsia="Times New Roman" w:hAnsi="Arial" w:cs="Arial"/>
        </w:rPr>
      </w:pPr>
      <w:hyperlink r:id="rId11" w:history="1">
        <w:r w:rsidR="004152AB">
          <w:rPr>
            <w:rStyle w:val="Hyperlink"/>
            <w:rFonts w:ascii="Arial" w:eastAsia="Times New Roman" w:hAnsi="Arial" w:cs="Arial"/>
            <w:b/>
            <w:bCs/>
          </w:rPr>
          <w:t>NPRR 1070</w:t>
        </w:r>
      </w:hyperlink>
      <w:r w:rsidR="004152AB">
        <w:rPr>
          <w:rFonts w:ascii="Arial" w:eastAsia="Times New Roman" w:hAnsi="Arial" w:cs="Arial"/>
          <w:b/>
          <w:bCs/>
        </w:rPr>
        <w:t xml:space="preserve"> – Planning Criteria for GTC Exit Solutions.</w:t>
      </w:r>
      <w:r w:rsidR="004152AB">
        <w:rPr>
          <w:rFonts w:ascii="Arial" w:eastAsia="Times New Roman" w:hAnsi="Arial" w:cs="Arial"/>
        </w:rPr>
        <w:t xml:space="preserve"> </w:t>
      </w:r>
      <w:r w:rsidR="00E16285">
        <w:rPr>
          <w:rFonts w:ascii="Arial" w:eastAsia="Times New Roman" w:hAnsi="Arial" w:cs="Arial"/>
        </w:rPr>
        <w:t>Remains tabled while alternative revisions are drafted</w:t>
      </w:r>
      <w:r w:rsidR="004152AB">
        <w:rPr>
          <w:rFonts w:ascii="Arial" w:eastAsia="Times New Roman" w:hAnsi="Arial" w:cs="Arial"/>
        </w:rPr>
        <w:t>.</w:t>
      </w:r>
    </w:p>
    <w:p w14:paraId="207B334C" w14:textId="2D1FB5BE" w:rsidR="00DA04BB" w:rsidRPr="00DA04BB" w:rsidRDefault="00DA04BB" w:rsidP="00DA04BB">
      <w:pPr>
        <w:pStyle w:val="ListParagraph"/>
        <w:numPr>
          <w:ilvl w:val="1"/>
          <w:numId w:val="1"/>
        </w:numPr>
        <w:spacing w:line="276" w:lineRule="auto"/>
        <w:rPr>
          <w:rFonts w:ascii="Arial" w:eastAsia="Times New Roman" w:hAnsi="Arial" w:cs="Arial"/>
        </w:rPr>
      </w:pPr>
      <w:hyperlink r:id="rId12" w:history="1">
        <w:r w:rsidRPr="00DA04BB">
          <w:rPr>
            <w:rStyle w:val="Hyperlink"/>
            <w:rFonts w:ascii="Arial" w:eastAsia="Times New Roman" w:hAnsi="Arial" w:cs="Arial"/>
            <w:b/>
            <w:bCs/>
          </w:rPr>
          <w:t>PGRR 113</w:t>
        </w:r>
      </w:hyperlink>
      <w:r w:rsidRPr="00DA04BB">
        <w:rPr>
          <w:rFonts w:ascii="Arial" w:eastAsia="Times New Roman" w:hAnsi="Arial" w:cs="Arial"/>
          <w:b/>
          <w:bCs/>
        </w:rPr>
        <w:t xml:space="preserve"> Related to NPRR 1198 – Congestion Mitigation Using Topology Reconfigurations</w:t>
      </w:r>
      <w:r>
        <w:rPr>
          <w:rFonts w:ascii="Arial" w:eastAsia="Times New Roman" w:hAnsi="Arial" w:cs="Arial"/>
          <w:b/>
          <w:bCs/>
        </w:rPr>
        <w:t xml:space="preserve"> </w:t>
      </w:r>
      <w:r w:rsidRPr="00DA04BB">
        <w:rPr>
          <w:rFonts w:ascii="Arial" w:eastAsia="Times New Roman" w:hAnsi="Arial" w:cs="Arial"/>
          <w:b/>
          <w:bCs/>
        </w:rPr>
        <w:t xml:space="preserve">- </w:t>
      </w:r>
      <w:r w:rsidRPr="00DA04BB">
        <w:rPr>
          <w:rFonts w:ascii="Arial" w:eastAsia="Times New Roman" w:hAnsi="Arial" w:cs="Arial"/>
        </w:rPr>
        <w:t>In December, PLWG agreed to table PGRR 113 for further discussion and plans to send PGRR 113 to ROS in early 2024 along with NPRR 1198 and related updates to the SSWG Procedure Manual. The revised SSWG Procedure Manual will specify that temporary settings affected by an EAP be reverted before being modeled in the SSWG base cases.</w:t>
      </w:r>
    </w:p>
    <w:p w14:paraId="3A5D1854" w14:textId="77777777" w:rsidR="00DA04BB" w:rsidRDefault="00DA04BB" w:rsidP="004152AB">
      <w:pPr>
        <w:pStyle w:val="ListParagraph"/>
        <w:numPr>
          <w:ilvl w:val="1"/>
          <w:numId w:val="1"/>
        </w:numPr>
        <w:spacing w:line="276" w:lineRule="auto"/>
        <w:rPr>
          <w:rFonts w:ascii="Arial" w:eastAsia="Times New Roman" w:hAnsi="Arial" w:cs="Arial"/>
        </w:rPr>
      </w:pPr>
    </w:p>
    <w:p w14:paraId="41B081C8" w14:textId="77777777" w:rsidR="00675532" w:rsidRDefault="00675532" w:rsidP="00675532">
      <w:pPr>
        <w:pStyle w:val="PlainText"/>
        <w:numPr>
          <w:ilvl w:val="0"/>
          <w:numId w:val="1"/>
        </w:numPr>
        <w:spacing w:line="276" w:lineRule="auto"/>
        <w:rPr>
          <w:rFonts w:eastAsia="Times New Roman"/>
        </w:rPr>
      </w:pPr>
      <w:r>
        <w:rPr>
          <w:rFonts w:eastAsia="Times New Roman"/>
          <w:b/>
          <w:bCs/>
        </w:rPr>
        <w:t>Other Business</w:t>
      </w:r>
    </w:p>
    <w:p w14:paraId="12B95ABB" w14:textId="1FA8CF54" w:rsidR="00D55287" w:rsidRPr="00DA04BB" w:rsidRDefault="00DA04BB" w:rsidP="00DA04BB">
      <w:pPr>
        <w:pStyle w:val="PlainText"/>
        <w:numPr>
          <w:ilvl w:val="1"/>
          <w:numId w:val="1"/>
        </w:numPr>
        <w:spacing w:line="276" w:lineRule="auto"/>
        <w:rPr>
          <w:rFonts w:eastAsia="Times New Roman"/>
        </w:rPr>
      </w:pPr>
      <w:r>
        <w:rPr>
          <w:rFonts w:eastAsia="Times New Roman"/>
        </w:rPr>
        <w:t>Dylan Preas (Vice-Chair) expressed his appreciation for Alexandra Miller’s service, leadership, and dedication as chair.</w:t>
      </w:r>
    </w:p>
    <w:p w14:paraId="6BDA7599" w14:textId="77777777" w:rsidR="00D55287" w:rsidRDefault="00D55287" w:rsidP="00D55287">
      <w:pPr>
        <w:pStyle w:val="PlainText"/>
        <w:numPr>
          <w:ilvl w:val="0"/>
          <w:numId w:val="1"/>
        </w:numPr>
        <w:spacing w:line="276" w:lineRule="auto"/>
        <w:rPr>
          <w:rFonts w:eastAsia="Times New Roman"/>
          <w:b/>
          <w:bCs/>
        </w:rPr>
      </w:pPr>
      <w:r>
        <w:rPr>
          <w:rFonts w:eastAsia="Times New Roman"/>
          <w:b/>
          <w:bCs/>
        </w:rPr>
        <w:t>Adjourn</w:t>
      </w:r>
    </w:p>
    <w:p w14:paraId="6F1E1E73" w14:textId="59496359" w:rsidR="000B17E9" w:rsidRDefault="000B17E9"/>
    <w:p w14:paraId="6F754524" w14:textId="062A809B" w:rsidR="006C0F0E" w:rsidRPr="006C0F0E" w:rsidRDefault="006C0F0E">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(In-Person)</w:t>
      </w:r>
    </w:p>
    <w:tbl>
      <w:tblPr>
        <w:tblW w:w="6320" w:type="dxa"/>
        <w:tblLook w:val="04A0" w:firstRow="1" w:lastRow="0" w:firstColumn="1" w:lastColumn="0" w:noHBand="0" w:noVBand="1"/>
      </w:tblPr>
      <w:tblGrid>
        <w:gridCol w:w="2680"/>
        <w:gridCol w:w="3640"/>
      </w:tblGrid>
      <w:tr w:rsidR="009207EC" w14:paraId="16E017A6" w14:textId="77777777" w:rsidTr="009207EC">
        <w:trPr>
          <w:trHeight w:val="300"/>
        </w:trPr>
        <w:tc>
          <w:tcPr>
            <w:tcW w:w="2680" w:type="dxa"/>
            <w:tcBorders>
              <w:top w:val="nil"/>
              <w:left w:val="nil"/>
              <w:bottom w:val="nil"/>
              <w:right w:val="nil"/>
            </w:tcBorders>
            <w:shd w:val="clear" w:color="auto" w:fill="auto"/>
            <w:noWrap/>
            <w:vAlign w:val="bottom"/>
            <w:hideMark/>
          </w:tcPr>
          <w:p w14:paraId="50552920" w14:textId="77777777" w:rsidR="009207EC" w:rsidRDefault="009207EC" w:rsidP="009207EC">
            <w:pPr>
              <w:spacing w:after="0" w:line="240" w:lineRule="auto"/>
              <w:jc w:val="center"/>
              <w:rPr>
                <w:rFonts w:ascii="Calibri" w:hAnsi="Calibri" w:cs="Calibri"/>
                <w:b/>
                <w:bCs/>
                <w:color w:val="000000"/>
              </w:rPr>
            </w:pPr>
            <w:r>
              <w:rPr>
                <w:rFonts w:ascii="Calibri" w:hAnsi="Calibri" w:cs="Calibri"/>
                <w:b/>
                <w:bCs/>
                <w:color w:val="000000"/>
              </w:rPr>
              <w:t>Name</w:t>
            </w:r>
          </w:p>
        </w:tc>
        <w:tc>
          <w:tcPr>
            <w:tcW w:w="3640" w:type="dxa"/>
            <w:tcBorders>
              <w:top w:val="nil"/>
              <w:left w:val="nil"/>
              <w:bottom w:val="nil"/>
              <w:right w:val="nil"/>
            </w:tcBorders>
            <w:shd w:val="clear" w:color="auto" w:fill="auto"/>
            <w:noWrap/>
            <w:vAlign w:val="bottom"/>
            <w:hideMark/>
          </w:tcPr>
          <w:p w14:paraId="6E1781EB" w14:textId="77777777" w:rsidR="009207EC" w:rsidRDefault="009207EC" w:rsidP="009207EC">
            <w:pPr>
              <w:spacing w:after="0" w:line="240" w:lineRule="auto"/>
              <w:jc w:val="center"/>
              <w:rPr>
                <w:rFonts w:ascii="Calibri" w:hAnsi="Calibri" w:cs="Calibri"/>
                <w:b/>
                <w:bCs/>
                <w:color w:val="000000"/>
              </w:rPr>
            </w:pPr>
            <w:r>
              <w:rPr>
                <w:rFonts w:ascii="Calibri" w:hAnsi="Calibri" w:cs="Calibri"/>
                <w:b/>
                <w:bCs/>
                <w:color w:val="000000"/>
              </w:rPr>
              <w:t>Company</w:t>
            </w:r>
          </w:p>
        </w:tc>
      </w:tr>
      <w:tr w:rsidR="009207EC" w14:paraId="390252C9" w14:textId="77777777" w:rsidTr="009207EC">
        <w:trPr>
          <w:trHeight w:val="300"/>
        </w:trPr>
        <w:tc>
          <w:tcPr>
            <w:tcW w:w="2680" w:type="dxa"/>
            <w:tcBorders>
              <w:top w:val="nil"/>
              <w:left w:val="nil"/>
              <w:bottom w:val="nil"/>
              <w:right w:val="nil"/>
            </w:tcBorders>
            <w:shd w:val="clear" w:color="auto" w:fill="auto"/>
            <w:noWrap/>
            <w:vAlign w:val="bottom"/>
            <w:hideMark/>
          </w:tcPr>
          <w:p w14:paraId="2DF7F7C6" w14:textId="77777777" w:rsidR="009207EC" w:rsidRDefault="009207EC" w:rsidP="009207EC">
            <w:pPr>
              <w:spacing w:after="0" w:line="240" w:lineRule="auto"/>
              <w:rPr>
                <w:rFonts w:ascii="Calibri" w:hAnsi="Calibri" w:cs="Calibri"/>
                <w:color w:val="000000"/>
              </w:rPr>
            </w:pPr>
            <w:r>
              <w:rPr>
                <w:rFonts w:ascii="Calibri" w:hAnsi="Calibri" w:cs="Calibri"/>
                <w:color w:val="000000"/>
              </w:rPr>
              <w:t>Jared Gurley</w:t>
            </w:r>
          </w:p>
        </w:tc>
        <w:tc>
          <w:tcPr>
            <w:tcW w:w="3640" w:type="dxa"/>
            <w:tcBorders>
              <w:top w:val="nil"/>
              <w:left w:val="nil"/>
              <w:bottom w:val="nil"/>
              <w:right w:val="nil"/>
            </w:tcBorders>
            <w:shd w:val="clear" w:color="auto" w:fill="auto"/>
            <w:noWrap/>
            <w:vAlign w:val="bottom"/>
            <w:hideMark/>
          </w:tcPr>
          <w:p w14:paraId="1CE930D0" w14:textId="77777777" w:rsidR="009207EC" w:rsidRDefault="009207EC" w:rsidP="009207EC">
            <w:pPr>
              <w:spacing w:after="0" w:line="240" w:lineRule="auto"/>
              <w:rPr>
                <w:rFonts w:ascii="Calibri" w:hAnsi="Calibri" w:cs="Calibri"/>
                <w:color w:val="000000"/>
              </w:rPr>
            </w:pPr>
            <w:r>
              <w:rPr>
                <w:rFonts w:ascii="Calibri" w:hAnsi="Calibri" w:cs="Calibri"/>
                <w:color w:val="000000"/>
              </w:rPr>
              <w:t>Oncor</w:t>
            </w:r>
          </w:p>
        </w:tc>
      </w:tr>
      <w:tr w:rsidR="009207EC" w14:paraId="031E40F0" w14:textId="77777777" w:rsidTr="009207EC">
        <w:trPr>
          <w:trHeight w:val="300"/>
        </w:trPr>
        <w:tc>
          <w:tcPr>
            <w:tcW w:w="2680" w:type="dxa"/>
            <w:tcBorders>
              <w:top w:val="nil"/>
              <w:left w:val="nil"/>
              <w:bottom w:val="nil"/>
              <w:right w:val="nil"/>
            </w:tcBorders>
            <w:shd w:val="clear" w:color="auto" w:fill="auto"/>
            <w:noWrap/>
            <w:vAlign w:val="bottom"/>
            <w:hideMark/>
          </w:tcPr>
          <w:p w14:paraId="292EBDD7" w14:textId="77777777" w:rsidR="009207EC" w:rsidRDefault="009207EC" w:rsidP="009207EC">
            <w:pPr>
              <w:spacing w:after="0" w:line="240" w:lineRule="auto"/>
              <w:rPr>
                <w:rFonts w:ascii="Calibri" w:hAnsi="Calibri" w:cs="Calibri"/>
                <w:color w:val="000000"/>
              </w:rPr>
            </w:pPr>
            <w:r>
              <w:rPr>
                <w:rFonts w:ascii="Calibri" w:hAnsi="Calibri" w:cs="Calibri"/>
                <w:color w:val="000000"/>
              </w:rPr>
              <w:t>Martha Henson</w:t>
            </w:r>
          </w:p>
        </w:tc>
        <w:tc>
          <w:tcPr>
            <w:tcW w:w="3640" w:type="dxa"/>
            <w:tcBorders>
              <w:top w:val="nil"/>
              <w:left w:val="nil"/>
              <w:bottom w:val="nil"/>
              <w:right w:val="nil"/>
            </w:tcBorders>
            <w:shd w:val="clear" w:color="auto" w:fill="auto"/>
            <w:noWrap/>
            <w:vAlign w:val="bottom"/>
            <w:hideMark/>
          </w:tcPr>
          <w:p w14:paraId="0135AC43" w14:textId="77777777" w:rsidR="009207EC" w:rsidRDefault="009207EC" w:rsidP="009207EC">
            <w:pPr>
              <w:spacing w:after="0" w:line="240" w:lineRule="auto"/>
              <w:rPr>
                <w:rFonts w:ascii="Calibri" w:hAnsi="Calibri" w:cs="Calibri"/>
                <w:color w:val="000000"/>
              </w:rPr>
            </w:pPr>
            <w:r>
              <w:rPr>
                <w:rFonts w:ascii="Calibri" w:hAnsi="Calibri" w:cs="Calibri"/>
                <w:color w:val="000000"/>
              </w:rPr>
              <w:t>Oncor</w:t>
            </w:r>
          </w:p>
        </w:tc>
      </w:tr>
      <w:tr w:rsidR="009207EC" w14:paraId="313D8D21" w14:textId="77777777" w:rsidTr="009207EC">
        <w:trPr>
          <w:trHeight w:val="300"/>
        </w:trPr>
        <w:tc>
          <w:tcPr>
            <w:tcW w:w="2680" w:type="dxa"/>
            <w:tcBorders>
              <w:top w:val="nil"/>
              <w:left w:val="nil"/>
              <w:bottom w:val="nil"/>
              <w:right w:val="nil"/>
            </w:tcBorders>
            <w:shd w:val="clear" w:color="auto" w:fill="auto"/>
            <w:noWrap/>
            <w:vAlign w:val="bottom"/>
            <w:hideMark/>
          </w:tcPr>
          <w:p w14:paraId="3AADEC50" w14:textId="77777777" w:rsidR="009207EC" w:rsidRDefault="009207EC" w:rsidP="009207EC">
            <w:pPr>
              <w:spacing w:after="0" w:line="240" w:lineRule="auto"/>
              <w:rPr>
                <w:rFonts w:ascii="Calibri" w:hAnsi="Calibri" w:cs="Calibri"/>
                <w:color w:val="000000"/>
              </w:rPr>
            </w:pPr>
            <w:r>
              <w:rPr>
                <w:rFonts w:ascii="Calibri" w:hAnsi="Calibri" w:cs="Calibri"/>
                <w:color w:val="000000"/>
              </w:rPr>
              <w:t>Robert Golen</w:t>
            </w:r>
          </w:p>
        </w:tc>
        <w:tc>
          <w:tcPr>
            <w:tcW w:w="3640" w:type="dxa"/>
            <w:tcBorders>
              <w:top w:val="nil"/>
              <w:left w:val="nil"/>
              <w:bottom w:val="nil"/>
              <w:right w:val="nil"/>
            </w:tcBorders>
            <w:shd w:val="clear" w:color="auto" w:fill="auto"/>
            <w:noWrap/>
            <w:vAlign w:val="bottom"/>
            <w:hideMark/>
          </w:tcPr>
          <w:p w14:paraId="3D4F9616" w14:textId="77777777" w:rsidR="009207EC" w:rsidRDefault="009207EC" w:rsidP="009207EC">
            <w:pPr>
              <w:spacing w:after="0" w:line="240" w:lineRule="auto"/>
              <w:rPr>
                <w:rFonts w:ascii="Calibri" w:hAnsi="Calibri" w:cs="Calibri"/>
                <w:color w:val="000000"/>
              </w:rPr>
            </w:pPr>
            <w:r>
              <w:rPr>
                <w:rFonts w:ascii="Calibri" w:hAnsi="Calibri" w:cs="Calibri"/>
                <w:color w:val="000000"/>
              </w:rPr>
              <w:t>ERCOT</w:t>
            </w:r>
          </w:p>
        </w:tc>
      </w:tr>
      <w:tr w:rsidR="009207EC" w14:paraId="119BE953" w14:textId="77777777" w:rsidTr="009207EC">
        <w:trPr>
          <w:trHeight w:val="300"/>
        </w:trPr>
        <w:tc>
          <w:tcPr>
            <w:tcW w:w="2680" w:type="dxa"/>
            <w:tcBorders>
              <w:top w:val="nil"/>
              <w:left w:val="nil"/>
              <w:bottom w:val="nil"/>
              <w:right w:val="nil"/>
            </w:tcBorders>
            <w:shd w:val="clear" w:color="auto" w:fill="auto"/>
            <w:noWrap/>
            <w:vAlign w:val="bottom"/>
            <w:hideMark/>
          </w:tcPr>
          <w:p w14:paraId="215BFB3D" w14:textId="77777777" w:rsidR="009207EC" w:rsidRDefault="009207EC" w:rsidP="009207EC">
            <w:pPr>
              <w:spacing w:after="0" w:line="240" w:lineRule="auto"/>
              <w:rPr>
                <w:rFonts w:ascii="Calibri" w:hAnsi="Calibri" w:cs="Calibri"/>
                <w:color w:val="000000"/>
              </w:rPr>
            </w:pPr>
            <w:r>
              <w:rPr>
                <w:rFonts w:ascii="Calibri" w:hAnsi="Calibri" w:cs="Calibri"/>
                <w:color w:val="000000"/>
              </w:rPr>
              <w:t>Brad Schwarz</w:t>
            </w:r>
          </w:p>
        </w:tc>
        <w:tc>
          <w:tcPr>
            <w:tcW w:w="3640" w:type="dxa"/>
            <w:tcBorders>
              <w:top w:val="nil"/>
              <w:left w:val="nil"/>
              <w:bottom w:val="nil"/>
              <w:right w:val="nil"/>
            </w:tcBorders>
            <w:shd w:val="clear" w:color="auto" w:fill="auto"/>
            <w:noWrap/>
            <w:vAlign w:val="bottom"/>
            <w:hideMark/>
          </w:tcPr>
          <w:p w14:paraId="60C21B3D" w14:textId="77777777" w:rsidR="009207EC" w:rsidRDefault="009207EC" w:rsidP="009207EC">
            <w:pPr>
              <w:spacing w:after="0" w:line="240" w:lineRule="auto"/>
              <w:rPr>
                <w:rFonts w:ascii="Calibri" w:hAnsi="Calibri" w:cs="Calibri"/>
                <w:color w:val="000000"/>
              </w:rPr>
            </w:pPr>
            <w:r>
              <w:rPr>
                <w:rFonts w:ascii="Calibri" w:hAnsi="Calibri" w:cs="Calibri"/>
                <w:color w:val="000000"/>
              </w:rPr>
              <w:t>Sharland</w:t>
            </w:r>
          </w:p>
        </w:tc>
      </w:tr>
      <w:tr w:rsidR="009207EC" w14:paraId="3C0EA93F" w14:textId="77777777" w:rsidTr="009207EC">
        <w:trPr>
          <w:trHeight w:val="300"/>
        </w:trPr>
        <w:tc>
          <w:tcPr>
            <w:tcW w:w="2680" w:type="dxa"/>
            <w:tcBorders>
              <w:top w:val="nil"/>
              <w:left w:val="nil"/>
              <w:bottom w:val="nil"/>
              <w:right w:val="nil"/>
            </w:tcBorders>
            <w:shd w:val="clear" w:color="auto" w:fill="auto"/>
            <w:noWrap/>
            <w:vAlign w:val="bottom"/>
            <w:hideMark/>
          </w:tcPr>
          <w:p w14:paraId="2552D9CA" w14:textId="77777777" w:rsidR="009207EC" w:rsidRDefault="009207EC" w:rsidP="009207EC">
            <w:pPr>
              <w:spacing w:after="0" w:line="240" w:lineRule="auto"/>
              <w:rPr>
                <w:rFonts w:ascii="Calibri" w:hAnsi="Calibri" w:cs="Calibri"/>
                <w:color w:val="000000"/>
              </w:rPr>
            </w:pPr>
            <w:r>
              <w:rPr>
                <w:rFonts w:ascii="Calibri" w:hAnsi="Calibri" w:cs="Calibri"/>
                <w:color w:val="000000"/>
              </w:rPr>
              <w:t>Jameson Haesler</w:t>
            </w:r>
          </w:p>
        </w:tc>
        <w:tc>
          <w:tcPr>
            <w:tcW w:w="3640" w:type="dxa"/>
            <w:tcBorders>
              <w:top w:val="nil"/>
              <w:left w:val="nil"/>
              <w:bottom w:val="nil"/>
              <w:right w:val="nil"/>
            </w:tcBorders>
            <w:shd w:val="clear" w:color="auto" w:fill="auto"/>
            <w:noWrap/>
            <w:vAlign w:val="bottom"/>
            <w:hideMark/>
          </w:tcPr>
          <w:p w14:paraId="7679DC8B" w14:textId="77777777" w:rsidR="009207EC" w:rsidRDefault="009207EC" w:rsidP="009207EC">
            <w:pPr>
              <w:spacing w:after="0" w:line="240" w:lineRule="auto"/>
              <w:rPr>
                <w:rFonts w:ascii="Calibri" w:hAnsi="Calibri" w:cs="Calibri"/>
                <w:color w:val="000000"/>
              </w:rPr>
            </w:pPr>
            <w:r>
              <w:rPr>
                <w:rFonts w:ascii="Calibri" w:hAnsi="Calibri" w:cs="Calibri"/>
                <w:color w:val="000000"/>
              </w:rPr>
              <w:t>ERCOT</w:t>
            </w:r>
          </w:p>
        </w:tc>
      </w:tr>
      <w:tr w:rsidR="009207EC" w14:paraId="14CA9B6A" w14:textId="77777777" w:rsidTr="009207EC">
        <w:trPr>
          <w:trHeight w:val="300"/>
        </w:trPr>
        <w:tc>
          <w:tcPr>
            <w:tcW w:w="2680" w:type="dxa"/>
            <w:tcBorders>
              <w:top w:val="nil"/>
              <w:left w:val="nil"/>
              <w:bottom w:val="nil"/>
              <w:right w:val="nil"/>
            </w:tcBorders>
            <w:shd w:val="clear" w:color="auto" w:fill="auto"/>
            <w:noWrap/>
            <w:vAlign w:val="bottom"/>
            <w:hideMark/>
          </w:tcPr>
          <w:p w14:paraId="197FAD55" w14:textId="77777777" w:rsidR="009207EC" w:rsidRDefault="009207EC" w:rsidP="009207EC">
            <w:pPr>
              <w:spacing w:after="0" w:line="240" w:lineRule="auto"/>
              <w:rPr>
                <w:rFonts w:ascii="Calibri" w:hAnsi="Calibri" w:cs="Calibri"/>
                <w:color w:val="000000"/>
              </w:rPr>
            </w:pPr>
            <w:r>
              <w:rPr>
                <w:rFonts w:ascii="Calibri" w:hAnsi="Calibri" w:cs="Calibri"/>
                <w:color w:val="000000"/>
              </w:rPr>
              <w:t>Prabhu Gnanam</w:t>
            </w:r>
          </w:p>
        </w:tc>
        <w:tc>
          <w:tcPr>
            <w:tcW w:w="3640" w:type="dxa"/>
            <w:tcBorders>
              <w:top w:val="nil"/>
              <w:left w:val="nil"/>
              <w:bottom w:val="nil"/>
              <w:right w:val="nil"/>
            </w:tcBorders>
            <w:shd w:val="clear" w:color="auto" w:fill="auto"/>
            <w:noWrap/>
            <w:vAlign w:val="bottom"/>
            <w:hideMark/>
          </w:tcPr>
          <w:p w14:paraId="52294861" w14:textId="77777777" w:rsidR="009207EC" w:rsidRDefault="009207EC" w:rsidP="009207EC">
            <w:pPr>
              <w:spacing w:after="0" w:line="240" w:lineRule="auto"/>
              <w:rPr>
                <w:rFonts w:ascii="Calibri" w:hAnsi="Calibri" w:cs="Calibri"/>
                <w:color w:val="000000"/>
              </w:rPr>
            </w:pPr>
            <w:r>
              <w:rPr>
                <w:rFonts w:ascii="Calibri" w:hAnsi="Calibri" w:cs="Calibri"/>
                <w:color w:val="000000"/>
              </w:rPr>
              <w:t>ERCOT</w:t>
            </w:r>
          </w:p>
        </w:tc>
      </w:tr>
      <w:tr w:rsidR="009207EC" w14:paraId="5B41DF31" w14:textId="77777777" w:rsidTr="009207EC">
        <w:trPr>
          <w:trHeight w:val="300"/>
        </w:trPr>
        <w:tc>
          <w:tcPr>
            <w:tcW w:w="2680" w:type="dxa"/>
            <w:tcBorders>
              <w:top w:val="nil"/>
              <w:left w:val="nil"/>
              <w:bottom w:val="nil"/>
              <w:right w:val="nil"/>
            </w:tcBorders>
            <w:shd w:val="clear" w:color="auto" w:fill="auto"/>
            <w:noWrap/>
            <w:vAlign w:val="bottom"/>
            <w:hideMark/>
          </w:tcPr>
          <w:p w14:paraId="3BB8F3BF" w14:textId="77777777" w:rsidR="009207EC" w:rsidRDefault="009207EC" w:rsidP="009207EC">
            <w:pPr>
              <w:spacing w:after="0" w:line="240" w:lineRule="auto"/>
              <w:rPr>
                <w:rFonts w:ascii="Calibri" w:hAnsi="Calibri" w:cs="Calibri"/>
                <w:color w:val="000000"/>
              </w:rPr>
            </w:pPr>
            <w:r>
              <w:rPr>
                <w:rFonts w:ascii="Calibri" w:hAnsi="Calibri" w:cs="Calibri"/>
                <w:color w:val="000000"/>
              </w:rPr>
              <w:t>Ping Yan</w:t>
            </w:r>
          </w:p>
        </w:tc>
        <w:tc>
          <w:tcPr>
            <w:tcW w:w="3640" w:type="dxa"/>
            <w:tcBorders>
              <w:top w:val="nil"/>
              <w:left w:val="nil"/>
              <w:bottom w:val="nil"/>
              <w:right w:val="nil"/>
            </w:tcBorders>
            <w:shd w:val="clear" w:color="auto" w:fill="auto"/>
            <w:noWrap/>
            <w:vAlign w:val="bottom"/>
            <w:hideMark/>
          </w:tcPr>
          <w:p w14:paraId="416BAFBE" w14:textId="77777777" w:rsidR="009207EC" w:rsidRDefault="009207EC" w:rsidP="009207EC">
            <w:pPr>
              <w:spacing w:after="0" w:line="240" w:lineRule="auto"/>
              <w:rPr>
                <w:rFonts w:ascii="Calibri" w:hAnsi="Calibri" w:cs="Calibri"/>
                <w:color w:val="000000"/>
              </w:rPr>
            </w:pPr>
            <w:r>
              <w:rPr>
                <w:rFonts w:ascii="Calibri" w:hAnsi="Calibri" w:cs="Calibri"/>
                <w:color w:val="000000"/>
              </w:rPr>
              <w:t>ERCOT</w:t>
            </w:r>
          </w:p>
        </w:tc>
      </w:tr>
      <w:tr w:rsidR="009207EC" w14:paraId="45AA7EDF" w14:textId="77777777" w:rsidTr="009207EC">
        <w:trPr>
          <w:trHeight w:val="300"/>
        </w:trPr>
        <w:tc>
          <w:tcPr>
            <w:tcW w:w="2680" w:type="dxa"/>
            <w:tcBorders>
              <w:top w:val="nil"/>
              <w:left w:val="nil"/>
              <w:bottom w:val="nil"/>
              <w:right w:val="nil"/>
            </w:tcBorders>
            <w:shd w:val="clear" w:color="auto" w:fill="auto"/>
            <w:noWrap/>
            <w:vAlign w:val="bottom"/>
            <w:hideMark/>
          </w:tcPr>
          <w:p w14:paraId="091C4C78" w14:textId="77777777" w:rsidR="009207EC" w:rsidRDefault="009207EC" w:rsidP="009207EC">
            <w:pPr>
              <w:spacing w:after="0" w:line="240" w:lineRule="auto"/>
              <w:rPr>
                <w:rFonts w:ascii="Calibri" w:hAnsi="Calibri" w:cs="Calibri"/>
                <w:color w:val="000000"/>
              </w:rPr>
            </w:pPr>
            <w:r>
              <w:rPr>
                <w:rFonts w:ascii="Calibri" w:hAnsi="Calibri" w:cs="Calibri"/>
                <w:color w:val="000000"/>
              </w:rPr>
              <w:t>Dylan Preas</w:t>
            </w:r>
          </w:p>
        </w:tc>
        <w:tc>
          <w:tcPr>
            <w:tcW w:w="3640" w:type="dxa"/>
            <w:tcBorders>
              <w:top w:val="nil"/>
              <w:left w:val="nil"/>
              <w:bottom w:val="nil"/>
              <w:right w:val="nil"/>
            </w:tcBorders>
            <w:shd w:val="clear" w:color="auto" w:fill="auto"/>
            <w:noWrap/>
            <w:vAlign w:val="bottom"/>
            <w:hideMark/>
          </w:tcPr>
          <w:p w14:paraId="1DAE6020" w14:textId="77777777" w:rsidR="009207EC" w:rsidRDefault="009207EC" w:rsidP="009207EC">
            <w:pPr>
              <w:spacing w:after="0" w:line="240" w:lineRule="auto"/>
              <w:rPr>
                <w:rFonts w:ascii="Calibri" w:hAnsi="Calibri" w:cs="Calibri"/>
                <w:color w:val="000000"/>
              </w:rPr>
            </w:pPr>
            <w:r>
              <w:rPr>
                <w:rFonts w:ascii="Calibri" w:hAnsi="Calibri" w:cs="Calibri"/>
                <w:color w:val="000000"/>
              </w:rPr>
              <w:t>LCRA TSC</w:t>
            </w:r>
          </w:p>
        </w:tc>
      </w:tr>
      <w:tr w:rsidR="009207EC" w14:paraId="5DA03D14" w14:textId="77777777" w:rsidTr="009207EC">
        <w:trPr>
          <w:trHeight w:val="300"/>
        </w:trPr>
        <w:tc>
          <w:tcPr>
            <w:tcW w:w="2680" w:type="dxa"/>
            <w:tcBorders>
              <w:top w:val="nil"/>
              <w:left w:val="nil"/>
              <w:bottom w:val="nil"/>
              <w:right w:val="nil"/>
            </w:tcBorders>
            <w:shd w:val="clear" w:color="auto" w:fill="auto"/>
            <w:noWrap/>
            <w:vAlign w:val="bottom"/>
            <w:hideMark/>
          </w:tcPr>
          <w:p w14:paraId="38D20349" w14:textId="77777777" w:rsidR="009207EC" w:rsidRDefault="009207EC" w:rsidP="009207EC">
            <w:pPr>
              <w:spacing w:after="0" w:line="240" w:lineRule="auto"/>
              <w:rPr>
                <w:rFonts w:ascii="Calibri" w:hAnsi="Calibri" w:cs="Calibri"/>
                <w:color w:val="000000"/>
              </w:rPr>
            </w:pPr>
            <w:r>
              <w:rPr>
                <w:rFonts w:ascii="Calibri" w:hAnsi="Calibri" w:cs="Calibri"/>
                <w:color w:val="000000"/>
              </w:rPr>
              <w:t>Eduardo Martinez</w:t>
            </w:r>
          </w:p>
        </w:tc>
        <w:tc>
          <w:tcPr>
            <w:tcW w:w="3640" w:type="dxa"/>
            <w:tcBorders>
              <w:top w:val="nil"/>
              <w:left w:val="nil"/>
              <w:bottom w:val="nil"/>
              <w:right w:val="nil"/>
            </w:tcBorders>
            <w:shd w:val="clear" w:color="auto" w:fill="auto"/>
            <w:noWrap/>
            <w:vAlign w:val="bottom"/>
            <w:hideMark/>
          </w:tcPr>
          <w:p w14:paraId="6BD4CBED" w14:textId="77777777" w:rsidR="009207EC" w:rsidRDefault="009207EC" w:rsidP="009207EC">
            <w:pPr>
              <w:spacing w:after="0" w:line="240" w:lineRule="auto"/>
              <w:rPr>
                <w:rFonts w:ascii="Calibri" w:hAnsi="Calibri" w:cs="Calibri"/>
                <w:color w:val="000000"/>
              </w:rPr>
            </w:pPr>
            <w:r>
              <w:rPr>
                <w:rFonts w:ascii="Calibri" w:hAnsi="Calibri" w:cs="Calibri"/>
                <w:color w:val="000000"/>
              </w:rPr>
              <w:t xml:space="preserve">Good Company Associates </w:t>
            </w:r>
          </w:p>
        </w:tc>
      </w:tr>
    </w:tbl>
    <w:p w14:paraId="3A953ED6" w14:textId="77777777" w:rsidR="006C0F0E" w:rsidRDefault="006C0F0E"/>
    <w:p w14:paraId="1C7008EA" w14:textId="2086879A" w:rsidR="00FE468F" w:rsidRDefault="000B17E9">
      <w:pPr>
        <w:rPr>
          <w:rFonts w:ascii="Arial" w:hAnsi="Arial" w:cs="Arial"/>
          <w:b/>
          <w:bCs/>
          <w:kern w:val="0"/>
          <w14:ligatures w14:val="none"/>
        </w:rPr>
      </w:pPr>
      <w:r w:rsidRPr="000B17E9">
        <w:rPr>
          <w:rFonts w:ascii="Arial" w:hAnsi="Arial" w:cs="Arial"/>
          <w:b/>
          <w:bCs/>
          <w:kern w:val="0"/>
          <w14:ligatures w14:val="none"/>
        </w:rPr>
        <w:t>Attendees</w:t>
      </w:r>
      <w:r>
        <w:rPr>
          <w:rFonts w:ascii="Arial" w:hAnsi="Arial" w:cs="Arial"/>
          <w:b/>
          <w:bCs/>
          <w:kern w:val="0"/>
          <w14:ligatures w14:val="none"/>
        </w:rPr>
        <w:t xml:space="preserve"> (Webex)</w:t>
      </w:r>
    </w:p>
    <w:tbl>
      <w:tblPr>
        <w:tblW w:w="4268" w:type="dxa"/>
        <w:tblLook w:val="04A0" w:firstRow="1" w:lastRow="0" w:firstColumn="1" w:lastColumn="0" w:noHBand="0" w:noVBand="1"/>
      </w:tblPr>
      <w:tblGrid>
        <w:gridCol w:w="4268"/>
      </w:tblGrid>
      <w:tr w:rsidR="00C55E98" w:rsidRPr="00C55E98" w14:paraId="69D4FAAC" w14:textId="77777777" w:rsidTr="00C55E98">
        <w:trPr>
          <w:trHeight w:val="300"/>
        </w:trPr>
        <w:tc>
          <w:tcPr>
            <w:tcW w:w="4268" w:type="dxa"/>
            <w:tcBorders>
              <w:top w:val="nil"/>
              <w:left w:val="nil"/>
              <w:bottom w:val="nil"/>
              <w:right w:val="nil"/>
            </w:tcBorders>
            <w:shd w:val="clear" w:color="auto" w:fill="auto"/>
            <w:noWrap/>
            <w:vAlign w:val="bottom"/>
            <w:hideMark/>
          </w:tcPr>
          <w:p w14:paraId="7216A56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AEP Doug Evans</w:t>
            </w:r>
          </w:p>
        </w:tc>
      </w:tr>
      <w:tr w:rsidR="00C55E98" w:rsidRPr="00C55E98" w14:paraId="3DBA283E" w14:textId="77777777" w:rsidTr="00C55E98">
        <w:trPr>
          <w:trHeight w:val="300"/>
        </w:trPr>
        <w:tc>
          <w:tcPr>
            <w:tcW w:w="4268" w:type="dxa"/>
            <w:tcBorders>
              <w:top w:val="nil"/>
              <w:left w:val="nil"/>
              <w:bottom w:val="nil"/>
              <w:right w:val="nil"/>
            </w:tcBorders>
            <w:shd w:val="clear" w:color="auto" w:fill="auto"/>
            <w:noWrap/>
            <w:vAlign w:val="bottom"/>
            <w:hideMark/>
          </w:tcPr>
          <w:p w14:paraId="54EA5B3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lastRenderedPageBreak/>
              <w:t>Alexandra Miller - EDFR</w:t>
            </w:r>
          </w:p>
        </w:tc>
      </w:tr>
      <w:tr w:rsidR="00C55E98" w:rsidRPr="00C55E98" w14:paraId="7B8DEDAD" w14:textId="77777777" w:rsidTr="00C55E98">
        <w:trPr>
          <w:trHeight w:val="300"/>
        </w:trPr>
        <w:tc>
          <w:tcPr>
            <w:tcW w:w="4268" w:type="dxa"/>
            <w:tcBorders>
              <w:top w:val="nil"/>
              <w:left w:val="nil"/>
              <w:bottom w:val="nil"/>
              <w:right w:val="nil"/>
            </w:tcBorders>
            <w:shd w:val="clear" w:color="auto" w:fill="auto"/>
            <w:noWrap/>
            <w:vAlign w:val="bottom"/>
            <w:hideMark/>
          </w:tcPr>
          <w:p w14:paraId="29A6B581"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Amanda Frazier</w:t>
            </w:r>
          </w:p>
        </w:tc>
      </w:tr>
      <w:tr w:rsidR="00C55E98" w:rsidRPr="00C55E98" w14:paraId="4F7DD0FF" w14:textId="77777777" w:rsidTr="00C55E98">
        <w:trPr>
          <w:trHeight w:val="300"/>
        </w:trPr>
        <w:tc>
          <w:tcPr>
            <w:tcW w:w="4268" w:type="dxa"/>
            <w:tcBorders>
              <w:top w:val="nil"/>
              <w:left w:val="nil"/>
              <w:bottom w:val="nil"/>
              <w:right w:val="nil"/>
            </w:tcBorders>
            <w:shd w:val="clear" w:color="auto" w:fill="auto"/>
            <w:noWrap/>
            <w:vAlign w:val="bottom"/>
            <w:hideMark/>
          </w:tcPr>
          <w:p w14:paraId="4716C48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Bob Wittmeyer - Longhorn Power</w:t>
            </w:r>
          </w:p>
        </w:tc>
      </w:tr>
      <w:tr w:rsidR="00C55E98" w:rsidRPr="00C55E98" w14:paraId="0E52CF43" w14:textId="77777777" w:rsidTr="00C55E98">
        <w:trPr>
          <w:trHeight w:val="300"/>
        </w:trPr>
        <w:tc>
          <w:tcPr>
            <w:tcW w:w="4268" w:type="dxa"/>
            <w:tcBorders>
              <w:top w:val="nil"/>
              <w:left w:val="nil"/>
              <w:bottom w:val="nil"/>
              <w:right w:val="nil"/>
            </w:tcBorders>
            <w:shd w:val="clear" w:color="auto" w:fill="auto"/>
            <w:noWrap/>
            <w:vAlign w:val="bottom"/>
            <w:hideMark/>
          </w:tcPr>
          <w:p w14:paraId="28C7A6B2" w14:textId="19EFD3CF" w:rsidR="00C55E98" w:rsidRPr="00C55E98"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Bill Barnes – NRG</w:t>
            </w:r>
          </w:p>
        </w:tc>
      </w:tr>
      <w:tr w:rsidR="00C55E98" w:rsidRPr="00C55E98" w14:paraId="29E16BB5" w14:textId="77777777" w:rsidTr="00C55E98">
        <w:trPr>
          <w:trHeight w:val="300"/>
        </w:trPr>
        <w:tc>
          <w:tcPr>
            <w:tcW w:w="4268" w:type="dxa"/>
            <w:tcBorders>
              <w:top w:val="nil"/>
              <w:left w:val="nil"/>
              <w:bottom w:val="nil"/>
              <w:right w:val="nil"/>
            </w:tcBorders>
            <w:shd w:val="clear" w:color="auto" w:fill="auto"/>
            <w:noWrap/>
            <w:vAlign w:val="bottom"/>
            <w:hideMark/>
          </w:tcPr>
          <w:p w14:paraId="7986225E" w14:textId="3FEE8555" w:rsidR="00C55E98" w:rsidRPr="00C55E98"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Brad Woods – Texas RE</w:t>
            </w:r>
          </w:p>
        </w:tc>
      </w:tr>
      <w:tr w:rsidR="00C55E98" w:rsidRPr="00C55E98" w14:paraId="162D6581" w14:textId="77777777" w:rsidTr="00C55E98">
        <w:trPr>
          <w:trHeight w:val="300"/>
        </w:trPr>
        <w:tc>
          <w:tcPr>
            <w:tcW w:w="4268" w:type="dxa"/>
            <w:tcBorders>
              <w:top w:val="nil"/>
              <w:left w:val="nil"/>
              <w:bottom w:val="nil"/>
              <w:right w:val="nil"/>
            </w:tcBorders>
            <w:shd w:val="clear" w:color="auto" w:fill="auto"/>
            <w:noWrap/>
            <w:vAlign w:val="bottom"/>
            <w:hideMark/>
          </w:tcPr>
          <w:p w14:paraId="3B53BAA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Brian Koz</w:t>
            </w:r>
          </w:p>
        </w:tc>
      </w:tr>
      <w:tr w:rsidR="00C55E98" w:rsidRPr="00C55E98" w14:paraId="7E41DA5C" w14:textId="77777777" w:rsidTr="00C55E98">
        <w:trPr>
          <w:trHeight w:val="300"/>
        </w:trPr>
        <w:tc>
          <w:tcPr>
            <w:tcW w:w="4268" w:type="dxa"/>
            <w:tcBorders>
              <w:top w:val="nil"/>
              <w:left w:val="nil"/>
              <w:bottom w:val="nil"/>
              <w:right w:val="nil"/>
            </w:tcBorders>
            <w:shd w:val="clear" w:color="auto" w:fill="auto"/>
            <w:noWrap/>
            <w:vAlign w:val="bottom"/>
            <w:hideMark/>
          </w:tcPr>
          <w:p w14:paraId="669BB37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Bridget Headrick - Customized Energy Solutions</w:t>
            </w:r>
          </w:p>
        </w:tc>
      </w:tr>
      <w:tr w:rsidR="006C651E" w:rsidRPr="00C55E98" w14:paraId="192ED7EE" w14:textId="77777777" w:rsidTr="00C55E98">
        <w:trPr>
          <w:trHeight w:val="300"/>
        </w:trPr>
        <w:tc>
          <w:tcPr>
            <w:tcW w:w="4268" w:type="dxa"/>
            <w:tcBorders>
              <w:top w:val="nil"/>
              <w:left w:val="nil"/>
              <w:bottom w:val="nil"/>
              <w:right w:val="nil"/>
            </w:tcBorders>
            <w:shd w:val="clear" w:color="auto" w:fill="auto"/>
            <w:noWrap/>
            <w:vAlign w:val="bottom"/>
          </w:tcPr>
          <w:p w14:paraId="5A87720A" w14:textId="7178D9AD" w:rsidR="006C651E"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2 call in users</w:t>
            </w:r>
          </w:p>
        </w:tc>
      </w:tr>
      <w:tr w:rsidR="009207EC" w:rsidRPr="00C55E98" w14:paraId="3987E006" w14:textId="77777777" w:rsidTr="00C55E98">
        <w:trPr>
          <w:trHeight w:val="300"/>
        </w:trPr>
        <w:tc>
          <w:tcPr>
            <w:tcW w:w="4268" w:type="dxa"/>
            <w:tcBorders>
              <w:top w:val="nil"/>
              <w:left w:val="nil"/>
              <w:bottom w:val="nil"/>
              <w:right w:val="nil"/>
            </w:tcBorders>
            <w:shd w:val="clear" w:color="auto" w:fill="auto"/>
            <w:noWrap/>
            <w:vAlign w:val="bottom"/>
          </w:tcPr>
          <w:p w14:paraId="4329E6CB" w14:textId="799672EE" w:rsidR="009207EC" w:rsidRPr="00C55E98"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Camron Barati</w:t>
            </w:r>
          </w:p>
        </w:tc>
      </w:tr>
      <w:tr w:rsidR="00C55E98" w:rsidRPr="00C55E98" w14:paraId="5578628F" w14:textId="77777777" w:rsidTr="00C55E98">
        <w:trPr>
          <w:trHeight w:val="300"/>
        </w:trPr>
        <w:tc>
          <w:tcPr>
            <w:tcW w:w="4268" w:type="dxa"/>
            <w:tcBorders>
              <w:top w:val="nil"/>
              <w:left w:val="nil"/>
              <w:bottom w:val="nil"/>
              <w:right w:val="nil"/>
            </w:tcBorders>
            <w:shd w:val="clear" w:color="auto" w:fill="auto"/>
            <w:noWrap/>
            <w:vAlign w:val="bottom"/>
            <w:hideMark/>
          </w:tcPr>
          <w:p w14:paraId="3F6309B6"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Cathey Carter - GridAxon</w:t>
            </w:r>
          </w:p>
        </w:tc>
      </w:tr>
      <w:tr w:rsidR="00C55E98" w:rsidRPr="00C55E98" w14:paraId="26E275BD" w14:textId="77777777" w:rsidTr="00C55E98">
        <w:trPr>
          <w:trHeight w:val="300"/>
        </w:trPr>
        <w:tc>
          <w:tcPr>
            <w:tcW w:w="4268" w:type="dxa"/>
            <w:tcBorders>
              <w:top w:val="nil"/>
              <w:left w:val="nil"/>
              <w:bottom w:val="nil"/>
              <w:right w:val="nil"/>
            </w:tcBorders>
            <w:shd w:val="clear" w:color="auto" w:fill="auto"/>
            <w:noWrap/>
            <w:vAlign w:val="bottom"/>
            <w:hideMark/>
          </w:tcPr>
          <w:p w14:paraId="0669E0D1" w14:textId="4AEF5FCD"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Charles Aleman</w:t>
            </w:r>
            <w:r w:rsidR="009207EC">
              <w:rPr>
                <w:rFonts w:ascii="Calibri" w:eastAsia="Times New Roman" w:hAnsi="Calibri" w:cs="Calibri"/>
                <w:color w:val="000000"/>
                <w:kern w:val="0"/>
                <w14:ligatures w14:val="none"/>
              </w:rPr>
              <w:t xml:space="preserve"> -</w:t>
            </w:r>
            <w:r w:rsidRPr="00C55E98">
              <w:rPr>
                <w:rFonts w:ascii="Calibri" w:eastAsia="Times New Roman" w:hAnsi="Calibri" w:cs="Calibri"/>
                <w:color w:val="000000"/>
                <w:kern w:val="0"/>
                <w14:ligatures w14:val="none"/>
              </w:rPr>
              <w:t xml:space="preserve"> Sharyland</w:t>
            </w:r>
          </w:p>
        </w:tc>
      </w:tr>
      <w:tr w:rsidR="00C55E98" w:rsidRPr="00C55E98" w14:paraId="154261EA" w14:textId="77777777" w:rsidTr="00C55E98">
        <w:trPr>
          <w:trHeight w:val="300"/>
        </w:trPr>
        <w:tc>
          <w:tcPr>
            <w:tcW w:w="4268" w:type="dxa"/>
            <w:tcBorders>
              <w:top w:val="nil"/>
              <w:left w:val="nil"/>
              <w:bottom w:val="nil"/>
              <w:right w:val="nil"/>
            </w:tcBorders>
            <w:shd w:val="clear" w:color="auto" w:fill="auto"/>
            <w:noWrap/>
            <w:vAlign w:val="bottom"/>
            <w:hideMark/>
          </w:tcPr>
          <w:p w14:paraId="58CB95E5"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Charles DeWitt - PEC</w:t>
            </w:r>
          </w:p>
        </w:tc>
      </w:tr>
      <w:tr w:rsidR="00C55E98" w:rsidRPr="00C55E98" w14:paraId="23962686" w14:textId="77777777" w:rsidTr="00C55E98">
        <w:trPr>
          <w:trHeight w:val="300"/>
        </w:trPr>
        <w:tc>
          <w:tcPr>
            <w:tcW w:w="4268" w:type="dxa"/>
            <w:tcBorders>
              <w:top w:val="nil"/>
              <w:left w:val="nil"/>
              <w:bottom w:val="nil"/>
              <w:right w:val="nil"/>
            </w:tcBorders>
            <w:shd w:val="clear" w:color="auto" w:fill="auto"/>
            <w:noWrap/>
            <w:vAlign w:val="bottom"/>
            <w:hideMark/>
          </w:tcPr>
          <w:p w14:paraId="6C480FE1" w14:textId="521BC474" w:rsidR="00C55E98" w:rsidRPr="00C55E98"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Chris Matthes</w:t>
            </w:r>
          </w:p>
        </w:tc>
      </w:tr>
      <w:tr w:rsidR="009207EC" w:rsidRPr="00C55E98" w14:paraId="4BD42621" w14:textId="77777777" w:rsidTr="00C55E98">
        <w:trPr>
          <w:trHeight w:val="300"/>
        </w:trPr>
        <w:tc>
          <w:tcPr>
            <w:tcW w:w="4268" w:type="dxa"/>
            <w:tcBorders>
              <w:top w:val="nil"/>
              <w:left w:val="nil"/>
              <w:bottom w:val="nil"/>
              <w:right w:val="nil"/>
            </w:tcBorders>
            <w:shd w:val="clear" w:color="auto" w:fill="auto"/>
            <w:noWrap/>
            <w:vAlign w:val="bottom"/>
          </w:tcPr>
          <w:p w14:paraId="28B53C39" w14:textId="28E42666" w:rsidR="009207EC"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Christina Minchew CTT</w:t>
            </w:r>
          </w:p>
        </w:tc>
      </w:tr>
      <w:tr w:rsidR="00C55E98" w:rsidRPr="00C55E98" w14:paraId="7904C98B" w14:textId="77777777" w:rsidTr="00C55E98">
        <w:trPr>
          <w:trHeight w:val="300"/>
        </w:trPr>
        <w:tc>
          <w:tcPr>
            <w:tcW w:w="4268" w:type="dxa"/>
            <w:tcBorders>
              <w:top w:val="nil"/>
              <w:left w:val="nil"/>
              <w:bottom w:val="nil"/>
              <w:right w:val="nil"/>
            </w:tcBorders>
            <w:shd w:val="clear" w:color="auto" w:fill="auto"/>
            <w:noWrap/>
            <w:vAlign w:val="bottom"/>
            <w:hideMark/>
          </w:tcPr>
          <w:p w14:paraId="525098D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Connor Anderson - AB Power Advisors</w:t>
            </w:r>
          </w:p>
        </w:tc>
      </w:tr>
      <w:tr w:rsidR="00C55E98" w:rsidRPr="00C55E98" w14:paraId="00C2B1C3" w14:textId="77777777" w:rsidTr="00C55E98">
        <w:trPr>
          <w:trHeight w:val="300"/>
        </w:trPr>
        <w:tc>
          <w:tcPr>
            <w:tcW w:w="4268" w:type="dxa"/>
            <w:tcBorders>
              <w:top w:val="nil"/>
              <w:left w:val="nil"/>
              <w:bottom w:val="nil"/>
              <w:right w:val="nil"/>
            </w:tcBorders>
            <w:shd w:val="clear" w:color="auto" w:fill="auto"/>
            <w:noWrap/>
            <w:vAlign w:val="bottom"/>
            <w:hideMark/>
          </w:tcPr>
          <w:p w14:paraId="47B4DE58" w14:textId="4831D8AC"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Constance McD Wyman</w:t>
            </w:r>
          </w:p>
        </w:tc>
      </w:tr>
      <w:tr w:rsidR="009207EC" w:rsidRPr="00C55E98" w14:paraId="116EE496" w14:textId="77777777" w:rsidTr="00C55E98">
        <w:trPr>
          <w:trHeight w:val="300"/>
        </w:trPr>
        <w:tc>
          <w:tcPr>
            <w:tcW w:w="4268" w:type="dxa"/>
            <w:tcBorders>
              <w:top w:val="nil"/>
              <w:left w:val="nil"/>
              <w:bottom w:val="nil"/>
              <w:right w:val="nil"/>
            </w:tcBorders>
            <w:shd w:val="clear" w:color="auto" w:fill="auto"/>
            <w:noWrap/>
            <w:vAlign w:val="bottom"/>
          </w:tcPr>
          <w:p w14:paraId="06C01193" w14:textId="347D6499" w:rsidR="009207EC"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Craig Wolf – RES</w:t>
            </w:r>
          </w:p>
        </w:tc>
      </w:tr>
      <w:tr w:rsidR="009207EC" w:rsidRPr="00C55E98" w14:paraId="6BD4C212" w14:textId="77777777" w:rsidTr="00C55E98">
        <w:trPr>
          <w:trHeight w:val="300"/>
        </w:trPr>
        <w:tc>
          <w:tcPr>
            <w:tcW w:w="4268" w:type="dxa"/>
            <w:tcBorders>
              <w:top w:val="nil"/>
              <w:left w:val="nil"/>
              <w:bottom w:val="nil"/>
              <w:right w:val="nil"/>
            </w:tcBorders>
            <w:shd w:val="clear" w:color="auto" w:fill="auto"/>
            <w:noWrap/>
            <w:vAlign w:val="bottom"/>
          </w:tcPr>
          <w:p w14:paraId="58DE8658" w14:textId="087CB1D0" w:rsidR="009207EC"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David Hering BTU</w:t>
            </w:r>
          </w:p>
        </w:tc>
      </w:tr>
      <w:tr w:rsidR="00C55E98" w:rsidRPr="00C55E98" w14:paraId="14142A90" w14:textId="77777777" w:rsidTr="00C55E98">
        <w:trPr>
          <w:trHeight w:val="300"/>
        </w:trPr>
        <w:tc>
          <w:tcPr>
            <w:tcW w:w="4268" w:type="dxa"/>
            <w:tcBorders>
              <w:top w:val="nil"/>
              <w:left w:val="nil"/>
              <w:bottom w:val="nil"/>
              <w:right w:val="nil"/>
            </w:tcBorders>
            <w:shd w:val="clear" w:color="auto" w:fill="auto"/>
            <w:noWrap/>
            <w:vAlign w:val="bottom"/>
            <w:hideMark/>
          </w:tcPr>
          <w:p w14:paraId="482A2682" w14:textId="30779551"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David Milner</w:t>
            </w:r>
            <w:r w:rsidR="009207EC">
              <w:rPr>
                <w:rFonts w:ascii="Calibri" w:eastAsia="Times New Roman" w:hAnsi="Calibri" w:cs="Calibri"/>
                <w:color w:val="000000"/>
                <w:kern w:val="0"/>
                <w14:ligatures w14:val="none"/>
              </w:rPr>
              <w:t xml:space="preserve"> – CPS Energy</w:t>
            </w:r>
          </w:p>
        </w:tc>
      </w:tr>
      <w:tr w:rsidR="00C55E98" w:rsidRPr="00C55E98" w14:paraId="0B6FCB81" w14:textId="77777777" w:rsidTr="00C55E98">
        <w:trPr>
          <w:trHeight w:val="300"/>
        </w:trPr>
        <w:tc>
          <w:tcPr>
            <w:tcW w:w="4268" w:type="dxa"/>
            <w:tcBorders>
              <w:top w:val="nil"/>
              <w:left w:val="nil"/>
              <w:bottom w:val="nil"/>
              <w:right w:val="nil"/>
            </w:tcBorders>
            <w:shd w:val="clear" w:color="auto" w:fill="auto"/>
            <w:noWrap/>
            <w:vAlign w:val="bottom"/>
            <w:hideMark/>
          </w:tcPr>
          <w:p w14:paraId="64B19361" w14:textId="3E6D2ED1"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David Withrow – AEP</w:t>
            </w:r>
          </w:p>
        </w:tc>
      </w:tr>
      <w:tr w:rsidR="009207EC" w:rsidRPr="00C55E98" w14:paraId="4C86DE3B" w14:textId="77777777" w:rsidTr="00C55E98">
        <w:trPr>
          <w:trHeight w:val="300"/>
        </w:trPr>
        <w:tc>
          <w:tcPr>
            <w:tcW w:w="4268" w:type="dxa"/>
            <w:tcBorders>
              <w:top w:val="nil"/>
              <w:left w:val="nil"/>
              <w:bottom w:val="nil"/>
              <w:right w:val="nil"/>
            </w:tcBorders>
            <w:shd w:val="clear" w:color="auto" w:fill="auto"/>
            <w:noWrap/>
            <w:vAlign w:val="bottom"/>
          </w:tcPr>
          <w:p w14:paraId="4601C246" w14:textId="3D522622" w:rsidR="009207EC"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De Torcy, Ben</w:t>
            </w:r>
          </w:p>
        </w:tc>
      </w:tr>
      <w:tr w:rsidR="009207EC" w:rsidRPr="00C55E98" w14:paraId="753F5C22" w14:textId="77777777" w:rsidTr="00C55E98">
        <w:trPr>
          <w:trHeight w:val="300"/>
        </w:trPr>
        <w:tc>
          <w:tcPr>
            <w:tcW w:w="4268" w:type="dxa"/>
            <w:tcBorders>
              <w:top w:val="nil"/>
              <w:left w:val="nil"/>
              <w:bottom w:val="nil"/>
              <w:right w:val="nil"/>
            </w:tcBorders>
            <w:shd w:val="clear" w:color="auto" w:fill="auto"/>
            <w:noWrap/>
            <w:vAlign w:val="bottom"/>
          </w:tcPr>
          <w:p w14:paraId="6D085F5D" w14:textId="761800E3" w:rsidR="009207EC"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Dhruv Gupta – Solar Proponent</w:t>
            </w:r>
          </w:p>
        </w:tc>
      </w:tr>
      <w:tr w:rsidR="009207EC" w:rsidRPr="00C55E98" w14:paraId="166F35AF" w14:textId="77777777" w:rsidTr="00C55E98">
        <w:trPr>
          <w:trHeight w:val="300"/>
        </w:trPr>
        <w:tc>
          <w:tcPr>
            <w:tcW w:w="4268" w:type="dxa"/>
            <w:tcBorders>
              <w:top w:val="nil"/>
              <w:left w:val="nil"/>
              <w:bottom w:val="nil"/>
              <w:right w:val="nil"/>
            </w:tcBorders>
            <w:shd w:val="clear" w:color="auto" w:fill="auto"/>
            <w:noWrap/>
            <w:vAlign w:val="bottom"/>
          </w:tcPr>
          <w:p w14:paraId="1ABE6D2E" w14:textId="6091BBA2" w:rsidR="009207EC"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Don Le</w:t>
            </w:r>
          </w:p>
        </w:tc>
      </w:tr>
      <w:tr w:rsidR="009207EC" w:rsidRPr="00C55E98" w14:paraId="05C36D01" w14:textId="77777777" w:rsidTr="00C55E98">
        <w:trPr>
          <w:trHeight w:val="300"/>
        </w:trPr>
        <w:tc>
          <w:tcPr>
            <w:tcW w:w="4268" w:type="dxa"/>
            <w:tcBorders>
              <w:top w:val="nil"/>
              <w:left w:val="nil"/>
              <w:bottom w:val="nil"/>
              <w:right w:val="nil"/>
            </w:tcBorders>
            <w:shd w:val="clear" w:color="auto" w:fill="auto"/>
            <w:noWrap/>
            <w:vAlign w:val="bottom"/>
          </w:tcPr>
          <w:p w14:paraId="436B485A" w14:textId="0A065C13" w:rsidR="009207EC"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Dwight Beckmann</w:t>
            </w:r>
          </w:p>
        </w:tc>
      </w:tr>
      <w:tr w:rsidR="00C55E98" w:rsidRPr="00C55E98" w14:paraId="30F0D680" w14:textId="77777777" w:rsidTr="00C55E98">
        <w:trPr>
          <w:trHeight w:val="300"/>
        </w:trPr>
        <w:tc>
          <w:tcPr>
            <w:tcW w:w="4268" w:type="dxa"/>
            <w:tcBorders>
              <w:top w:val="nil"/>
              <w:left w:val="nil"/>
              <w:bottom w:val="nil"/>
              <w:right w:val="nil"/>
            </w:tcBorders>
            <w:shd w:val="clear" w:color="auto" w:fill="auto"/>
            <w:noWrap/>
            <w:vAlign w:val="bottom"/>
            <w:hideMark/>
          </w:tcPr>
          <w:p w14:paraId="5ADED07B" w14:textId="03BB361E"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Eduardo Martinez – Good Company</w:t>
            </w:r>
          </w:p>
        </w:tc>
      </w:tr>
      <w:tr w:rsidR="00C55E98" w:rsidRPr="00C55E98" w14:paraId="1B56510A" w14:textId="77777777" w:rsidTr="00C55E98">
        <w:trPr>
          <w:trHeight w:val="300"/>
        </w:trPr>
        <w:tc>
          <w:tcPr>
            <w:tcW w:w="4268" w:type="dxa"/>
            <w:tcBorders>
              <w:top w:val="nil"/>
              <w:left w:val="nil"/>
              <w:bottom w:val="nil"/>
              <w:right w:val="nil"/>
            </w:tcBorders>
            <w:shd w:val="clear" w:color="auto" w:fill="auto"/>
            <w:noWrap/>
            <w:vAlign w:val="bottom"/>
            <w:hideMark/>
          </w:tcPr>
          <w:p w14:paraId="2261C1D8" w14:textId="4D5A7096"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Ed</w:t>
            </w:r>
            <w:r w:rsidR="009207EC">
              <w:rPr>
                <w:rFonts w:ascii="Calibri" w:eastAsia="Times New Roman" w:hAnsi="Calibri" w:cs="Calibri"/>
                <w:color w:val="000000"/>
                <w:kern w:val="0"/>
                <w14:ligatures w14:val="none"/>
              </w:rPr>
              <w:t>uardo Olivarez</w:t>
            </w:r>
          </w:p>
        </w:tc>
      </w:tr>
      <w:tr w:rsidR="009207EC" w:rsidRPr="00C55E98" w14:paraId="0D06B490" w14:textId="77777777" w:rsidTr="00C55E98">
        <w:trPr>
          <w:trHeight w:val="300"/>
        </w:trPr>
        <w:tc>
          <w:tcPr>
            <w:tcW w:w="4268" w:type="dxa"/>
            <w:tcBorders>
              <w:top w:val="nil"/>
              <w:left w:val="nil"/>
              <w:bottom w:val="nil"/>
              <w:right w:val="nil"/>
            </w:tcBorders>
            <w:shd w:val="clear" w:color="auto" w:fill="auto"/>
            <w:noWrap/>
            <w:vAlign w:val="bottom"/>
          </w:tcPr>
          <w:p w14:paraId="48916619" w14:textId="3B3BA3E4" w:rsidR="009207EC" w:rsidRPr="00C55E98"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Eithar Nashawati Oncor</w:t>
            </w:r>
          </w:p>
        </w:tc>
      </w:tr>
      <w:tr w:rsidR="009207EC" w:rsidRPr="00C55E98" w14:paraId="056D2046" w14:textId="77777777" w:rsidTr="00C55E98">
        <w:trPr>
          <w:trHeight w:val="300"/>
        </w:trPr>
        <w:tc>
          <w:tcPr>
            <w:tcW w:w="4268" w:type="dxa"/>
            <w:tcBorders>
              <w:top w:val="nil"/>
              <w:left w:val="nil"/>
              <w:bottom w:val="nil"/>
              <w:right w:val="nil"/>
            </w:tcBorders>
            <w:shd w:val="clear" w:color="auto" w:fill="auto"/>
            <w:noWrap/>
            <w:vAlign w:val="bottom"/>
          </w:tcPr>
          <w:p w14:paraId="5549A5DE" w14:textId="22FDC8CA" w:rsidR="009207EC" w:rsidRPr="00C55E98" w:rsidRDefault="009207EC"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El</w:t>
            </w:r>
            <w:r w:rsidR="007F76D7">
              <w:rPr>
                <w:rFonts w:ascii="Calibri" w:eastAsia="Times New Roman" w:hAnsi="Calibri" w:cs="Calibri"/>
                <w:color w:val="000000"/>
                <w:kern w:val="0"/>
                <w14:ligatures w14:val="none"/>
              </w:rPr>
              <w:t>íbia Colaço – Serena</w:t>
            </w:r>
          </w:p>
        </w:tc>
      </w:tr>
      <w:tr w:rsidR="00C55E98" w:rsidRPr="00C55E98" w14:paraId="6DB2C929" w14:textId="77777777" w:rsidTr="00C55E98">
        <w:trPr>
          <w:trHeight w:val="300"/>
        </w:trPr>
        <w:tc>
          <w:tcPr>
            <w:tcW w:w="4268" w:type="dxa"/>
            <w:tcBorders>
              <w:top w:val="nil"/>
              <w:left w:val="nil"/>
              <w:bottom w:val="nil"/>
              <w:right w:val="nil"/>
            </w:tcBorders>
            <w:shd w:val="clear" w:color="auto" w:fill="auto"/>
            <w:noWrap/>
            <w:vAlign w:val="bottom"/>
            <w:hideMark/>
          </w:tcPr>
          <w:p w14:paraId="19A1C297" w14:textId="102D1F7F"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6C651E">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7F76D7">
              <w:rPr>
                <w:rFonts w:ascii="Calibri" w:eastAsia="Times New Roman" w:hAnsi="Calibri" w:cs="Calibri"/>
                <w:color w:val="000000"/>
                <w:kern w:val="0"/>
                <w14:ligatures w14:val="none"/>
              </w:rPr>
              <w:t>Alex Lee</w:t>
            </w:r>
          </w:p>
        </w:tc>
      </w:tr>
      <w:tr w:rsidR="00C55E98" w:rsidRPr="00C55E98" w14:paraId="5AFDC43B" w14:textId="77777777" w:rsidTr="00C55E98">
        <w:trPr>
          <w:trHeight w:val="300"/>
        </w:trPr>
        <w:tc>
          <w:tcPr>
            <w:tcW w:w="4268" w:type="dxa"/>
            <w:tcBorders>
              <w:top w:val="nil"/>
              <w:left w:val="nil"/>
              <w:bottom w:val="nil"/>
              <w:right w:val="nil"/>
            </w:tcBorders>
            <w:shd w:val="clear" w:color="auto" w:fill="auto"/>
            <w:noWrap/>
            <w:vAlign w:val="bottom"/>
            <w:hideMark/>
          </w:tcPr>
          <w:p w14:paraId="7EDC0D7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Erin Wasik-Gutierrez</w:t>
            </w:r>
          </w:p>
        </w:tc>
      </w:tr>
      <w:tr w:rsidR="00C55E98" w:rsidRPr="00C55E98" w14:paraId="32623265" w14:textId="77777777" w:rsidTr="00C55E98">
        <w:trPr>
          <w:trHeight w:val="300"/>
        </w:trPr>
        <w:tc>
          <w:tcPr>
            <w:tcW w:w="4268" w:type="dxa"/>
            <w:tcBorders>
              <w:top w:val="nil"/>
              <w:left w:val="nil"/>
              <w:bottom w:val="nil"/>
              <w:right w:val="nil"/>
            </w:tcBorders>
            <w:shd w:val="clear" w:color="auto" w:fill="auto"/>
            <w:noWrap/>
            <w:vAlign w:val="bottom"/>
            <w:hideMark/>
          </w:tcPr>
          <w:p w14:paraId="545DED37" w14:textId="35D3C2F3"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7F76D7">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7F76D7">
              <w:rPr>
                <w:rFonts w:ascii="Calibri" w:eastAsia="Times New Roman" w:hAnsi="Calibri" w:cs="Calibri"/>
                <w:color w:val="000000"/>
                <w:kern w:val="0"/>
                <w14:ligatures w14:val="none"/>
              </w:rPr>
              <w:t>Ben Richardson</w:t>
            </w:r>
          </w:p>
        </w:tc>
      </w:tr>
      <w:tr w:rsidR="00C55E98" w:rsidRPr="00C55E98" w14:paraId="756C9B75" w14:textId="77777777" w:rsidTr="00C55E98">
        <w:trPr>
          <w:trHeight w:val="300"/>
        </w:trPr>
        <w:tc>
          <w:tcPr>
            <w:tcW w:w="4268" w:type="dxa"/>
            <w:tcBorders>
              <w:top w:val="nil"/>
              <w:left w:val="nil"/>
              <w:bottom w:val="nil"/>
              <w:right w:val="nil"/>
            </w:tcBorders>
            <w:shd w:val="clear" w:color="auto" w:fill="auto"/>
            <w:noWrap/>
            <w:vAlign w:val="bottom"/>
            <w:hideMark/>
          </w:tcPr>
          <w:p w14:paraId="7C34173E" w14:textId="1B973E4C"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7F76D7">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7F76D7">
              <w:rPr>
                <w:rFonts w:ascii="Calibri" w:eastAsia="Times New Roman" w:hAnsi="Calibri" w:cs="Calibri"/>
                <w:color w:val="000000"/>
                <w:kern w:val="0"/>
                <w14:ligatures w14:val="none"/>
              </w:rPr>
              <w:t>Jameson Haesler</w:t>
            </w:r>
          </w:p>
        </w:tc>
      </w:tr>
      <w:tr w:rsidR="00C55E98" w:rsidRPr="00C55E98" w14:paraId="029A12B6" w14:textId="77777777" w:rsidTr="00C55E98">
        <w:trPr>
          <w:trHeight w:val="300"/>
        </w:trPr>
        <w:tc>
          <w:tcPr>
            <w:tcW w:w="4268" w:type="dxa"/>
            <w:tcBorders>
              <w:top w:val="nil"/>
              <w:left w:val="nil"/>
              <w:bottom w:val="nil"/>
              <w:right w:val="nil"/>
            </w:tcBorders>
            <w:shd w:val="clear" w:color="auto" w:fill="auto"/>
            <w:noWrap/>
            <w:vAlign w:val="bottom"/>
            <w:hideMark/>
          </w:tcPr>
          <w:p w14:paraId="6294D41C" w14:textId="12F29BA2"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6C651E">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6C651E">
              <w:rPr>
                <w:rFonts w:ascii="Calibri" w:eastAsia="Times New Roman" w:hAnsi="Calibri" w:cs="Calibri"/>
                <w:color w:val="000000"/>
                <w:kern w:val="0"/>
                <w14:ligatures w14:val="none"/>
              </w:rPr>
              <w:t>Nathan Bigbee</w:t>
            </w:r>
          </w:p>
        </w:tc>
      </w:tr>
      <w:tr w:rsidR="00C55E98" w:rsidRPr="00C55E98" w14:paraId="21C13A4C" w14:textId="77777777" w:rsidTr="00C55E98">
        <w:trPr>
          <w:trHeight w:val="300"/>
        </w:trPr>
        <w:tc>
          <w:tcPr>
            <w:tcW w:w="4268" w:type="dxa"/>
            <w:tcBorders>
              <w:top w:val="nil"/>
              <w:left w:val="nil"/>
              <w:bottom w:val="nil"/>
              <w:right w:val="nil"/>
            </w:tcBorders>
            <w:shd w:val="clear" w:color="auto" w:fill="auto"/>
            <w:noWrap/>
            <w:vAlign w:val="bottom"/>
            <w:hideMark/>
          </w:tcPr>
          <w:p w14:paraId="6BCC901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Ping Yan</w:t>
            </w:r>
          </w:p>
        </w:tc>
      </w:tr>
      <w:tr w:rsidR="00C55E98" w:rsidRPr="00C55E98" w14:paraId="2A783513" w14:textId="77777777" w:rsidTr="00C55E98">
        <w:trPr>
          <w:trHeight w:val="300"/>
        </w:trPr>
        <w:tc>
          <w:tcPr>
            <w:tcW w:w="4268" w:type="dxa"/>
            <w:tcBorders>
              <w:top w:val="nil"/>
              <w:left w:val="nil"/>
              <w:bottom w:val="nil"/>
              <w:right w:val="nil"/>
            </w:tcBorders>
            <w:shd w:val="clear" w:color="auto" w:fill="auto"/>
            <w:noWrap/>
            <w:vAlign w:val="bottom"/>
            <w:hideMark/>
          </w:tcPr>
          <w:p w14:paraId="191DE21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 - Robert Golen</w:t>
            </w:r>
          </w:p>
        </w:tc>
      </w:tr>
      <w:tr w:rsidR="00C55E98" w:rsidRPr="00C55E98" w14:paraId="61DFA550" w14:textId="77777777" w:rsidTr="00C55E98">
        <w:trPr>
          <w:trHeight w:val="300"/>
        </w:trPr>
        <w:tc>
          <w:tcPr>
            <w:tcW w:w="4268" w:type="dxa"/>
            <w:tcBorders>
              <w:top w:val="nil"/>
              <w:left w:val="nil"/>
              <w:bottom w:val="nil"/>
              <w:right w:val="nil"/>
            </w:tcBorders>
            <w:shd w:val="clear" w:color="auto" w:fill="auto"/>
            <w:noWrap/>
            <w:vAlign w:val="bottom"/>
            <w:hideMark/>
          </w:tcPr>
          <w:p w14:paraId="179C4A6B" w14:textId="5FA62648"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 xml:space="preserve">ERCOT </w:t>
            </w:r>
            <w:r w:rsidR="006C651E">
              <w:rPr>
                <w:rFonts w:ascii="Calibri" w:eastAsia="Times New Roman" w:hAnsi="Calibri" w:cs="Calibri"/>
                <w:color w:val="000000"/>
                <w:kern w:val="0"/>
                <w14:ligatures w14:val="none"/>
              </w:rPr>
              <w:t>–</w:t>
            </w:r>
            <w:r w:rsidRPr="00C55E98">
              <w:rPr>
                <w:rFonts w:ascii="Calibri" w:eastAsia="Times New Roman" w:hAnsi="Calibri" w:cs="Calibri"/>
                <w:color w:val="000000"/>
                <w:kern w:val="0"/>
                <w14:ligatures w14:val="none"/>
              </w:rPr>
              <w:t xml:space="preserve"> </w:t>
            </w:r>
            <w:r w:rsidR="006C651E">
              <w:rPr>
                <w:rFonts w:ascii="Calibri" w:eastAsia="Times New Roman" w:hAnsi="Calibri" w:cs="Calibri"/>
                <w:color w:val="000000"/>
                <w:kern w:val="0"/>
                <w14:ligatures w14:val="none"/>
              </w:rPr>
              <w:t>Sun Wook Kang</w:t>
            </w:r>
          </w:p>
        </w:tc>
      </w:tr>
      <w:tr w:rsidR="00C55E98" w:rsidRPr="00C55E98" w14:paraId="52189D4D" w14:textId="77777777" w:rsidTr="00C55E98">
        <w:trPr>
          <w:trHeight w:val="300"/>
        </w:trPr>
        <w:tc>
          <w:tcPr>
            <w:tcW w:w="4268" w:type="dxa"/>
            <w:tcBorders>
              <w:top w:val="nil"/>
              <w:left w:val="nil"/>
              <w:bottom w:val="nil"/>
              <w:right w:val="nil"/>
            </w:tcBorders>
            <w:shd w:val="clear" w:color="auto" w:fill="auto"/>
            <w:noWrap/>
            <w:vAlign w:val="bottom"/>
            <w:hideMark/>
          </w:tcPr>
          <w:p w14:paraId="384F37B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ERCOT-Jenifer Fernandes</w:t>
            </w:r>
          </w:p>
        </w:tc>
      </w:tr>
      <w:tr w:rsidR="00C55E98" w:rsidRPr="00C55E98" w14:paraId="369FD907" w14:textId="77777777" w:rsidTr="00C55E98">
        <w:trPr>
          <w:trHeight w:val="300"/>
        </w:trPr>
        <w:tc>
          <w:tcPr>
            <w:tcW w:w="4268" w:type="dxa"/>
            <w:tcBorders>
              <w:top w:val="nil"/>
              <w:left w:val="nil"/>
              <w:bottom w:val="nil"/>
              <w:right w:val="nil"/>
            </w:tcBorders>
            <w:shd w:val="clear" w:color="auto" w:fill="auto"/>
            <w:noWrap/>
            <w:vAlign w:val="bottom"/>
            <w:hideMark/>
          </w:tcPr>
          <w:p w14:paraId="32CE7D0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Eric Lotter - GridMonitor</w:t>
            </w:r>
          </w:p>
        </w:tc>
      </w:tr>
      <w:tr w:rsidR="007F76D7" w:rsidRPr="00C55E98" w14:paraId="32008D7C" w14:textId="77777777" w:rsidTr="00C55E98">
        <w:trPr>
          <w:trHeight w:val="300"/>
        </w:trPr>
        <w:tc>
          <w:tcPr>
            <w:tcW w:w="4268" w:type="dxa"/>
            <w:tcBorders>
              <w:top w:val="nil"/>
              <w:left w:val="nil"/>
              <w:bottom w:val="nil"/>
              <w:right w:val="nil"/>
            </w:tcBorders>
            <w:shd w:val="clear" w:color="auto" w:fill="auto"/>
            <w:noWrap/>
            <w:vAlign w:val="bottom"/>
          </w:tcPr>
          <w:p w14:paraId="52C0300F" w14:textId="4452B072"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Felix Zemeng Wang</w:t>
            </w:r>
          </w:p>
        </w:tc>
      </w:tr>
      <w:tr w:rsidR="007F76D7" w:rsidRPr="00C55E98" w14:paraId="7D3923D9" w14:textId="77777777" w:rsidTr="00C55E98">
        <w:trPr>
          <w:trHeight w:val="300"/>
        </w:trPr>
        <w:tc>
          <w:tcPr>
            <w:tcW w:w="4268" w:type="dxa"/>
            <w:tcBorders>
              <w:top w:val="nil"/>
              <w:left w:val="nil"/>
              <w:bottom w:val="nil"/>
              <w:right w:val="nil"/>
            </w:tcBorders>
            <w:shd w:val="clear" w:color="auto" w:fill="auto"/>
            <w:noWrap/>
            <w:vAlign w:val="bottom"/>
          </w:tcPr>
          <w:p w14:paraId="5A40A650" w14:textId="34C60ACB"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FTW1229</w:t>
            </w:r>
          </w:p>
        </w:tc>
      </w:tr>
      <w:tr w:rsidR="007F76D7" w:rsidRPr="00C55E98" w14:paraId="5B7046C6" w14:textId="77777777" w:rsidTr="00C55E98">
        <w:trPr>
          <w:trHeight w:val="300"/>
        </w:trPr>
        <w:tc>
          <w:tcPr>
            <w:tcW w:w="4268" w:type="dxa"/>
            <w:tcBorders>
              <w:top w:val="nil"/>
              <w:left w:val="nil"/>
              <w:bottom w:val="nil"/>
              <w:right w:val="nil"/>
            </w:tcBorders>
            <w:shd w:val="clear" w:color="auto" w:fill="auto"/>
            <w:noWrap/>
            <w:vAlign w:val="bottom"/>
          </w:tcPr>
          <w:p w14:paraId="14214567" w14:textId="7D222364"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GI</w:t>
            </w:r>
          </w:p>
        </w:tc>
      </w:tr>
      <w:tr w:rsidR="007F76D7" w:rsidRPr="00C55E98" w14:paraId="3568991F" w14:textId="77777777" w:rsidTr="00C55E98">
        <w:trPr>
          <w:trHeight w:val="300"/>
        </w:trPr>
        <w:tc>
          <w:tcPr>
            <w:tcW w:w="4268" w:type="dxa"/>
            <w:tcBorders>
              <w:top w:val="nil"/>
              <w:left w:val="nil"/>
              <w:bottom w:val="nil"/>
              <w:right w:val="nil"/>
            </w:tcBorders>
            <w:shd w:val="clear" w:color="auto" w:fill="auto"/>
            <w:noWrap/>
            <w:vAlign w:val="bottom"/>
          </w:tcPr>
          <w:p w14:paraId="7D580945" w14:textId="6EF58B08"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Glen Reed AEP</w:t>
            </w:r>
          </w:p>
        </w:tc>
      </w:tr>
      <w:tr w:rsidR="007F76D7" w:rsidRPr="00C55E98" w14:paraId="5946B083" w14:textId="77777777" w:rsidTr="00C55E98">
        <w:trPr>
          <w:trHeight w:val="300"/>
        </w:trPr>
        <w:tc>
          <w:tcPr>
            <w:tcW w:w="4268" w:type="dxa"/>
            <w:tcBorders>
              <w:top w:val="nil"/>
              <w:left w:val="nil"/>
              <w:bottom w:val="nil"/>
              <w:right w:val="nil"/>
            </w:tcBorders>
            <w:shd w:val="clear" w:color="auto" w:fill="auto"/>
            <w:noWrap/>
            <w:vAlign w:val="bottom"/>
          </w:tcPr>
          <w:p w14:paraId="08C71A40" w14:textId="653A8DC2"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lastRenderedPageBreak/>
              <w:t>Chevron Guillermo</w:t>
            </w:r>
          </w:p>
        </w:tc>
      </w:tr>
      <w:tr w:rsidR="007F76D7" w:rsidRPr="00C55E98" w14:paraId="61A4A0BC" w14:textId="77777777" w:rsidTr="00C55E98">
        <w:trPr>
          <w:trHeight w:val="300"/>
        </w:trPr>
        <w:tc>
          <w:tcPr>
            <w:tcW w:w="4268" w:type="dxa"/>
            <w:tcBorders>
              <w:top w:val="nil"/>
              <w:left w:val="nil"/>
              <w:bottom w:val="nil"/>
              <w:right w:val="nil"/>
            </w:tcBorders>
            <w:shd w:val="clear" w:color="auto" w:fill="auto"/>
            <w:noWrap/>
            <w:vAlign w:val="bottom"/>
          </w:tcPr>
          <w:p w14:paraId="07EE7253" w14:textId="51C04E1F"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Chenyan Guo</w:t>
            </w:r>
          </w:p>
        </w:tc>
      </w:tr>
      <w:tr w:rsidR="00C55E98" w:rsidRPr="00C55E98" w14:paraId="53926389" w14:textId="77777777" w:rsidTr="00C55E98">
        <w:trPr>
          <w:trHeight w:val="300"/>
        </w:trPr>
        <w:tc>
          <w:tcPr>
            <w:tcW w:w="4268" w:type="dxa"/>
            <w:tcBorders>
              <w:top w:val="nil"/>
              <w:left w:val="nil"/>
              <w:bottom w:val="nil"/>
              <w:right w:val="nil"/>
            </w:tcBorders>
            <w:shd w:val="clear" w:color="auto" w:fill="auto"/>
            <w:noWrap/>
            <w:vAlign w:val="bottom"/>
            <w:hideMark/>
          </w:tcPr>
          <w:p w14:paraId="39D8F74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Hudson Callender/ CPS Energy</w:t>
            </w:r>
          </w:p>
        </w:tc>
      </w:tr>
      <w:tr w:rsidR="00C55E98" w:rsidRPr="00C55E98" w14:paraId="09B61B89" w14:textId="77777777" w:rsidTr="007F76D7">
        <w:trPr>
          <w:trHeight w:val="300"/>
        </w:trPr>
        <w:tc>
          <w:tcPr>
            <w:tcW w:w="4268" w:type="dxa"/>
            <w:tcBorders>
              <w:top w:val="nil"/>
              <w:left w:val="nil"/>
              <w:bottom w:val="nil"/>
              <w:right w:val="nil"/>
            </w:tcBorders>
            <w:shd w:val="clear" w:color="auto" w:fill="auto"/>
            <w:noWrap/>
            <w:vAlign w:val="bottom"/>
          </w:tcPr>
          <w:p w14:paraId="1E06E619" w14:textId="4B35AF4E" w:rsidR="00C55E98"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Ian Haley – Morgan Stanley</w:t>
            </w:r>
          </w:p>
        </w:tc>
      </w:tr>
      <w:tr w:rsidR="00C55E98" w:rsidRPr="00C55E98" w14:paraId="1CDA78CB" w14:textId="77777777" w:rsidTr="007F76D7">
        <w:trPr>
          <w:trHeight w:val="300"/>
        </w:trPr>
        <w:tc>
          <w:tcPr>
            <w:tcW w:w="4268" w:type="dxa"/>
            <w:tcBorders>
              <w:top w:val="nil"/>
              <w:left w:val="nil"/>
              <w:bottom w:val="nil"/>
              <w:right w:val="nil"/>
            </w:tcBorders>
            <w:shd w:val="clear" w:color="auto" w:fill="auto"/>
            <w:noWrap/>
            <w:vAlign w:val="bottom"/>
          </w:tcPr>
          <w:p w14:paraId="2A4B1111" w14:textId="1EA28827" w:rsidR="00C55E98"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Ivan Velasquez, Oncor</w:t>
            </w:r>
          </w:p>
        </w:tc>
      </w:tr>
      <w:tr w:rsidR="00C55E98" w:rsidRPr="00C55E98" w14:paraId="5BB32948" w14:textId="77777777" w:rsidTr="007F76D7">
        <w:trPr>
          <w:trHeight w:val="300"/>
        </w:trPr>
        <w:tc>
          <w:tcPr>
            <w:tcW w:w="4268" w:type="dxa"/>
            <w:tcBorders>
              <w:top w:val="nil"/>
              <w:left w:val="nil"/>
              <w:bottom w:val="nil"/>
              <w:right w:val="nil"/>
            </w:tcBorders>
            <w:shd w:val="clear" w:color="auto" w:fill="auto"/>
            <w:noWrap/>
            <w:vAlign w:val="bottom"/>
          </w:tcPr>
          <w:p w14:paraId="0458BF65" w14:textId="4145E013" w:rsidR="00C55E98"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James Okenfuss – Shell Energy</w:t>
            </w:r>
          </w:p>
        </w:tc>
      </w:tr>
      <w:tr w:rsidR="00C55E98" w:rsidRPr="00C55E98" w14:paraId="52867DD0" w14:textId="77777777" w:rsidTr="007F76D7">
        <w:trPr>
          <w:trHeight w:val="300"/>
        </w:trPr>
        <w:tc>
          <w:tcPr>
            <w:tcW w:w="4268" w:type="dxa"/>
            <w:tcBorders>
              <w:top w:val="nil"/>
              <w:left w:val="nil"/>
              <w:bottom w:val="nil"/>
              <w:right w:val="nil"/>
            </w:tcBorders>
            <w:shd w:val="clear" w:color="auto" w:fill="auto"/>
            <w:noWrap/>
            <w:vAlign w:val="bottom"/>
          </w:tcPr>
          <w:p w14:paraId="034393B7" w14:textId="37A03610" w:rsidR="00C55E98"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JG</w:t>
            </w:r>
          </w:p>
        </w:tc>
      </w:tr>
      <w:tr w:rsidR="00C55E98" w:rsidRPr="00C55E98" w14:paraId="3BEAFDEA" w14:textId="77777777" w:rsidTr="007F76D7">
        <w:trPr>
          <w:trHeight w:val="300"/>
        </w:trPr>
        <w:tc>
          <w:tcPr>
            <w:tcW w:w="4268" w:type="dxa"/>
            <w:tcBorders>
              <w:top w:val="nil"/>
              <w:left w:val="nil"/>
              <w:bottom w:val="nil"/>
              <w:right w:val="nil"/>
            </w:tcBorders>
            <w:shd w:val="clear" w:color="auto" w:fill="auto"/>
            <w:noWrap/>
            <w:vAlign w:val="bottom"/>
          </w:tcPr>
          <w:p w14:paraId="34D0737B" w14:textId="16D48D53" w:rsidR="00C55E98"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Jian Xu</w:t>
            </w:r>
          </w:p>
        </w:tc>
      </w:tr>
      <w:tr w:rsidR="007F76D7" w:rsidRPr="00C55E98" w14:paraId="14F6E564" w14:textId="77777777" w:rsidTr="00C55E98">
        <w:trPr>
          <w:trHeight w:val="300"/>
        </w:trPr>
        <w:tc>
          <w:tcPr>
            <w:tcW w:w="4268" w:type="dxa"/>
            <w:tcBorders>
              <w:top w:val="nil"/>
              <w:left w:val="nil"/>
              <w:bottom w:val="nil"/>
              <w:right w:val="nil"/>
            </w:tcBorders>
            <w:shd w:val="clear" w:color="auto" w:fill="auto"/>
            <w:noWrap/>
            <w:vAlign w:val="bottom"/>
          </w:tcPr>
          <w:p w14:paraId="3D377E59" w14:textId="039D24C6"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Jianhui Zhang</w:t>
            </w:r>
          </w:p>
        </w:tc>
      </w:tr>
      <w:tr w:rsidR="007F76D7" w:rsidRPr="00C55E98" w14:paraId="28B1A9EA" w14:textId="77777777" w:rsidTr="00C55E98">
        <w:trPr>
          <w:trHeight w:val="300"/>
        </w:trPr>
        <w:tc>
          <w:tcPr>
            <w:tcW w:w="4268" w:type="dxa"/>
            <w:tcBorders>
              <w:top w:val="nil"/>
              <w:left w:val="nil"/>
              <w:bottom w:val="nil"/>
              <w:right w:val="nil"/>
            </w:tcBorders>
            <w:shd w:val="clear" w:color="auto" w:fill="auto"/>
            <w:noWrap/>
            <w:vAlign w:val="bottom"/>
          </w:tcPr>
          <w:p w14:paraId="5ECAE4A0" w14:textId="4D22FFE4"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Jillian Huweart - Apex</w:t>
            </w:r>
          </w:p>
        </w:tc>
      </w:tr>
      <w:tr w:rsidR="007F76D7" w:rsidRPr="00C55E98" w14:paraId="49C289F7" w14:textId="77777777" w:rsidTr="00C55E98">
        <w:trPr>
          <w:trHeight w:val="300"/>
        </w:trPr>
        <w:tc>
          <w:tcPr>
            <w:tcW w:w="4268" w:type="dxa"/>
            <w:tcBorders>
              <w:top w:val="nil"/>
              <w:left w:val="nil"/>
              <w:bottom w:val="nil"/>
              <w:right w:val="nil"/>
            </w:tcBorders>
            <w:shd w:val="clear" w:color="auto" w:fill="auto"/>
            <w:noWrap/>
            <w:vAlign w:val="bottom"/>
          </w:tcPr>
          <w:p w14:paraId="42D03D0A" w14:textId="1BD570B6"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JK</w:t>
            </w:r>
          </w:p>
        </w:tc>
      </w:tr>
      <w:tr w:rsidR="007F76D7" w:rsidRPr="00C55E98" w14:paraId="22A8AFF2" w14:textId="77777777" w:rsidTr="00C55E98">
        <w:trPr>
          <w:trHeight w:val="300"/>
        </w:trPr>
        <w:tc>
          <w:tcPr>
            <w:tcW w:w="4268" w:type="dxa"/>
            <w:tcBorders>
              <w:top w:val="nil"/>
              <w:left w:val="nil"/>
              <w:bottom w:val="nil"/>
              <w:right w:val="nil"/>
            </w:tcBorders>
            <w:shd w:val="clear" w:color="auto" w:fill="auto"/>
            <w:noWrap/>
            <w:vAlign w:val="bottom"/>
          </w:tcPr>
          <w:p w14:paraId="4733A0B2" w14:textId="5978AD46"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Joanna</w:t>
            </w:r>
          </w:p>
        </w:tc>
      </w:tr>
      <w:tr w:rsidR="00C55E98" w:rsidRPr="00C55E98" w14:paraId="4C953162" w14:textId="77777777" w:rsidTr="00C55E98">
        <w:trPr>
          <w:trHeight w:val="300"/>
        </w:trPr>
        <w:tc>
          <w:tcPr>
            <w:tcW w:w="4268" w:type="dxa"/>
            <w:tcBorders>
              <w:top w:val="nil"/>
              <w:left w:val="nil"/>
              <w:bottom w:val="nil"/>
              <w:right w:val="nil"/>
            </w:tcBorders>
            <w:shd w:val="clear" w:color="auto" w:fill="auto"/>
            <w:noWrap/>
            <w:vAlign w:val="bottom"/>
            <w:hideMark/>
          </w:tcPr>
          <w:p w14:paraId="32499992"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John Childress - kWantix</w:t>
            </w:r>
          </w:p>
        </w:tc>
      </w:tr>
      <w:tr w:rsidR="007F76D7" w:rsidRPr="00C55E98" w14:paraId="6F0AD606" w14:textId="77777777" w:rsidTr="00C55E98">
        <w:trPr>
          <w:trHeight w:val="300"/>
        </w:trPr>
        <w:tc>
          <w:tcPr>
            <w:tcW w:w="4268" w:type="dxa"/>
            <w:tcBorders>
              <w:top w:val="nil"/>
              <w:left w:val="nil"/>
              <w:bottom w:val="nil"/>
              <w:right w:val="nil"/>
            </w:tcBorders>
            <w:shd w:val="clear" w:color="auto" w:fill="auto"/>
            <w:noWrap/>
            <w:vAlign w:val="bottom"/>
          </w:tcPr>
          <w:p w14:paraId="56A0B9F5" w14:textId="655FDB88"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John Poole</w:t>
            </w:r>
          </w:p>
        </w:tc>
      </w:tr>
      <w:tr w:rsidR="00C55E98" w:rsidRPr="00C55E98" w14:paraId="5EF60808" w14:textId="77777777" w:rsidTr="00C55E98">
        <w:trPr>
          <w:trHeight w:val="300"/>
        </w:trPr>
        <w:tc>
          <w:tcPr>
            <w:tcW w:w="4268" w:type="dxa"/>
            <w:tcBorders>
              <w:top w:val="nil"/>
              <w:left w:val="nil"/>
              <w:bottom w:val="nil"/>
              <w:right w:val="nil"/>
            </w:tcBorders>
            <w:shd w:val="clear" w:color="auto" w:fill="auto"/>
            <w:noWrap/>
            <w:vAlign w:val="bottom"/>
            <w:hideMark/>
          </w:tcPr>
          <w:p w14:paraId="1294510D" w14:textId="19DCFB4E"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John Ritch</w:t>
            </w:r>
            <w:r w:rsidR="007F76D7">
              <w:rPr>
                <w:rFonts w:ascii="Calibri" w:eastAsia="Times New Roman" w:hAnsi="Calibri" w:cs="Calibri"/>
                <w:color w:val="000000"/>
                <w:kern w:val="0"/>
                <w14:ligatures w14:val="none"/>
              </w:rPr>
              <w:t xml:space="preserve"> – Trafigura</w:t>
            </w:r>
          </w:p>
        </w:tc>
      </w:tr>
      <w:tr w:rsidR="00C55E98" w:rsidRPr="00C55E98" w14:paraId="1536265B" w14:textId="77777777" w:rsidTr="00C55E98">
        <w:trPr>
          <w:trHeight w:val="300"/>
        </w:trPr>
        <w:tc>
          <w:tcPr>
            <w:tcW w:w="4268" w:type="dxa"/>
            <w:tcBorders>
              <w:top w:val="nil"/>
              <w:left w:val="nil"/>
              <w:bottom w:val="nil"/>
              <w:right w:val="nil"/>
            </w:tcBorders>
            <w:shd w:val="clear" w:color="auto" w:fill="auto"/>
            <w:noWrap/>
            <w:vAlign w:val="bottom"/>
            <w:hideMark/>
          </w:tcPr>
          <w:p w14:paraId="3B99C562" w14:textId="39075CFE" w:rsidR="00C55E98"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John Vara – GSEC</w:t>
            </w:r>
          </w:p>
        </w:tc>
      </w:tr>
      <w:tr w:rsidR="007F76D7" w:rsidRPr="00C55E98" w14:paraId="038EDBD0" w14:textId="77777777" w:rsidTr="00C55E98">
        <w:trPr>
          <w:trHeight w:val="300"/>
        </w:trPr>
        <w:tc>
          <w:tcPr>
            <w:tcW w:w="4268" w:type="dxa"/>
            <w:tcBorders>
              <w:top w:val="nil"/>
              <w:left w:val="nil"/>
              <w:bottom w:val="nil"/>
              <w:right w:val="nil"/>
            </w:tcBorders>
            <w:shd w:val="clear" w:color="auto" w:fill="auto"/>
            <w:noWrap/>
            <w:vAlign w:val="bottom"/>
          </w:tcPr>
          <w:p w14:paraId="3BDC0A95" w14:textId="6ABE7A65"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Kevin Godly</w:t>
            </w:r>
          </w:p>
        </w:tc>
      </w:tr>
      <w:tr w:rsidR="00C55E98" w:rsidRPr="00C55E98" w14:paraId="501F97AB" w14:textId="77777777" w:rsidTr="00C55E98">
        <w:trPr>
          <w:trHeight w:val="300"/>
        </w:trPr>
        <w:tc>
          <w:tcPr>
            <w:tcW w:w="4268" w:type="dxa"/>
            <w:tcBorders>
              <w:top w:val="nil"/>
              <w:left w:val="nil"/>
              <w:bottom w:val="nil"/>
              <w:right w:val="nil"/>
            </w:tcBorders>
            <w:shd w:val="clear" w:color="auto" w:fill="auto"/>
            <w:noWrap/>
            <w:vAlign w:val="bottom"/>
            <w:hideMark/>
          </w:tcPr>
          <w:p w14:paraId="56713588" w14:textId="599EF270" w:rsidR="00C55E98"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Kevin Hanson – National Grid</w:t>
            </w:r>
          </w:p>
        </w:tc>
      </w:tr>
      <w:tr w:rsidR="00C55E98" w:rsidRPr="00C55E98" w14:paraId="13F40153" w14:textId="77777777" w:rsidTr="00C55E98">
        <w:trPr>
          <w:trHeight w:val="300"/>
        </w:trPr>
        <w:tc>
          <w:tcPr>
            <w:tcW w:w="4268" w:type="dxa"/>
            <w:tcBorders>
              <w:top w:val="nil"/>
              <w:left w:val="nil"/>
              <w:bottom w:val="nil"/>
              <w:right w:val="nil"/>
            </w:tcBorders>
            <w:shd w:val="clear" w:color="auto" w:fill="auto"/>
            <w:noWrap/>
            <w:vAlign w:val="bottom"/>
            <w:hideMark/>
          </w:tcPr>
          <w:p w14:paraId="670A5F39"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Kristy Ashley - CES</w:t>
            </w:r>
          </w:p>
        </w:tc>
      </w:tr>
      <w:tr w:rsidR="007F76D7" w:rsidRPr="00C55E98" w14:paraId="2810EE65" w14:textId="77777777" w:rsidTr="00C55E98">
        <w:trPr>
          <w:trHeight w:val="300"/>
        </w:trPr>
        <w:tc>
          <w:tcPr>
            <w:tcW w:w="4268" w:type="dxa"/>
            <w:tcBorders>
              <w:top w:val="nil"/>
              <w:left w:val="nil"/>
              <w:bottom w:val="nil"/>
              <w:right w:val="nil"/>
            </w:tcBorders>
            <w:shd w:val="clear" w:color="auto" w:fill="auto"/>
            <w:noWrap/>
            <w:vAlign w:val="bottom"/>
          </w:tcPr>
          <w:p w14:paraId="2204AA96" w14:textId="04ECB18A" w:rsidR="007F76D7"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Larisa Loyferman</w:t>
            </w:r>
          </w:p>
        </w:tc>
      </w:tr>
      <w:tr w:rsidR="00C55E98" w:rsidRPr="00C55E98" w14:paraId="3E5A002F" w14:textId="77777777" w:rsidTr="00C55E98">
        <w:trPr>
          <w:trHeight w:val="300"/>
        </w:trPr>
        <w:tc>
          <w:tcPr>
            <w:tcW w:w="4268" w:type="dxa"/>
            <w:tcBorders>
              <w:top w:val="nil"/>
              <w:left w:val="nil"/>
              <w:bottom w:val="nil"/>
              <w:right w:val="nil"/>
            </w:tcBorders>
            <w:shd w:val="clear" w:color="auto" w:fill="auto"/>
            <w:noWrap/>
            <w:vAlign w:val="bottom"/>
            <w:hideMark/>
          </w:tcPr>
          <w:p w14:paraId="12E38B0C"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LCRA TSC - Andrew Hamann</w:t>
            </w:r>
          </w:p>
        </w:tc>
      </w:tr>
      <w:tr w:rsidR="00C55E98" w:rsidRPr="00C55E98" w14:paraId="4C3F12EE" w14:textId="77777777" w:rsidTr="00C55E98">
        <w:trPr>
          <w:trHeight w:val="300"/>
        </w:trPr>
        <w:tc>
          <w:tcPr>
            <w:tcW w:w="4268" w:type="dxa"/>
            <w:tcBorders>
              <w:top w:val="nil"/>
              <w:left w:val="nil"/>
              <w:bottom w:val="nil"/>
              <w:right w:val="nil"/>
            </w:tcBorders>
            <w:shd w:val="clear" w:color="auto" w:fill="auto"/>
            <w:noWrap/>
            <w:vAlign w:val="bottom"/>
            <w:hideMark/>
          </w:tcPr>
          <w:p w14:paraId="1DC5E717"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LCRA TSC - Dylan Preas</w:t>
            </w:r>
          </w:p>
        </w:tc>
      </w:tr>
      <w:tr w:rsidR="00C55E98" w:rsidRPr="00C55E98" w14:paraId="4C96C185" w14:textId="77777777" w:rsidTr="00C55E98">
        <w:trPr>
          <w:trHeight w:val="300"/>
        </w:trPr>
        <w:tc>
          <w:tcPr>
            <w:tcW w:w="4268" w:type="dxa"/>
            <w:tcBorders>
              <w:top w:val="nil"/>
              <w:left w:val="nil"/>
              <w:bottom w:val="nil"/>
              <w:right w:val="nil"/>
            </w:tcBorders>
            <w:shd w:val="clear" w:color="auto" w:fill="auto"/>
            <w:noWrap/>
            <w:vAlign w:val="bottom"/>
            <w:hideMark/>
          </w:tcPr>
          <w:p w14:paraId="35104794" w14:textId="140F5198" w:rsidR="00C55E98"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Yanling Lin</w:t>
            </w:r>
          </w:p>
        </w:tc>
      </w:tr>
      <w:tr w:rsidR="00C55E98" w:rsidRPr="00C55E98" w14:paraId="43AB0880" w14:textId="77777777" w:rsidTr="00C55E98">
        <w:trPr>
          <w:trHeight w:val="300"/>
        </w:trPr>
        <w:tc>
          <w:tcPr>
            <w:tcW w:w="4268" w:type="dxa"/>
            <w:tcBorders>
              <w:top w:val="nil"/>
              <w:left w:val="nil"/>
              <w:bottom w:val="nil"/>
              <w:right w:val="nil"/>
            </w:tcBorders>
            <w:shd w:val="clear" w:color="auto" w:fill="auto"/>
            <w:noWrap/>
            <w:vAlign w:val="bottom"/>
            <w:hideMark/>
          </w:tcPr>
          <w:p w14:paraId="4E8AF377" w14:textId="051A47F5" w:rsidR="00C55E98" w:rsidRPr="00C55E98" w:rsidRDefault="007F76D7"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Meng Liu</w:t>
            </w:r>
          </w:p>
        </w:tc>
      </w:tr>
      <w:tr w:rsidR="00C55E98" w:rsidRPr="00C55E98" w14:paraId="7DE103FA" w14:textId="77777777" w:rsidTr="00C55E98">
        <w:trPr>
          <w:trHeight w:val="300"/>
        </w:trPr>
        <w:tc>
          <w:tcPr>
            <w:tcW w:w="4268" w:type="dxa"/>
            <w:tcBorders>
              <w:top w:val="nil"/>
              <w:left w:val="nil"/>
              <w:bottom w:val="nil"/>
              <w:right w:val="nil"/>
            </w:tcBorders>
            <w:shd w:val="clear" w:color="auto" w:fill="auto"/>
            <w:noWrap/>
            <w:vAlign w:val="bottom"/>
            <w:hideMark/>
          </w:tcPr>
          <w:p w14:paraId="10A0A4DA"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Long Tran</w:t>
            </w:r>
          </w:p>
        </w:tc>
      </w:tr>
      <w:tr w:rsidR="00C55E98" w:rsidRPr="00C55E98" w14:paraId="1B866140" w14:textId="77777777" w:rsidTr="00C55E98">
        <w:trPr>
          <w:trHeight w:val="300"/>
        </w:trPr>
        <w:tc>
          <w:tcPr>
            <w:tcW w:w="4268" w:type="dxa"/>
            <w:tcBorders>
              <w:top w:val="nil"/>
              <w:left w:val="nil"/>
              <w:bottom w:val="nil"/>
              <w:right w:val="nil"/>
            </w:tcBorders>
            <w:shd w:val="clear" w:color="auto" w:fill="auto"/>
            <w:noWrap/>
            <w:vAlign w:val="bottom"/>
            <w:hideMark/>
          </w:tcPr>
          <w:p w14:paraId="16CB97AC" w14:textId="64CE1429"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Mariah Benson – TPPA</w:t>
            </w:r>
          </w:p>
        </w:tc>
      </w:tr>
      <w:tr w:rsidR="00C55E98" w:rsidRPr="00C55E98" w14:paraId="75ACB617" w14:textId="77777777" w:rsidTr="00C55E98">
        <w:trPr>
          <w:trHeight w:val="300"/>
        </w:trPr>
        <w:tc>
          <w:tcPr>
            <w:tcW w:w="4268" w:type="dxa"/>
            <w:tcBorders>
              <w:top w:val="nil"/>
              <w:left w:val="nil"/>
              <w:bottom w:val="nil"/>
              <w:right w:val="nil"/>
            </w:tcBorders>
            <w:shd w:val="clear" w:color="auto" w:fill="auto"/>
            <w:noWrap/>
            <w:vAlign w:val="bottom"/>
            <w:hideMark/>
          </w:tcPr>
          <w:p w14:paraId="0D4D9DD5" w14:textId="4C02B1A5"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Mark Dreyufus</w:t>
            </w:r>
          </w:p>
        </w:tc>
      </w:tr>
      <w:tr w:rsidR="00C55E98" w:rsidRPr="00C55E98" w14:paraId="06152D79" w14:textId="77777777" w:rsidTr="00C55E98">
        <w:trPr>
          <w:trHeight w:val="300"/>
        </w:trPr>
        <w:tc>
          <w:tcPr>
            <w:tcW w:w="4268" w:type="dxa"/>
            <w:tcBorders>
              <w:top w:val="nil"/>
              <w:left w:val="nil"/>
              <w:bottom w:val="nil"/>
              <w:right w:val="nil"/>
            </w:tcBorders>
            <w:shd w:val="clear" w:color="auto" w:fill="auto"/>
            <w:noWrap/>
            <w:vAlign w:val="bottom"/>
            <w:hideMark/>
          </w:tcPr>
          <w:p w14:paraId="15D4217B"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Martha Henson - Oncor</w:t>
            </w:r>
          </w:p>
        </w:tc>
      </w:tr>
      <w:tr w:rsidR="00D80B6F" w:rsidRPr="00C55E98" w14:paraId="04952BD6" w14:textId="77777777" w:rsidTr="00C55E98">
        <w:trPr>
          <w:trHeight w:val="300"/>
        </w:trPr>
        <w:tc>
          <w:tcPr>
            <w:tcW w:w="4268" w:type="dxa"/>
            <w:tcBorders>
              <w:top w:val="nil"/>
              <w:left w:val="nil"/>
              <w:bottom w:val="nil"/>
              <w:right w:val="nil"/>
            </w:tcBorders>
            <w:shd w:val="clear" w:color="auto" w:fill="auto"/>
            <w:noWrap/>
            <w:vAlign w:val="bottom"/>
          </w:tcPr>
          <w:p w14:paraId="7AD626A3" w14:textId="141E73D2" w:rsidR="00D80B6F"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Martina Sittler</w:t>
            </w:r>
          </w:p>
        </w:tc>
      </w:tr>
      <w:tr w:rsidR="00C55E98" w:rsidRPr="00C55E98" w14:paraId="078B4A30" w14:textId="77777777" w:rsidTr="00C55E98">
        <w:trPr>
          <w:trHeight w:val="300"/>
        </w:trPr>
        <w:tc>
          <w:tcPr>
            <w:tcW w:w="4268" w:type="dxa"/>
            <w:tcBorders>
              <w:top w:val="nil"/>
              <w:left w:val="nil"/>
              <w:bottom w:val="nil"/>
              <w:right w:val="nil"/>
            </w:tcBorders>
            <w:shd w:val="clear" w:color="auto" w:fill="auto"/>
            <w:noWrap/>
            <w:vAlign w:val="bottom"/>
            <w:hideMark/>
          </w:tcPr>
          <w:p w14:paraId="757E40DD"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Marty Downey / Luminant Corporation</w:t>
            </w:r>
          </w:p>
        </w:tc>
      </w:tr>
      <w:tr w:rsidR="00C55E98" w:rsidRPr="00C55E98" w14:paraId="5ABCEDA6" w14:textId="77777777" w:rsidTr="00C55E98">
        <w:trPr>
          <w:trHeight w:val="300"/>
        </w:trPr>
        <w:tc>
          <w:tcPr>
            <w:tcW w:w="4268" w:type="dxa"/>
            <w:tcBorders>
              <w:top w:val="nil"/>
              <w:left w:val="nil"/>
              <w:bottom w:val="nil"/>
              <w:right w:val="nil"/>
            </w:tcBorders>
            <w:shd w:val="clear" w:color="auto" w:fill="auto"/>
            <w:noWrap/>
            <w:vAlign w:val="bottom"/>
            <w:hideMark/>
          </w:tcPr>
          <w:p w14:paraId="05A9B622" w14:textId="0BEB9CFD"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Maribel Murillo</w:t>
            </w:r>
          </w:p>
        </w:tc>
      </w:tr>
      <w:tr w:rsidR="00C55E98" w:rsidRPr="00C55E98" w14:paraId="768865D3" w14:textId="77777777" w:rsidTr="00C55E98">
        <w:trPr>
          <w:trHeight w:val="300"/>
        </w:trPr>
        <w:tc>
          <w:tcPr>
            <w:tcW w:w="4268" w:type="dxa"/>
            <w:tcBorders>
              <w:top w:val="nil"/>
              <w:left w:val="nil"/>
              <w:bottom w:val="nil"/>
              <w:right w:val="nil"/>
            </w:tcBorders>
            <w:shd w:val="clear" w:color="auto" w:fill="auto"/>
            <w:noWrap/>
            <w:vAlign w:val="bottom"/>
            <w:hideMark/>
          </w:tcPr>
          <w:p w14:paraId="486F7280" w14:textId="57B255FF"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Neeraj Vijay Bedmutha</w:t>
            </w:r>
          </w:p>
        </w:tc>
      </w:tr>
      <w:tr w:rsidR="00C55E98" w:rsidRPr="00C55E98" w14:paraId="355A7A85" w14:textId="77777777" w:rsidTr="00C55E98">
        <w:trPr>
          <w:trHeight w:val="300"/>
        </w:trPr>
        <w:tc>
          <w:tcPr>
            <w:tcW w:w="4268" w:type="dxa"/>
            <w:tcBorders>
              <w:top w:val="nil"/>
              <w:left w:val="nil"/>
              <w:bottom w:val="nil"/>
              <w:right w:val="nil"/>
            </w:tcBorders>
            <w:shd w:val="clear" w:color="auto" w:fill="auto"/>
            <w:noWrap/>
            <w:vAlign w:val="bottom"/>
            <w:hideMark/>
          </w:tcPr>
          <w:p w14:paraId="69B73ADF" w14:textId="7D49D8DD"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Neeraja Dharme – EDFT</w:t>
            </w:r>
          </w:p>
        </w:tc>
      </w:tr>
      <w:tr w:rsidR="00C55E98" w:rsidRPr="00C55E98" w14:paraId="03616DFE" w14:textId="77777777" w:rsidTr="00C55E98">
        <w:trPr>
          <w:trHeight w:val="300"/>
        </w:trPr>
        <w:tc>
          <w:tcPr>
            <w:tcW w:w="4268" w:type="dxa"/>
            <w:tcBorders>
              <w:top w:val="nil"/>
              <w:left w:val="nil"/>
              <w:bottom w:val="nil"/>
              <w:right w:val="nil"/>
            </w:tcBorders>
            <w:shd w:val="clear" w:color="auto" w:fill="auto"/>
            <w:noWrap/>
            <w:vAlign w:val="bottom"/>
            <w:hideMark/>
          </w:tcPr>
          <w:p w14:paraId="6F71FF70" w14:textId="307EA6E0"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Nicholas Jowlabar – RWE</w:t>
            </w:r>
          </w:p>
        </w:tc>
      </w:tr>
      <w:tr w:rsidR="00C55E98" w:rsidRPr="00C55E98" w14:paraId="20A9FE73" w14:textId="77777777" w:rsidTr="00C55E98">
        <w:trPr>
          <w:trHeight w:val="300"/>
        </w:trPr>
        <w:tc>
          <w:tcPr>
            <w:tcW w:w="4268" w:type="dxa"/>
            <w:tcBorders>
              <w:top w:val="nil"/>
              <w:left w:val="nil"/>
              <w:bottom w:val="nil"/>
              <w:right w:val="nil"/>
            </w:tcBorders>
            <w:shd w:val="clear" w:color="auto" w:fill="auto"/>
            <w:noWrap/>
            <w:vAlign w:val="bottom"/>
            <w:hideMark/>
          </w:tcPr>
          <w:p w14:paraId="6AE9A69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Parvathaneni, Sirisha</w:t>
            </w:r>
          </w:p>
        </w:tc>
      </w:tr>
      <w:tr w:rsidR="00C55E98" w:rsidRPr="00C55E98" w14:paraId="12686282" w14:textId="77777777" w:rsidTr="00C55E98">
        <w:trPr>
          <w:trHeight w:val="300"/>
        </w:trPr>
        <w:tc>
          <w:tcPr>
            <w:tcW w:w="4268" w:type="dxa"/>
            <w:tcBorders>
              <w:top w:val="nil"/>
              <w:left w:val="nil"/>
              <w:bottom w:val="nil"/>
              <w:right w:val="nil"/>
            </w:tcBorders>
            <w:shd w:val="clear" w:color="auto" w:fill="auto"/>
            <w:noWrap/>
            <w:vAlign w:val="bottom"/>
            <w:hideMark/>
          </w:tcPr>
          <w:p w14:paraId="34934FC7" w14:textId="30C26FB0"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Pranil Walke Calpine</w:t>
            </w:r>
          </w:p>
        </w:tc>
      </w:tr>
      <w:tr w:rsidR="00C55E98" w:rsidRPr="00C55E98" w14:paraId="5EC1F5A6" w14:textId="77777777" w:rsidTr="00C55E98">
        <w:trPr>
          <w:trHeight w:val="300"/>
        </w:trPr>
        <w:tc>
          <w:tcPr>
            <w:tcW w:w="4268" w:type="dxa"/>
            <w:tcBorders>
              <w:top w:val="nil"/>
              <w:left w:val="nil"/>
              <w:bottom w:val="nil"/>
              <w:right w:val="nil"/>
            </w:tcBorders>
            <w:shd w:val="clear" w:color="auto" w:fill="auto"/>
            <w:noWrap/>
            <w:vAlign w:val="bottom"/>
            <w:hideMark/>
          </w:tcPr>
          <w:p w14:paraId="4997C734"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Raja Kakarla CNP</w:t>
            </w:r>
          </w:p>
        </w:tc>
      </w:tr>
      <w:tr w:rsidR="00C55E98" w:rsidRPr="00C55E98" w14:paraId="7556830F" w14:textId="77777777" w:rsidTr="00C55E98">
        <w:trPr>
          <w:trHeight w:val="300"/>
        </w:trPr>
        <w:tc>
          <w:tcPr>
            <w:tcW w:w="4268" w:type="dxa"/>
            <w:tcBorders>
              <w:top w:val="nil"/>
              <w:left w:val="nil"/>
              <w:bottom w:val="nil"/>
              <w:right w:val="nil"/>
            </w:tcBorders>
            <w:shd w:val="clear" w:color="auto" w:fill="auto"/>
            <w:noWrap/>
            <w:vAlign w:val="bottom"/>
            <w:hideMark/>
          </w:tcPr>
          <w:p w14:paraId="51F9C063" w14:textId="76EA3991"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Ramya Ramaswamy - PUCT</w:t>
            </w:r>
          </w:p>
        </w:tc>
      </w:tr>
      <w:tr w:rsidR="00C55E98" w:rsidRPr="00C55E98" w14:paraId="6C9FB997" w14:textId="77777777" w:rsidTr="00C55E98">
        <w:trPr>
          <w:trHeight w:val="300"/>
        </w:trPr>
        <w:tc>
          <w:tcPr>
            <w:tcW w:w="4268" w:type="dxa"/>
            <w:tcBorders>
              <w:top w:val="nil"/>
              <w:left w:val="nil"/>
              <w:bottom w:val="nil"/>
              <w:right w:val="nil"/>
            </w:tcBorders>
            <w:shd w:val="clear" w:color="auto" w:fill="auto"/>
            <w:noWrap/>
            <w:vAlign w:val="bottom"/>
            <w:hideMark/>
          </w:tcPr>
          <w:p w14:paraId="12EEC246" w14:textId="509C2077"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Regan Fink</w:t>
            </w:r>
          </w:p>
        </w:tc>
      </w:tr>
      <w:tr w:rsidR="00C55E98" w:rsidRPr="00C55E98" w14:paraId="796017BF" w14:textId="77777777" w:rsidTr="00C55E98">
        <w:trPr>
          <w:trHeight w:val="300"/>
        </w:trPr>
        <w:tc>
          <w:tcPr>
            <w:tcW w:w="4268" w:type="dxa"/>
            <w:tcBorders>
              <w:top w:val="nil"/>
              <w:left w:val="nil"/>
              <w:bottom w:val="nil"/>
              <w:right w:val="nil"/>
            </w:tcBorders>
            <w:shd w:val="clear" w:color="auto" w:fill="auto"/>
            <w:noWrap/>
            <w:vAlign w:val="bottom"/>
            <w:hideMark/>
          </w:tcPr>
          <w:p w14:paraId="469FBE9B" w14:textId="58447407"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Ryan Pfefferle – Occidental Chemical</w:t>
            </w:r>
          </w:p>
        </w:tc>
      </w:tr>
      <w:tr w:rsidR="00C55E98" w:rsidRPr="00C55E98" w14:paraId="0D23E65D" w14:textId="77777777" w:rsidTr="00C55E98">
        <w:trPr>
          <w:trHeight w:val="300"/>
        </w:trPr>
        <w:tc>
          <w:tcPr>
            <w:tcW w:w="4268" w:type="dxa"/>
            <w:tcBorders>
              <w:top w:val="nil"/>
              <w:left w:val="nil"/>
              <w:bottom w:val="nil"/>
              <w:right w:val="nil"/>
            </w:tcBorders>
            <w:shd w:val="clear" w:color="auto" w:fill="auto"/>
            <w:noWrap/>
            <w:vAlign w:val="bottom"/>
            <w:hideMark/>
          </w:tcPr>
          <w:p w14:paraId="767BF99D" w14:textId="2DBD735A"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Senen Paule – Luminant Energy</w:t>
            </w:r>
          </w:p>
        </w:tc>
      </w:tr>
      <w:tr w:rsidR="00C55E98" w:rsidRPr="00C55E98" w14:paraId="5283B991" w14:textId="77777777" w:rsidTr="00C55E98">
        <w:trPr>
          <w:trHeight w:val="300"/>
        </w:trPr>
        <w:tc>
          <w:tcPr>
            <w:tcW w:w="4268" w:type="dxa"/>
            <w:tcBorders>
              <w:top w:val="nil"/>
              <w:left w:val="nil"/>
              <w:bottom w:val="nil"/>
              <w:right w:val="nil"/>
            </w:tcBorders>
            <w:shd w:val="clear" w:color="auto" w:fill="auto"/>
            <w:noWrap/>
            <w:vAlign w:val="bottom"/>
            <w:hideMark/>
          </w:tcPr>
          <w:p w14:paraId="354927AC" w14:textId="4DBFEB55"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Seth Cochran – DC Energy</w:t>
            </w:r>
          </w:p>
        </w:tc>
      </w:tr>
      <w:tr w:rsidR="00C55E98" w:rsidRPr="00C55E98" w14:paraId="27286FF5" w14:textId="77777777" w:rsidTr="00C55E98">
        <w:trPr>
          <w:trHeight w:val="300"/>
        </w:trPr>
        <w:tc>
          <w:tcPr>
            <w:tcW w:w="4268" w:type="dxa"/>
            <w:tcBorders>
              <w:top w:val="nil"/>
              <w:left w:val="nil"/>
              <w:bottom w:val="nil"/>
              <w:right w:val="nil"/>
            </w:tcBorders>
            <w:shd w:val="clear" w:color="auto" w:fill="auto"/>
            <w:noWrap/>
            <w:vAlign w:val="bottom"/>
            <w:hideMark/>
          </w:tcPr>
          <w:p w14:paraId="2272BF7A" w14:textId="2443F40A"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Sidart Deb – LCG Consulting</w:t>
            </w:r>
          </w:p>
        </w:tc>
      </w:tr>
      <w:tr w:rsidR="00C55E98" w:rsidRPr="00C55E98" w14:paraId="4424A921" w14:textId="77777777" w:rsidTr="00C55E98">
        <w:trPr>
          <w:trHeight w:val="300"/>
        </w:trPr>
        <w:tc>
          <w:tcPr>
            <w:tcW w:w="4268" w:type="dxa"/>
            <w:tcBorders>
              <w:top w:val="nil"/>
              <w:left w:val="nil"/>
              <w:bottom w:val="nil"/>
              <w:right w:val="nil"/>
            </w:tcBorders>
            <w:shd w:val="clear" w:color="auto" w:fill="auto"/>
            <w:noWrap/>
            <w:vAlign w:val="bottom"/>
            <w:hideMark/>
          </w:tcPr>
          <w:p w14:paraId="6577E8A3"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lastRenderedPageBreak/>
              <w:t>Suzi McClellan</w:t>
            </w:r>
          </w:p>
        </w:tc>
      </w:tr>
      <w:tr w:rsidR="00C55E98" w:rsidRPr="00C55E98" w14:paraId="3D5026D1" w14:textId="77777777" w:rsidTr="00C55E98">
        <w:trPr>
          <w:trHeight w:val="300"/>
        </w:trPr>
        <w:tc>
          <w:tcPr>
            <w:tcW w:w="4268" w:type="dxa"/>
            <w:tcBorders>
              <w:top w:val="nil"/>
              <w:left w:val="nil"/>
              <w:bottom w:val="nil"/>
              <w:right w:val="nil"/>
            </w:tcBorders>
            <w:shd w:val="clear" w:color="auto" w:fill="auto"/>
            <w:noWrap/>
            <w:vAlign w:val="bottom"/>
            <w:hideMark/>
          </w:tcPr>
          <w:p w14:paraId="4D7930C0" w14:textId="5D9D69BD" w:rsidR="00C55E98"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Thuy Huynh</w:t>
            </w:r>
          </w:p>
        </w:tc>
      </w:tr>
      <w:tr w:rsidR="00C55E98" w:rsidRPr="00C55E98" w14:paraId="33207F8A" w14:textId="77777777" w:rsidTr="00C55E98">
        <w:trPr>
          <w:trHeight w:val="300"/>
        </w:trPr>
        <w:tc>
          <w:tcPr>
            <w:tcW w:w="4268" w:type="dxa"/>
            <w:tcBorders>
              <w:top w:val="nil"/>
              <w:left w:val="nil"/>
              <w:bottom w:val="nil"/>
              <w:right w:val="nil"/>
            </w:tcBorders>
            <w:shd w:val="clear" w:color="auto" w:fill="auto"/>
            <w:noWrap/>
            <w:vAlign w:val="bottom"/>
            <w:hideMark/>
          </w:tcPr>
          <w:p w14:paraId="46EDFD70" w14:textId="38FB7FB7" w:rsidR="00C55E98" w:rsidRPr="00C55E98" w:rsidRDefault="006C651E"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Matt Tovar</w:t>
            </w:r>
          </w:p>
        </w:tc>
      </w:tr>
      <w:tr w:rsidR="00C55E98" w:rsidRPr="00C55E98" w14:paraId="5E0E4310" w14:textId="77777777" w:rsidTr="00C55E98">
        <w:trPr>
          <w:trHeight w:val="300"/>
        </w:trPr>
        <w:tc>
          <w:tcPr>
            <w:tcW w:w="4268" w:type="dxa"/>
            <w:tcBorders>
              <w:top w:val="nil"/>
              <w:left w:val="nil"/>
              <w:bottom w:val="nil"/>
              <w:right w:val="nil"/>
            </w:tcBorders>
            <w:shd w:val="clear" w:color="auto" w:fill="auto"/>
            <w:noWrap/>
            <w:vAlign w:val="bottom"/>
            <w:hideMark/>
          </w:tcPr>
          <w:p w14:paraId="50B8D69E" w14:textId="77777777"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Ward Jablonski MEPPI</w:t>
            </w:r>
          </w:p>
        </w:tc>
      </w:tr>
      <w:tr w:rsidR="00C55E98" w:rsidRPr="00C55E98" w14:paraId="13AFF3F1" w14:textId="77777777" w:rsidTr="00C55E98">
        <w:trPr>
          <w:trHeight w:val="300"/>
        </w:trPr>
        <w:tc>
          <w:tcPr>
            <w:tcW w:w="4268" w:type="dxa"/>
            <w:tcBorders>
              <w:top w:val="nil"/>
              <w:left w:val="nil"/>
              <w:bottom w:val="nil"/>
              <w:right w:val="nil"/>
            </w:tcBorders>
            <w:shd w:val="clear" w:color="auto" w:fill="auto"/>
            <w:noWrap/>
            <w:vAlign w:val="bottom"/>
            <w:hideMark/>
          </w:tcPr>
          <w:p w14:paraId="642FAA95" w14:textId="5DDCCD45" w:rsidR="00C55E98" w:rsidRPr="00C55E98" w:rsidRDefault="00C55E98" w:rsidP="00C55E98">
            <w:pPr>
              <w:spacing w:after="0" w:line="240" w:lineRule="auto"/>
              <w:rPr>
                <w:rFonts w:ascii="Calibri" w:eastAsia="Times New Roman" w:hAnsi="Calibri" w:cs="Calibri"/>
                <w:color w:val="000000"/>
                <w:kern w:val="0"/>
                <w14:ligatures w14:val="none"/>
              </w:rPr>
            </w:pPr>
            <w:r w:rsidRPr="00C55E98">
              <w:rPr>
                <w:rFonts w:ascii="Calibri" w:eastAsia="Times New Roman" w:hAnsi="Calibri" w:cs="Calibri"/>
                <w:color w:val="000000"/>
                <w:kern w:val="0"/>
                <w14:ligatures w14:val="none"/>
              </w:rPr>
              <w:t>Wes Woitt</w:t>
            </w:r>
            <w:r w:rsidR="006C651E">
              <w:rPr>
                <w:rFonts w:ascii="Calibri" w:eastAsia="Times New Roman" w:hAnsi="Calibri" w:cs="Calibri"/>
                <w:color w:val="000000"/>
                <w:kern w:val="0"/>
                <w14:ligatures w14:val="none"/>
              </w:rPr>
              <w:t xml:space="preserve"> - CNP</w:t>
            </w:r>
          </w:p>
        </w:tc>
      </w:tr>
      <w:tr w:rsidR="00D80B6F" w:rsidRPr="00C55E98" w14:paraId="6C06D747" w14:textId="77777777" w:rsidTr="00C55E98">
        <w:trPr>
          <w:trHeight w:val="300"/>
        </w:trPr>
        <w:tc>
          <w:tcPr>
            <w:tcW w:w="4268" w:type="dxa"/>
            <w:tcBorders>
              <w:top w:val="nil"/>
              <w:left w:val="nil"/>
              <w:bottom w:val="nil"/>
              <w:right w:val="nil"/>
            </w:tcBorders>
            <w:shd w:val="clear" w:color="auto" w:fill="auto"/>
            <w:noWrap/>
            <w:vAlign w:val="bottom"/>
          </w:tcPr>
          <w:p w14:paraId="25B3566A" w14:textId="7BDA2754" w:rsidR="00D80B6F"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Xiaojie Zhou</w:t>
            </w:r>
          </w:p>
        </w:tc>
      </w:tr>
      <w:tr w:rsidR="00D80B6F" w:rsidRPr="00C55E98" w14:paraId="61C3C82F" w14:textId="77777777" w:rsidTr="00C55E98">
        <w:trPr>
          <w:trHeight w:val="300"/>
        </w:trPr>
        <w:tc>
          <w:tcPr>
            <w:tcW w:w="4268" w:type="dxa"/>
            <w:tcBorders>
              <w:top w:val="nil"/>
              <w:left w:val="nil"/>
              <w:bottom w:val="nil"/>
              <w:right w:val="nil"/>
            </w:tcBorders>
            <w:shd w:val="clear" w:color="auto" w:fill="auto"/>
            <w:noWrap/>
            <w:vAlign w:val="bottom"/>
          </w:tcPr>
          <w:p w14:paraId="3AD03D13" w14:textId="5EBF0741" w:rsidR="00D80B6F" w:rsidRPr="00C55E98" w:rsidRDefault="00D80B6F" w:rsidP="00C55E98">
            <w:pPr>
              <w:spacing w:after="0" w:line="240" w:lineRule="auto"/>
              <w:rPr>
                <w:rFonts w:ascii="Calibri" w:eastAsia="Times New Roman" w:hAnsi="Calibri" w:cs="Calibri"/>
                <w:color w:val="000000"/>
                <w:kern w:val="0"/>
                <w14:ligatures w14:val="none"/>
              </w:rPr>
            </w:pPr>
            <w:r>
              <w:rPr>
                <w:rFonts w:ascii="Calibri" w:eastAsia="Times New Roman" w:hAnsi="Calibri" w:cs="Calibri"/>
                <w:color w:val="000000"/>
                <w:kern w:val="0"/>
                <w14:ligatures w14:val="none"/>
              </w:rPr>
              <w:t>Haiping Yin</w:t>
            </w:r>
          </w:p>
        </w:tc>
      </w:tr>
    </w:tbl>
    <w:p w14:paraId="4A9BA58E" w14:textId="42F522ED" w:rsidR="000B17E9" w:rsidRPr="000B17E9" w:rsidRDefault="000B17E9" w:rsidP="00675532">
      <w:pPr>
        <w:spacing w:after="0"/>
        <w:rPr>
          <w:rFonts w:ascii="Arial" w:hAnsi="Arial" w:cs="Arial"/>
          <w:kern w:val="0"/>
          <w14:ligatures w14:val="none"/>
        </w:rPr>
      </w:pPr>
    </w:p>
    <w:sectPr w:rsidR="000B17E9" w:rsidRPr="000B17E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72099"/>
    <w:multiLevelType w:val="hybridMultilevel"/>
    <w:tmpl w:val="A8C4DC9A"/>
    <w:lvl w:ilvl="0" w:tplc="83143526">
      <w:start w:val="1"/>
      <w:numFmt w:val="decimal"/>
      <w:lvlText w:val="%1."/>
      <w:lvlJc w:val="left"/>
      <w:pPr>
        <w:ind w:left="720" w:hanging="360"/>
      </w:pPr>
      <w:rPr>
        <w:b/>
        <w:bCs/>
      </w:rPr>
    </w:lvl>
    <w:lvl w:ilvl="1" w:tplc="73FE4FB4">
      <w:start w:val="1"/>
      <w:numFmt w:val="lowerLetter"/>
      <w:lvlText w:val="%2."/>
      <w:lvlJc w:val="left"/>
      <w:pPr>
        <w:ind w:left="1440" w:hanging="360"/>
      </w:pPr>
      <w:rPr>
        <w:b w:val="0"/>
        <w:bCs w:val="0"/>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6DEA059A"/>
    <w:multiLevelType w:val="hybridMultilevel"/>
    <w:tmpl w:val="7010A24C"/>
    <w:lvl w:ilvl="0" w:tplc="FFFFFFFF">
      <w:start w:val="1"/>
      <w:numFmt w:val="decimal"/>
      <w:lvlText w:val="%1."/>
      <w:lvlJc w:val="left"/>
      <w:pPr>
        <w:ind w:left="720" w:hanging="360"/>
      </w:p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start w:val="1"/>
      <w:numFmt w:val="decimal"/>
      <w:lvlText w:val="%4."/>
      <w:lvlJc w:val="left"/>
      <w:pPr>
        <w:ind w:left="2880" w:hanging="360"/>
      </w:pPr>
    </w:lvl>
    <w:lvl w:ilvl="4" w:tplc="FFFFFFFF">
      <w:start w:val="1"/>
      <w:numFmt w:val="lowerLetter"/>
      <w:lvlText w:val="%5."/>
      <w:lvlJc w:val="left"/>
      <w:pPr>
        <w:ind w:left="3600" w:hanging="360"/>
      </w:pPr>
    </w:lvl>
    <w:lvl w:ilvl="5" w:tplc="FFFFFFFF">
      <w:start w:val="1"/>
      <w:numFmt w:val="lowerRoman"/>
      <w:lvlText w:val="%6."/>
      <w:lvlJc w:val="right"/>
      <w:pPr>
        <w:ind w:left="4320" w:hanging="180"/>
      </w:pPr>
    </w:lvl>
    <w:lvl w:ilvl="6" w:tplc="FFFFFFFF">
      <w:start w:val="1"/>
      <w:numFmt w:val="decimal"/>
      <w:lvlText w:val="%7."/>
      <w:lvlJc w:val="left"/>
      <w:pPr>
        <w:ind w:left="5040" w:hanging="360"/>
      </w:pPr>
    </w:lvl>
    <w:lvl w:ilvl="7" w:tplc="FFFFFFFF">
      <w:start w:val="1"/>
      <w:numFmt w:val="lowerLetter"/>
      <w:lvlText w:val="%8."/>
      <w:lvlJc w:val="left"/>
      <w:pPr>
        <w:ind w:left="5760" w:hanging="360"/>
      </w:pPr>
    </w:lvl>
    <w:lvl w:ilvl="8" w:tplc="FFFFFFFF">
      <w:start w:val="1"/>
      <w:numFmt w:val="lowerRoman"/>
      <w:lvlText w:val="%9."/>
      <w:lvlJc w:val="right"/>
      <w:pPr>
        <w:ind w:left="6480" w:hanging="180"/>
      </w:pPr>
    </w:lvl>
  </w:abstractNum>
  <w:num w:numId="1" w16cid:durableId="824007598">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53531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55287"/>
    <w:rsid w:val="000723EC"/>
    <w:rsid w:val="000B17E9"/>
    <w:rsid w:val="00391C50"/>
    <w:rsid w:val="004152AB"/>
    <w:rsid w:val="00477D41"/>
    <w:rsid w:val="00551E59"/>
    <w:rsid w:val="00557631"/>
    <w:rsid w:val="005756EE"/>
    <w:rsid w:val="005A18CB"/>
    <w:rsid w:val="00632A5A"/>
    <w:rsid w:val="006573B9"/>
    <w:rsid w:val="00675532"/>
    <w:rsid w:val="006C0F0E"/>
    <w:rsid w:val="006C651E"/>
    <w:rsid w:val="007F76D7"/>
    <w:rsid w:val="008D7326"/>
    <w:rsid w:val="0090049D"/>
    <w:rsid w:val="00920502"/>
    <w:rsid w:val="009207EC"/>
    <w:rsid w:val="009363FD"/>
    <w:rsid w:val="009D4B3B"/>
    <w:rsid w:val="00A44BB5"/>
    <w:rsid w:val="00A955D8"/>
    <w:rsid w:val="00C55E98"/>
    <w:rsid w:val="00CD511A"/>
    <w:rsid w:val="00D55287"/>
    <w:rsid w:val="00D80B6F"/>
    <w:rsid w:val="00DA04BB"/>
    <w:rsid w:val="00E16285"/>
    <w:rsid w:val="00E52DA4"/>
    <w:rsid w:val="00EC7608"/>
    <w:rsid w:val="00F36864"/>
    <w:rsid w:val="00FE46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C33EF9"/>
  <w15:docId w15:val="{8E906F51-25B1-4918-BF80-97046FD602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D55287"/>
    <w:rPr>
      <w:color w:val="0563C1"/>
      <w:u w:val="single"/>
    </w:rPr>
  </w:style>
  <w:style w:type="paragraph" w:styleId="PlainText">
    <w:name w:val="Plain Text"/>
    <w:basedOn w:val="Normal"/>
    <w:link w:val="PlainTextChar"/>
    <w:uiPriority w:val="99"/>
    <w:unhideWhenUsed/>
    <w:rsid w:val="00D55287"/>
    <w:pPr>
      <w:spacing w:after="0" w:line="240" w:lineRule="auto"/>
    </w:pPr>
    <w:rPr>
      <w:rFonts w:ascii="Arial" w:hAnsi="Arial" w:cs="Arial"/>
      <w:kern w:val="0"/>
      <w14:ligatures w14:val="none"/>
    </w:rPr>
  </w:style>
  <w:style w:type="character" w:customStyle="1" w:styleId="PlainTextChar">
    <w:name w:val="Plain Text Char"/>
    <w:basedOn w:val="DefaultParagraphFont"/>
    <w:link w:val="PlainText"/>
    <w:uiPriority w:val="99"/>
    <w:rsid w:val="00D55287"/>
    <w:rPr>
      <w:rFonts w:ascii="Arial" w:hAnsi="Arial" w:cs="Arial"/>
      <w:kern w:val="0"/>
      <w14:ligatures w14:val="none"/>
    </w:rPr>
  </w:style>
  <w:style w:type="paragraph" w:styleId="ListParagraph">
    <w:name w:val="List Paragraph"/>
    <w:basedOn w:val="Normal"/>
    <w:uiPriority w:val="34"/>
    <w:qFormat/>
    <w:rsid w:val="00D55287"/>
    <w:pPr>
      <w:spacing w:after="0" w:line="240" w:lineRule="auto"/>
      <w:ind w:left="720"/>
    </w:pPr>
    <w:rPr>
      <w:rFonts w:ascii="Calibri" w:hAnsi="Calibri" w:cs="Calibri"/>
      <w:kern w:val="0"/>
      <w14:ligatures w14:val="none"/>
    </w:rPr>
  </w:style>
  <w:style w:type="character" w:styleId="FollowedHyperlink">
    <w:name w:val="FollowedHyperlink"/>
    <w:basedOn w:val="DefaultParagraphFont"/>
    <w:uiPriority w:val="99"/>
    <w:semiHidden/>
    <w:unhideWhenUsed/>
    <w:rsid w:val="000723E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88645">
      <w:bodyDiv w:val="1"/>
      <w:marLeft w:val="0"/>
      <w:marRight w:val="0"/>
      <w:marTop w:val="0"/>
      <w:marBottom w:val="0"/>
      <w:divBdr>
        <w:top w:val="none" w:sz="0" w:space="0" w:color="auto"/>
        <w:left w:val="none" w:sz="0" w:space="0" w:color="auto"/>
        <w:bottom w:val="none" w:sz="0" w:space="0" w:color="auto"/>
        <w:right w:val="none" w:sz="0" w:space="0" w:color="auto"/>
      </w:divBdr>
    </w:div>
    <w:div w:id="195505947">
      <w:bodyDiv w:val="1"/>
      <w:marLeft w:val="0"/>
      <w:marRight w:val="0"/>
      <w:marTop w:val="0"/>
      <w:marBottom w:val="0"/>
      <w:divBdr>
        <w:top w:val="none" w:sz="0" w:space="0" w:color="auto"/>
        <w:left w:val="none" w:sz="0" w:space="0" w:color="auto"/>
        <w:bottom w:val="none" w:sz="0" w:space="0" w:color="auto"/>
        <w:right w:val="none" w:sz="0" w:space="0" w:color="auto"/>
      </w:divBdr>
    </w:div>
    <w:div w:id="198470714">
      <w:bodyDiv w:val="1"/>
      <w:marLeft w:val="0"/>
      <w:marRight w:val="0"/>
      <w:marTop w:val="0"/>
      <w:marBottom w:val="0"/>
      <w:divBdr>
        <w:top w:val="none" w:sz="0" w:space="0" w:color="auto"/>
        <w:left w:val="none" w:sz="0" w:space="0" w:color="auto"/>
        <w:bottom w:val="none" w:sz="0" w:space="0" w:color="auto"/>
        <w:right w:val="none" w:sz="0" w:space="0" w:color="auto"/>
      </w:divBdr>
    </w:div>
    <w:div w:id="257174964">
      <w:bodyDiv w:val="1"/>
      <w:marLeft w:val="0"/>
      <w:marRight w:val="0"/>
      <w:marTop w:val="0"/>
      <w:marBottom w:val="0"/>
      <w:divBdr>
        <w:top w:val="none" w:sz="0" w:space="0" w:color="auto"/>
        <w:left w:val="none" w:sz="0" w:space="0" w:color="auto"/>
        <w:bottom w:val="none" w:sz="0" w:space="0" w:color="auto"/>
        <w:right w:val="none" w:sz="0" w:space="0" w:color="auto"/>
      </w:divBdr>
    </w:div>
    <w:div w:id="555044073">
      <w:bodyDiv w:val="1"/>
      <w:marLeft w:val="0"/>
      <w:marRight w:val="0"/>
      <w:marTop w:val="0"/>
      <w:marBottom w:val="0"/>
      <w:divBdr>
        <w:top w:val="none" w:sz="0" w:space="0" w:color="auto"/>
        <w:left w:val="none" w:sz="0" w:space="0" w:color="auto"/>
        <w:bottom w:val="none" w:sz="0" w:space="0" w:color="auto"/>
        <w:right w:val="none" w:sz="0" w:space="0" w:color="auto"/>
      </w:divBdr>
    </w:div>
    <w:div w:id="609749076">
      <w:bodyDiv w:val="1"/>
      <w:marLeft w:val="0"/>
      <w:marRight w:val="0"/>
      <w:marTop w:val="0"/>
      <w:marBottom w:val="0"/>
      <w:divBdr>
        <w:top w:val="none" w:sz="0" w:space="0" w:color="auto"/>
        <w:left w:val="none" w:sz="0" w:space="0" w:color="auto"/>
        <w:bottom w:val="none" w:sz="0" w:space="0" w:color="auto"/>
        <w:right w:val="none" w:sz="0" w:space="0" w:color="auto"/>
      </w:divBdr>
    </w:div>
    <w:div w:id="852378040">
      <w:bodyDiv w:val="1"/>
      <w:marLeft w:val="0"/>
      <w:marRight w:val="0"/>
      <w:marTop w:val="0"/>
      <w:marBottom w:val="0"/>
      <w:divBdr>
        <w:top w:val="none" w:sz="0" w:space="0" w:color="auto"/>
        <w:left w:val="none" w:sz="0" w:space="0" w:color="auto"/>
        <w:bottom w:val="none" w:sz="0" w:space="0" w:color="auto"/>
        <w:right w:val="none" w:sz="0" w:space="0" w:color="auto"/>
      </w:divBdr>
    </w:div>
    <w:div w:id="919294892">
      <w:bodyDiv w:val="1"/>
      <w:marLeft w:val="0"/>
      <w:marRight w:val="0"/>
      <w:marTop w:val="0"/>
      <w:marBottom w:val="0"/>
      <w:divBdr>
        <w:top w:val="none" w:sz="0" w:space="0" w:color="auto"/>
        <w:left w:val="none" w:sz="0" w:space="0" w:color="auto"/>
        <w:bottom w:val="none" w:sz="0" w:space="0" w:color="auto"/>
        <w:right w:val="none" w:sz="0" w:space="0" w:color="auto"/>
      </w:divBdr>
    </w:div>
    <w:div w:id="932781008">
      <w:bodyDiv w:val="1"/>
      <w:marLeft w:val="0"/>
      <w:marRight w:val="0"/>
      <w:marTop w:val="0"/>
      <w:marBottom w:val="0"/>
      <w:divBdr>
        <w:top w:val="none" w:sz="0" w:space="0" w:color="auto"/>
        <w:left w:val="none" w:sz="0" w:space="0" w:color="auto"/>
        <w:bottom w:val="none" w:sz="0" w:space="0" w:color="auto"/>
        <w:right w:val="none" w:sz="0" w:space="0" w:color="auto"/>
      </w:divBdr>
    </w:div>
    <w:div w:id="983506448">
      <w:bodyDiv w:val="1"/>
      <w:marLeft w:val="0"/>
      <w:marRight w:val="0"/>
      <w:marTop w:val="0"/>
      <w:marBottom w:val="0"/>
      <w:divBdr>
        <w:top w:val="none" w:sz="0" w:space="0" w:color="auto"/>
        <w:left w:val="none" w:sz="0" w:space="0" w:color="auto"/>
        <w:bottom w:val="none" w:sz="0" w:space="0" w:color="auto"/>
        <w:right w:val="none" w:sz="0" w:space="0" w:color="auto"/>
      </w:divBdr>
    </w:div>
    <w:div w:id="1037004643">
      <w:bodyDiv w:val="1"/>
      <w:marLeft w:val="0"/>
      <w:marRight w:val="0"/>
      <w:marTop w:val="0"/>
      <w:marBottom w:val="0"/>
      <w:divBdr>
        <w:top w:val="none" w:sz="0" w:space="0" w:color="auto"/>
        <w:left w:val="none" w:sz="0" w:space="0" w:color="auto"/>
        <w:bottom w:val="none" w:sz="0" w:space="0" w:color="auto"/>
        <w:right w:val="none" w:sz="0" w:space="0" w:color="auto"/>
      </w:divBdr>
    </w:div>
    <w:div w:id="1113093888">
      <w:bodyDiv w:val="1"/>
      <w:marLeft w:val="0"/>
      <w:marRight w:val="0"/>
      <w:marTop w:val="0"/>
      <w:marBottom w:val="0"/>
      <w:divBdr>
        <w:top w:val="none" w:sz="0" w:space="0" w:color="auto"/>
        <w:left w:val="none" w:sz="0" w:space="0" w:color="auto"/>
        <w:bottom w:val="none" w:sz="0" w:space="0" w:color="auto"/>
        <w:right w:val="none" w:sz="0" w:space="0" w:color="auto"/>
      </w:divBdr>
    </w:div>
    <w:div w:id="1168717814">
      <w:bodyDiv w:val="1"/>
      <w:marLeft w:val="0"/>
      <w:marRight w:val="0"/>
      <w:marTop w:val="0"/>
      <w:marBottom w:val="0"/>
      <w:divBdr>
        <w:top w:val="none" w:sz="0" w:space="0" w:color="auto"/>
        <w:left w:val="none" w:sz="0" w:space="0" w:color="auto"/>
        <w:bottom w:val="none" w:sz="0" w:space="0" w:color="auto"/>
        <w:right w:val="none" w:sz="0" w:space="0" w:color="auto"/>
      </w:divBdr>
    </w:div>
    <w:div w:id="1196500990">
      <w:bodyDiv w:val="1"/>
      <w:marLeft w:val="0"/>
      <w:marRight w:val="0"/>
      <w:marTop w:val="0"/>
      <w:marBottom w:val="0"/>
      <w:divBdr>
        <w:top w:val="none" w:sz="0" w:space="0" w:color="auto"/>
        <w:left w:val="none" w:sz="0" w:space="0" w:color="auto"/>
        <w:bottom w:val="none" w:sz="0" w:space="0" w:color="auto"/>
        <w:right w:val="none" w:sz="0" w:space="0" w:color="auto"/>
      </w:divBdr>
    </w:div>
    <w:div w:id="1213887901">
      <w:bodyDiv w:val="1"/>
      <w:marLeft w:val="0"/>
      <w:marRight w:val="0"/>
      <w:marTop w:val="0"/>
      <w:marBottom w:val="0"/>
      <w:divBdr>
        <w:top w:val="none" w:sz="0" w:space="0" w:color="auto"/>
        <w:left w:val="none" w:sz="0" w:space="0" w:color="auto"/>
        <w:bottom w:val="none" w:sz="0" w:space="0" w:color="auto"/>
        <w:right w:val="none" w:sz="0" w:space="0" w:color="auto"/>
      </w:divBdr>
    </w:div>
    <w:div w:id="1709835449">
      <w:bodyDiv w:val="1"/>
      <w:marLeft w:val="0"/>
      <w:marRight w:val="0"/>
      <w:marTop w:val="0"/>
      <w:marBottom w:val="0"/>
      <w:divBdr>
        <w:top w:val="none" w:sz="0" w:space="0" w:color="auto"/>
        <w:left w:val="none" w:sz="0" w:space="0" w:color="auto"/>
        <w:bottom w:val="none" w:sz="0" w:space="0" w:color="auto"/>
        <w:right w:val="none" w:sz="0" w:space="0" w:color="auto"/>
      </w:divBdr>
    </w:div>
    <w:div w:id="1715302825">
      <w:bodyDiv w:val="1"/>
      <w:marLeft w:val="0"/>
      <w:marRight w:val="0"/>
      <w:marTop w:val="0"/>
      <w:marBottom w:val="0"/>
      <w:divBdr>
        <w:top w:val="none" w:sz="0" w:space="0" w:color="auto"/>
        <w:left w:val="none" w:sz="0" w:space="0" w:color="auto"/>
        <w:bottom w:val="none" w:sz="0" w:space="0" w:color="auto"/>
        <w:right w:val="none" w:sz="0" w:space="0" w:color="auto"/>
      </w:divBdr>
    </w:div>
    <w:div w:id="1931310380">
      <w:bodyDiv w:val="1"/>
      <w:marLeft w:val="0"/>
      <w:marRight w:val="0"/>
      <w:marTop w:val="0"/>
      <w:marBottom w:val="0"/>
      <w:divBdr>
        <w:top w:val="none" w:sz="0" w:space="0" w:color="auto"/>
        <w:left w:val="none" w:sz="0" w:space="0" w:color="auto"/>
        <w:bottom w:val="none" w:sz="0" w:space="0" w:color="auto"/>
        <w:right w:val="none" w:sz="0" w:space="0" w:color="auto"/>
      </w:divBdr>
    </w:div>
    <w:div w:id="2009089754">
      <w:bodyDiv w:val="1"/>
      <w:marLeft w:val="0"/>
      <w:marRight w:val="0"/>
      <w:marTop w:val="0"/>
      <w:marBottom w:val="0"/>
      <w:divBdr>
        <w:top w:val="none" w:sz="0" w:space="0" w:color="auto"/>
        <w:left w:val="none" w:sz="0" w:space="0" w:color="auto"/>
        <w:bottom w:val="none" w:sz="0" w:space="0" w:color="auto"/>
        <w:right w:val="none" w:sz="0" w:space="0" w:color="auto"/>
      </w:divBdr>
    </w:div>
    <w:div w:id="2050496783">
      <w:bodyDiv w:val="1"/>
      <w:marLeft w:val="0"/>
      <w:marRight w:val="0"/>
      <w:marTop w:val="0"/>
      <w:marBottom w:val="0"/>
      <w:divBdr>
        <w:top w:val="none" w:sz="0" w:space="0" w:color="auto"/>
        <w:left w:val="none" w:sz="0" w:space="0" w:color="auto"/>
        <w:bottom w:val="none" w:sz="0" w:space="0" w:color="auto"/>
        <w:right w:val="none" w:sz="0" w:space="0" w:color="auto"/>
      </w:divBdr>
    </w:div>
    <w:div w:id="205222162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8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ercot.com/mktrules/issues/PGRR107" TargetMode="External"/><Relationship Id="rId12" Type="http://schemas.openxmlformats.org/officeDocument/2006/relationships/hyperlink" Target="https://www.ercot.com/mktrules/issues/PGRR113"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rcot.com/files/docs/2024/01/17/112PGRR-06%20ERCOT%20Comments%20011724.docx" TargetMode="External"/><Relationship Id="rId11" Type="http://schemas.openxmlformats.org/officeDocument/2006/relationships/hyperlink" Target="https://www.ercot.com/mktrules/issues/NPRR1070" TargetMode="External"/><Relationship Id="rId5" Type="http://schemas.openxmlformats.org/officeDocument/2006/relationships/hyperlink" Target="https://www.ercot.com/mktrules/issues/PGRR112" TargetMode="External"/><Relationship Id="rId10" Type="http://schemas.openxmlformats.org/officeDocument/2006/relationships/hyperlink" Target="https://www.ercot.com/files/docs/2023/12/13/1180NPRR-09%20ERCOT%20Comments%20121323.docx" TargetMode="External"/><Relationship Id="rId4" Type="http://schemas.openxmlformats.org/officeDocument/2006/relationships/webSettings" Target="webSettings.xml"/><Relationship Id="rId9" Type="http://schemas.openxmlformats.org/officeDocument/2006/relationships/hyperlink" Target="https://www.ercot.com/files/docs/2023/12/13/107PGRR-06%20ERCOT%20Comments%20121323.docx"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1542</TotalTime>
  <Pages>5</Pages>
  <Words>988</Words>
  <Characters>5634</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Dylan Preas</dc:creator>
  <cp:keywords/>
  <dc:description/>
  <cp:lastModifiedBy>Alexandra Miller</cp:lastModifiedBy>
  <cp:revision>8</cp:revision>
  <dcterms:created xsi:type="dcterms:W3CDTF">2023-11-07T19:11:00Z</dcterms:created>
  <dcterms:modified xsi:type="dcterms:W3CDTF">2024-01-26T18:13:00Z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00b5fe95-8f20-4bf1-a4bc-7cba4c4dcd39_Enabled">
    <vt:lpwstr>true</vt:lpwstr>
  </property>
  <property fmtid="{D5CDD505-2E9C-101B-9397-08002B2CF9AE}" pid="3" name="MSIP_Label_00b5fe95-8f20-4bf1-a4bc-7cba4c4dcd39_SetDate">
    <vt:lpwstr>2023-08-21T15:34:30Z</vt:lpwstr>
  </property>
  <property fmtid="{D5CDD505-2E9C-101B-9397-08002B2CF9AE}" pid="4" name="MSIP_Label_00b5fe95-8f20-4bf1-a4bc-7cba4c4dcd39_Method">
    <vt:lpwstr>Standard</vt:lpwstr>
  </property>
  <property fmtid="{D5CDD505-2E9C-101B-9397-08002B2CF9AE}" pid="5" name="MSIP_Label_00b5fe95-8f20-4bf1-a4bc-7cba4c4dcd39_Name">
    <vt:lpwstr>Internal access</vt:lpwstr>
  </property>
  <property fmtid="{D5CDD505-2E9C-101B-9397-08002B2CF9AE}" pid="6" name="MSIP_Label_00b5fe95-8f20-4bf1-a4bc-7cba4c4dcd39_SiteId">
    <vt:lpwstr>34c5e68e-b374-47fe-91da-0e3d638792fb</vt:lpwstr>
  </property>
  <property fmtid="{D5CDD505-2E9C-101B-9397-08002B2CF9AE}" pid="7" name="MSIP_Label_00b5fe95-8f20-4bf1-a4bc-7cba4c4dcd39_ActionId">
    <vt:lpwstr>3051d845-6948-4032-b854-927953f169bb</vt:lpwstr>
  </property>
  <property fmtid="{D5CDD505-2E9C-101B-9397-08002B2CF9AE}" pid="8" name="MSIP_Label_00b5fe95-8f20-4bf1-a4bc-7cba4c4dcd39_ContentBits">
    <vt:lpwstr>0</vt:lpwstr>
  </property>
</Properties>
</file>