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46" w14:textId="77777777" w:rsidR="000B17E9" w:rsidRDefault="000B17E9" w:rsidP="00D55287">
      <w:pPr>
        <w:pStyle w:val="PlainText"/>
        <w:spacing w:line="276" w:lineRule="auto"/>
        <w:rPr>
          <w:b/>
          <w:bCs/>
        </w:rPr>
      </w:pPr>
    </w:p>
    <w:p w14:paraId="0F691EF0" w14:textId="0C8CAD14" w:rsidR="000B17E9" w:rsidRDefault="00D55287" w:rsidP="00D55287">
      <w:pPr>
        <w:pStyle w:val="PlainText"/>
        <w:spacing w:line="276" w:lineRule="auto"/>
        <w:rPr>
          <w:b/>
          <w:bCs/>
        </w:rPr>
      </w:pPr>
      <w:r>
        <w:rPr>
          <w:b/>
          <w:bCs/>
        </w:rPr>
        <w:t>Planning Working Group (PLWG)</w:t>
      </w:r>
      <w:r w:rsidR="000B17E9">
        <w:rPr>
          <w:b/>
          <w:bCs/>
        </w:rPr>
        <w:t xml:space="preserve"> </w:t>
      </w:r>
    </w:p>
    <w:p w14:paraId="0BD88839" w14:textId="4FB67FDA" w:rsidR="000B17E9" w:rsidRDefault="000B17E9" w:rsidP="00D55287">
      <w:pPr>
        <w:pStyle w:val="PlainText"/>
        <w:spacing w:line="276" w:lineRule="auto"/>
        <w:rPr>
          <w:b/>
          <w:bCs/>
        </w:rPr>
      </w:pPr>
      <w:r>
        <w:rPr>
          <w:b/>
          <w:bCs/>
        </w:rPr>
        <w:t>Meeting Notes</w:t>
      </w:r>
    </w:p>
    <w:p w14:paraId="2F568E95" w14:textId="4D3F6A5C" w:rsidR="00D55287" w:rsidRDefault="00632A5A" w:rsidP="00D55287">
      <w:pPr>
        <w:pStyle w:val="PlainText"/>
        <w:spacing w:line="276" w:lineRule="auto"/>
        <w:rPr>
          <w:b/>
          <w:bCs/>
        </w:rPr>
      </w:pPr>
      <w:r>
        <w:rPr>
          <w:b/>
          <w:bCs/>
        </w:rPr>
        <w:t>Novem</w:t>
      </w:r>
      <w:r w:rsidR="00675532">
        <w:rPr>
          <w:b/>
          <w:bCs/>
        </w:rPr>
        <w:t>ber 1</w:t>
      </w:r>
      <w:r>
        <w:rPr>
          <w:b/>
          <w:bCs/>
        </w:rPr>
        <w:t>4</w:t>
      </w:r>
      <w:r w:rsidR="000B17E9">
        <w:rPr>
          <w:b/>
          <w:bCs/>
        </w:rPr>
        <w:t>, 2023</w:t>
      </w:r>
    </w:p>
    <w:p w14:paraId="07A52EDE" w14:textId="5926D3C8" w:rsidR="000B17E9" w:rsidRDefault="00675532" w:rsidP="00D55287">
      <w:pPr>
        <w:pStyle w:val="PlainText"/>
        <w:spacing w:line="276" w:lineRule="auto"/>
        <w:rPr>
          <w:b/>
          <w:bCs/>
        </w:rPr>
      </w:pPr>
      <w:r>
        <w:rPr>
          <w:b/>
          <w:bCs/>
        </w:rPr>
        <w:t xml:space="preserve">In-Person and </w:t>
      </w:r>
      <w:r w:rsidR="000B17E9">
        <w:rPr>
          <w:b/>
          <w:bCs/>
        </w:rPr>
        <w:t>WebEx</w:t>
      </w:r>
    </w:p>
    <w:p w14:paraId="26A8C3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Antitrust Admonition</w:t>
      </w:r>
    </w:p>
    <w:p w14:paraId="336FF2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Agenda Review</w:t>
      </w:r>
    </w:p>
    <w:p w14:paraId="68C618B3" w14:textId="0B194B91" w:rsidR="00D55287" w:rsidRDefault="00D55287" w:rsidP="00D55287">
      <w:pPr>
        <w:pStyle w:val="PlainText"/>
        <w:numPr>
          <w:ilvl w:val="0"/>
          <w:numId w:val="1"/>
        </w:numPr>
        <w:spacing w:line="276" w:lineRule="auto"/>
        <w:rPr>
          <w:rFonts w:eastAsia="Times New Roman"/>
          <w:b/>
          <w:bCs/>
        </w:rPr>
      </w:pPr>
      <w:r>
        <w:rPr>
          <w:rFonts w:eastAsia="Times New Roman"/>
          <w:b/>
          <w:bCs/>
        </w:rPr>
        <w:t xml:space="preserve">Review of PLWG Meeting Minutes from </w:t>
      </w:r>
      <w:r w:rsidR="0090049D">
        <w:rPr>
          <w:rFonts w:eastAsia="Times New Roman"/>
          <w:b/>
          <w:bCs/>
        </w:rPr>
        <w:t>October 18</w:t>
      </w:r>
      <w:r>
        <w:rPr>
          <w:rFonts w:eastAsia="Times New Roman"/>
          <w:b/>
          <w:bCs/>
        </w:rPr>
        <w:t>, 2023</w:t>
      </w:r>
    </w:p>
    <w:p w14:paraId="722B3DBD" w14:textId="1046291E" w:rsidR="000B17E9" w:rsidRDefault="000B17E9" w:rsidP="000B17E9">
      <w:pPr>
        <w:pStyle w:val="PlainText"/>
        <w:numPr>
          <w:ilvl w:val="1"/>
          <w:numId w:val="1"/>
        </w:numPr>
        <w:spacing w:line="276" w:lineRule="auto"/>
        <w:rPr>
          <w:rFonts w:eastAsia="Times New Roman"/>
          <w:b/>
          <w:bCs/>
        </w:rPr>
      </w:pPr>
      <w:r>
        <w:rPr>
          <w:rFonts w:eastAsia="Times New Roman"/>
        </w:rPr>
        <w:t xml:space="preserve">No changes were made to the meeting </w:t>
      </w:r>
      <w:proofErr w:type="gramStart"/>
      <w:r>
        <w:rPr>
          <w:rFonts w:eastAsia="Times New Roman"/>
        </w:rPr>
        <w:t>notes</w:t>
      </w:r>
      <w:proofErr w:type="gramEnd"/>
    </w:p>
    <w:p w14:paraId="744E4766" w14:textId="77777777" w:rsidR="00675532" w:rsidRDefault="00675532" w:rsidP="00675532">
      <w:pPr>
        <w:pStyle w:val="PlainText"/>
        <w:numPr>
          <w:ilvl w:val="0"/>
          <w:numId w:val="1"/>
        </w:numPr>
        <w:spacing w:line="276" w:lineRule="auto"/>
        <w:rPr>
          <w:rFonts w:eastAsia="Times New Roman"/>
        </w:rPr>
      </w:pPr>
      <w:r>
        <w:rPr>
          <w:rFonts w:eastAsia="Times New Roman"/>
          <w:b/>
          <w:bCs/>
        </w:rPr>
        <w:t>General Update</w:t>
      </w:r>
    </w:p>
    <w:p w14:paraId="710E2DC7" w14:textId="77777777" w:rsidR="0090049D" w:rsidRDefault="0090049D" w:rsidP="0090049D">
      <w:pPr>
        <w:pStyle w:val="PlainText"/>
        <w:numPr>
          <w:ilvl w:val="1"/>
          <w:numId w:val="1"/>
        </w:numPr>
        <w:spacing w:line="276" w:lineRule="auto"/>
        <w:rPr>
          <w:rFonts w:eastAsia="Times New Roman"/>
        </w:rPr>
      </w:pPr>
      <w:r>
        <w:rPr>
          <w:rFonts w:eastAsia="Times New Roman"/>
        </w:rPr>
        <w:t xml:space="preserve">Alexandra Miller (EDF Renewables) discussed the PLWG leadership transition for next year. Alexandra </w:t>
      </w:r>
      <w:proofErr w:type="gramStart"/>
      <w:r>
        <w:rPr>
          <w:rFonts w:eastAsia="Times New Roman"/>
        </w:rPr>
        <w:t>will be not be</w:t>
      </w:r>
      <w:proofErr w:type="gramEnd"/>
      <w:r>
        <w:rPr>
          <w:rFonts w:eastAsia="Times New Roman"/>
        </w:rPr>
        <w:t xml:space="preserve"> continuing as chair. The current vice-chair, Dylan Preas (LCRA TSC), will likely serve as chair next year.</w:t>
      </w:r>
    </w:p>
    <w:p w14:paraId="5394D483" w14:textId="77777777" w:rsidR="0090049D" w:rsidRDefault="0090049D" w:rsidP="0090049D">
      <w:pPr>
        <w:pStyle w:val="ListParagraph"/>
        <w:numPr>
          <w:ilvl w:val="0"/>
          <w:numId w:val="1"/>
        </w:numPr>
        <w:spacing w:line="276" w:lineRule="auto"/>
        <w:rPr>
          <w:rFonts w:ascii="Arial" w:eastAsia="Times New Roman" w:hAnsi="Arial" w:cs="Arial"/>
          <w:b/>
          <w:bCs/>
        </w:rPr>
      </w:pPr>
      <w:r>
        <w:rPr>
          <w:rFonts w:ascii="Arial" w:eastAsia="Times New Roman" w:hAnsi="Arial" w:cs="Arial"/>
          <w:b/>
          <w:bCs/>
        </w:rPr>
        <w:t>SSWG Modeling Assumptions (Joshua Wichers, AEP)</w:t>
      </w:r>
    </w:p>
    <w:p w14:paraId="0FA984C1" w14:textId="167EF966" w:rsidR="0090049D" w:rsidRDefault="00CD3A3F" w:rsidP="0090049D">
      <w:pPr>
        <w:pStyle w:val="ListParagraph"/>
        <w:numPr>
          <w:ilvl w:val="1"/>
          <w:numId w:val="1"/>
        </w:numPr>
        <w:spacing w:line="276" w:lineRule="auto"/>
        <w:rPr>
          <w:rFonts w:ascii="Arial" w:eastAsia="Times New Roman" w:hAnsi="Arial" w:cs="Arial"/>
        </w:rPr>
      </w:pPr>
      <w:hyperlink r:id="rId5" w:history="1">
        <w:r w:rsidR="0090049D">
          <w:rPr>
            <w:rStyle w:val="Hyperlink"/>
            <w:rFonts w:ascii="Arial" w:eastAsia="Times New Roman" w:hAnsi="Arial" w:cs="Arial"/>
          </w:rPr>
          <w:t>https://www.ercot.com/files/docs/2023/11/07/5%20-%20SSWG%20Assumptions%20Input.docx</w:t>
        </w:r>
      </w:hyperlink>
    </w:p>
    <w:p w14:paraId="75568773" w14:textId="77777777" w:rsidR="0090049D" w:rsidRDefault="0090049D" w:rsidP="0090049D">
      <w:pPr>
        <w:pStyle w:val="ListParagraph"/>
        <w:numPr>
          <w:ilvl w:val="1"/>
          <w:numId w:val="1"/>
        </w:numPr>
        <w:spacing w:line="276" w:lineRule="auto"/>
        <w:rPr>
          <w:rFonts w:ascii="Arial" w:eastAsia="Times New Roman" w:hAnsi="Arial" w:cs="Arial"/>
        </w:rPr>
      </w:pPr>
      <w:r>
        <w:rPr>
          <w:rFonts w:ascii="Arial" w:eastAsia="Times New Roman" w:hAnsi="Arial" w:cs="Arial"/>
        </w:rPr>
        <w:t>Joshua is the chair of SSWG and asked for feedback to ensure that SSWG is publishing useful and accurate case.</w:t>
      </w:r>
    </w:p>
    <w:p w14:paraId="13972E7B" w14:textId="77777777" w:rsidR="0090049D" w:rsidRDefault="0090049D" w:rsidP="0090049D">
      <w:pPr>
        <w:pStyle w:val="ListParagraph"/>
        <w:numPr>
          <w:ilvl w:val="1"/>
          <w:numId w:val="1"/>
        </w:numPr>
        <w:spacing w:line="276" w:lineRule="auto"/>
        <w:rPr>
          <w:rFonts w:ascii="Arial" w:eastAsia="Times New Roman" w:hAnsi="Arial" w:cs="Arial"/>
        </w:rPr>
      </w:pPr>
      <w:r>
        <w:rPr>
          <w:rFonts w:ascii="Arial" w:eastAsia="Times New Roman" w:hAnsi="Arial" w:cs="Arial"/>
        </w:rPr>
        <w:t>Joshua has identified several problem areas.</w:t>
      </w:r>
    </w:p>
    <w:p w14:paraId="29DEE726" w14:textId="77777777" w:rsidR="0090049D" w:rsidRDefault="0090049D" w:rsidP="0090049D">
      <w:pPr>
        <w:pStyle w:val="ListParagraph"/>
        <w:numPr>
          <w:ilvl w:val="2"/>
          <w:numId w:val="1"/>
        </w:numPr>
        <w:spacing w:line="276" w:lineRule="auto"/>
        <w:rPr>
          <w:rFonts w:ascii="Arial" w:hAnsi="Arial" w:cs="Arial"/>
        </w:rPr>
      </w:pPr>
      <w:r>
        <w:rPr>
          <w:rFonts w:ascii="Arial" w:hAnsi="Arial" w:cs="Arial"/>
          <w:b/>
          <w:bCs/>
        </w:rPr>
        <w:t>Forecasting Large (Flexible) Loads.</w:t>
      </w:r>
      <w:r>
        <w:rPr>
          <w:rFonts w:ascii="Arial" w:hAnsi="Arial" w:cs="Arial"/>
        </w:rPr>
        <w:t xml:space="preserve"> Currently, there is no procedure or rules for reducing the real and/or reactive power consumption of planned large loads. TSPs will often model a large load above its FAC-002 limits and without necessary transmission upgrades. Reactive power consumption is a particular area of concern.</w:t>
      </w:r>
    </w:p>
    <w:p w14:paraId="675654B3" w14:textId="77777777" w:rsidR="0090049D" w:rsidRDefault="0090049D" w:rsidP="0090049D">
      <w:pPr>
        <w:pStyle w:val="ListParagraph"/>
        <w:numPr>
          <w:ilvl w:val="2"/>
          <w:numId w:val="1"/>
        </w:numPr>
        <w:spacing w:line="276" w:lineRule="auto"/>
        <w:rPr>
          <w:rFonts w:ascii="Arial" w:hAnsi="Arial" w:cs="Arial"/>
        </w:rPr>
      </w:pPr>
      <w:r>
        <w:rPr>
          <w:rFonts w:ascii="Arial" w:hAnsi="Arial" w:cs="Arial"/>
          <w:b/>
          <w:bCs/>
        </w:rPr>
        <w:t>Battery Generators.</w:t>
      </w:r>
      <w:r>
        <w:rPr>
          <w:rFonts w:ascii="Arial" w:hAnsi="Arial" w:cs="Arial"/>
        </w:rPr>
        <w:t xml:space="preserve"> Currently, the SSWG cases model nearly 9,000 MW of battery generators, all of which are assumed to be offline and generating no real power and providing no reactive power support.</w:t>
      </w:r>
    </w:p>
    <w:p w14:paraId="75FC4432" w14:textId="77777777" w:rsidR="0090049D" w:rsidRDefault="0090049D" w:rsidP="0090049D">
      <w:pPr>
        <w:pStyle w:val="ListParagraph"/>
        <w:numPr>
          <w:ilvl w:val="2"/>
          <w:numId w:val="1"/>
        </w:numPr>
        <w:spacing w:line="276" w:lineRule="auto"/>
        <w:rPr>
          <w:rFonts w:ascii="Arial" w:hAnsi="Arial" w:cs="Arial"/>
        </w:rPr>
      </w:pPr>
      <w:r>
        <w:rPr>
          <w:rFonts w:ascii="Arial" w:hAnsi="Arial" w:cs="Arial"/>
          <w:b/>
          <w:bCs/>
        </w:rPr>
        <w:t>SODG and DGR Generators.</w:t>
      </w:r>
      <w:r>
        <w:rPr>
          <w:rFonts w:ascii="Arial" w:hAnsi="Arial" w:cs="Arial"/>
        </w:rPr>
        <w:t xml:space="preserve"> Currently, the SSWG cases model 2,450 MW of SODG and DGR generators, all of which are assumed to be offline and generating no real power and providing no reactive power support.</w:t>
      </w:r>
    </w:p>
    <w:p w14:paraId="69D124F4" w14:textId="77777777" w:rsidR="0090049D" w:rsidRDefault="0090049D" w:rsidP="0090049D">
      <w:pPr>
        <w:pStyle w:val="ListParagraph"/>
        <w:numPr>
          <w:ilvl w:val="2"/>
          <w:numId w:val="1"/>
        </w:numPr>
        <w:spacing w:line="276" w:lineRule="auto"/>
        <w:rPr>
          <w:rFonts w:ascii="Arial" w:hAnsi="Arial" w:cs="Arial"/>
        </w:rPr>
      </w:pPr>
      <w:r>
        <w:rPr>
          <w:rFonts w:ascii="Arial" w:hAnsi="Arial" w:cs="Arial"/>
          <w:b/>
          <w:bCs/>
        </w:rPr>
        <w:t>Extraordinary Dispatch.</w:t>
      </w:r>
      <w:r>
        <w:rPr>
          <w:rFonts w:ascii="Arial" w:hAnsi="Arial" w:cs="Arial"/>
        </w:rPr>
        <w:t xml:space="preserve"> The SSWG Procedure Manual prescribes a series a </w:t>
      </w:r>
      <w:proofErr w:type="gramStart"/>
      <w:r>
        <w:rPr>
          <w:rFonts w:ascii="Arial" w:hAnsi="Arial" w:cs="Arial"/>
        </w:rPr>
        <w:t>steps</w:t>
      </w:r>
      <w:proofErr w:type="gramEnd"/>
      <w:r>
        <w:rPr>
          <w:rFonts w:ascii="Arial" w:hAnsi="Arial" w:cs="Arial"/>
        </w:rPr>
        <w:t xml:space="preserve"> to achieve generation-load balance called extraordinary dispatch. Joshua believes that these steps should dispatch SODG prior to scaling wind above CDR levels. Joshua also recommends incorporating steps to reduce the consumption of LFLs and to energize and dispatch battery generators; battery generators would be dispatched according to certain rules (e.g., real power generation that can be sustained for four hours if the battery is fully charged).</w:t>
      </w:r>
    </w:p>
    <w:p w14:paraId="44C77894" w14:textId="77777777" w:rsidR="0090049D" w:rsidRDefault="0090049D" w:rsidP="0090049D">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Discussion around Large Flexible Loads included suggestions: </w:t>
      </w:r>
    </w:p>
    <w:p w14:paraId="178388F9" w14:textId="470DE546"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many or all crypto loads have power factors greater than 0.99.</w:t>
      </w:r>
    </w:p>
    <w:p w14:paraId="2C2A7440" w14:textId="0E33E215"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SSWG cases should model all firm loads, including Large (Flexible) Loads.</w:t>
      </w:r>
    </w:p>
    <w:p w14:paraId="73BA9323" w14:textId="75865D3B"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any load or case adjustments need to be documented.</w:t>
      </w:r>
    </w:p>
    <w:p w14:paraId="57ABA863" w14:textId="5667625C"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lastRenderedPageBreak/>
        <w:t>TNMP adds reactive power compensation (i.e., capacitor banks) at substations that serve crypto or datacenter loads.</w:t>
      </w:r>
    </w:p>
    <w:p w14:paraId="6F67D5C6" w14:textId="3408882E"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A recommendation to create two separate load categories: approved load, which is modeled in the case; and requested load, which is modeled in the case as out-of-service.</w:t>
      </w:r>
    </w:p>
    <w:p w14:paraId="7D80F7C6" w14:textId="307706A0"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TSPs should not model Large Loads unless they are also modeling transmission projects that will resolve problems caused by those loads, even if those projects have not undergone RPG review.</w:t>
      </w:r>
    </w:p>
    <w:p w14:paraId="57AE6808" w14:textId="0B202674"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loads should be modeled up to their FAC-002 limits until the corresponding upgrades are also modeled.</w:t>
      </w:r>
    </w:p>
    <w:p w14:paraId="58D9D38C" w14:textId="44C87AC5"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It was noted that the load forecast in the 23SSWG 2026 summer on-peak case models nearly 16 GW more load than the 21SSWG 2026 summer on-peak case (116 GW versus 100 GW), approximately 35% of which is attributable to Large Flexible Loads. Similarly, in that two-year span, there is approximately 14 GW of new planned solar generation capacity; looking at modeled generation (not capacity), there was nearly as much solar generation added between the 2021 and 2023 case builds as there is total wind generation (11.3 GW added solar versus 12.5 GW total wind). Until load and generation modeling forecasts stabilize, and until planners can accurately model the system for the next 4 or 5 years, and until modeling assumptions are updated to reflect new realities like LFLs and battery generators, SSWG will have difficulty building and tuning its cases. The group was cautioned against modeling approaches that incorporate conceptual or fictitious transmission projects.</w:t>
      </w:r>
    </w:p>
    <w:p w14:paraId="594B9816" w14:textId="22DD621F" w:rsidR="0090049D" w:rsidRDefault="0090049D" w:rsidP="0090049D">
      <w:pPr>
        <w:pStyle w:val="ListParagraph"/>
        <w:numPr>
          <w:ilvl w:val="2"/>
          <w:numId w:val="1"/>
        </w:numPr>
        <w:spacing w:line="276" w:lineRule="auto"/>
        <w:rPr>
          <w:rFonts w:ascii="Arial" w:eastAsia="Times New Roman" w:hAnsi="Arial" w:cs="Arial"/>
        </w:rPr>
      </w:pPr>
      <w:r>
        <w:rPr>
          <w:rFonts w:ascii="Arial" w:eastAsia="Times New Roman" w:hAnsi="Arial" w:cs="Arial"/>
        </w:rPr>
        <w:t>there needs to be clear and transparent modeling deadlines and schedules related to the LLIS and modeling loads in the SSWG cases.</w:t>
      </w:r>
    </w:p>
    <w:p w14:paraId="29AFFF54" w14:textId="3CF7BFA1" w:rsidR="0090049D" w:rsidRDefault="0090049D" w:rsidP="005756EE">
      <w:pPr>
        <w:pStyle w:val="ListParagraph"/>
        <w:numPr>
          <w:ilvl w:val="2"/>
          <w:numId w:val="1"/>
        </w:numPr>
        <w:spacing w:line="276" w:lineRule="auto"/>
        <w:rPr>
          <w:rFonts w:ascii="Arial" w:eastAsia="Times New Roman" w:hAnsi="Arial" w:cs="Arial"/>
        </w:rPr>
      </w:pPr>
      <w:r>
        <w:rPr>
          <w:rFonts w:ascii="Arial" w:eastAsia="Times New Roman" w:hAnsi="Arial" w:cs="Arial"/>
        </w:rPr>
        <w:t xml:space="preserve">SSWG needs to publish a stable base case so that all TSPs can model the same transmission system (load, generation, and topology) and coordinate upgrades. </w:t>
      </w:r>
      <w:r w:rsidR="005756EE">
        <w:rPr>
          <w:rFonts w:ascii="Arial" w:eastAsia="Times New Roman" w:hAnsi="Arial" w:cs="Arial"/>
        </w:rPr>
        <w:t>A</w:t>
      </w:r>
      <w:r>
        <w:rPr>
          <w:rFonts w:ascii="Arial" w:eastAsia="Times New Roman" w:hAnsi="Arial" w:cs="Arial"/>
        </w:rPr>
        <w:t>ll load adjustments should be transparently documented.</w:t>
      </w:r>
    </w:p>
    <w:p w14:paraId="21FAC34E" w14:textId="2E437D0B" w:rsidR="0090049D" w:rsidRPr="005756EE" w:rsidRDefault="005756EE" w:rsidP="005756EE">
      <w:pPr>
        <w:pStyle w:val="ListParagraph"/>
        <w:numPr>
          <w:ilvl w:val="1"/>
          <w:numId w:val="1"/>
        </w:numPr>
        <w:spacing w:line="276" w:lineRule="auto"/>
        <w:rPr>
          <w:rFonts w:ascii="Arial" w:eastAsia="Times New Roman" w:hAnsi="Arial" w:cs="Arial"/>
        </w:rPr>
      </w:pPr>
      <w:r>
        <w:rPr>
          <w:rFonts w:ascii="Arial" w:eastAsia="Times New Roman" w:hAnsi="Arial" w:cs="Arial"/>
        </w:rPr>
        <w:t>Given the need for additional input with</w:t>
      </w:r>
      <w:r w:rsidR="0090049D">
        <w:rPr>
          <w:rFonts w:ascii="Arial" w:eastAsia="Times New Roman" w:hAnsi="Arial" w:cs="Arial"/>
        </w:rPr>
        <w:t xml:space="preserve"> the necessary experience to ensure compliance with NERC, PUC, and ERCOT rules and philosophies when updating major modeling </w:t>
      </w:r>
      <w:proofErr w:type="gramStart"/>
      <w:r w:rsidR="0090049D">
        <w:rPr>
          <w:rFonts w:ascii="Arial" w:eastAsia="Times New Roman" w:hAnsi="Arial" w:cs="Arial"/>
        </w:rPr>
        <w:t>assumptions</w:t>
      </w:r>
      <w:proofErr w:type="gramEnd"/>
      <w:r>
        <w:rPr>
          <w:rFonts w:ascii="Arial" w:eastAsia="Times New Roman" w:hAnsi="Arial" w:cs="Arial"/>
        </w:rPr>
        <w:t xml:space="preserve"> the consensus was that SSWG did need support beyond their meetings but the scope of needed discussion is more detailed than PLWG broader meetings should cover.</w:t>
      </w:r>
    </w:p>
    <w:p w14:paraId="221E5378" w14:textId="3737C1E2" w:rsidR="004152AB" w:rsidRPr="0090049D" w:rsidRDefault="0090049D" w:rsidP="0090049D">
      <w:pPr>
        <w:pStyle w:val="ListParagraph"/>
        <w:numPr>
          <w:ilvl w:val="1"/>
          <w:numId w:val="1"/>
        </w:numPr>
        <w:spacing w:line="276" w:lineRule="auto"/>
        <w:rPr>
          <w:rFonts w:ascii="Arial" w:eastAsia="Times New Roman" w:hAnsi="Arial" w:cs="Arial"/>
        </w:rPr>
      </w:pPr>
      <w:r>
        <w:rPr>
          <w:rFonts w:ascii="Arial" w:eastAsia="Times New Roman" w:hAnsi="Arial" w:cs="Arial"/>
          <w:i/>
          <w:iCs/>
        </w:rPr>
        <w:t>Joshua will form a small group with SSWG and PLWG representation to discuss and potentially propose language</w:t>
      </w:r>
      <w:r w:rsidR="006573B9">
        <w:rPr>
          <w:rFonts w:ascii="Arial" w:eastAsia="Times New Roman" w:hAnsi="Arial" w:cs="Arial"/>
          <w:i/>
          <w:iCs/>
        </w:rPr>
        <w:t xml:space="preserve"> to update the SSWG Procedure Manual</w:t>
      </w:r>
      <w:r>
        <w:rPr>
          <w:rFonts w:ascii="Arial" w:eastAsia="Times New Roman" w:hAnsi="Arial" w:cs="Arial"/>
          <w:i/>
          <w:iCs/>
        </w:rPr>
        <w:t>.</w:t>
      </w:r>
    </w:p>
    <w:p w14:paraId="0074E92E" w14:textId="4891FF74" w:rsidR="004152AB" w:rsidRDefault="00CD3A3F" w:rsidP="004152AB">
      <w:pPr>
        <w:pStyle w:val="PlainText"/>
        <w:numPr>
          <w:ilvl w:val="0"/>
          <w:numId w:val="1"/>
        </w:numPr>
        <w:spacing w:line="276" w:lineRule="auto"/>
        <w:rPr>
          <w:rFonts w:eastAsia="Times New Roman"/>
          <w:b/>
          <w:bCs/>
        </w:rPr>
      </w:pPr>
      <w:hyperlink r:id="rId6" w:history="1">
        <w:r w:rsidR="004152AB">
          <w:rPr>
            <w:rStyle w:val="Hyperlink"/>
            <w:rFonts w:eastAsia="Times New Roman"/>
            <w:b/>
            <w:bCs/>
          </w:rPr>
          <w:t>PGRR 109</w:t>
        </w:r>
      </w:hyperlink>
      <w:r w:rsidR="004152AB">
        <w:rPr>
          <w:rFonts w:eastAsia="Times New Roman"/>
          <w:b/>
          <w:bCs/>
        </w:rPr>
        <w:t xml:space="preserve"> Dynamic Model Review Process Improvement for IBR Modification</w:t>
      </w:r>
    </w:p>
    <w:p w14:paraId="70C61B58" w14:textId="77777777" w:rsidR="005756EE" w:rsidRDefault="005756EE" w:rsidP="005756EE">
      <w:pPr>
        <w:pStyle w:val="PlainText"/>
        <w:numPr>
          <w:ilvl w:val="1"/>
          <w:numId w:val="1"/>
        </w:numPr>
        <w:spacing w:line="276" w:lineRule="auto"/>
        <w:rPr>
          <w:rFonts w:eastAsia="Times New Roman"/>
        </w:rPr>
      </w:pPr>
      <w:r>
        <w:rPr>
          <w:rFonts w:eastAsia="Times New Roman"/>
        </w:rPr>
        <w:t>PGRR 109 introduces a new requirement for IEs associated with IBRs to undergo a dynamic model review process prior to resource commissioning and before implementing changes to settings or equipment that would affect the generator dynamic model.</w:t>
      </w:r>
    </w:p>
    <w:p w14:paraId="7B13FFB1" w14:textId="72261CCA" w:rsidR="005756EE" w:rsidRDefault="005756EE" w:rsidP="005756EE">
      <w:pPr>
        <w:pStyle w:val="PlainText"/>
        <w:numPr>
          <w:ilvl w:val="1"/>
          <w:numId w:val="1"/>
        </w:numPr>
        <w:spacing w:line="276" w:lineRule="auto"/>
        <w:rPr>
          <w:rFonts w:eastAsia="Times New Roman"/>
        </w:rPr>
      </w:pPr>
      <w:r>
        <w:rPr>
          <w:rFonts w:eastAsia="Times New Roman"/>
        </w:rPr>
        <w:t xml:space="preserve">Kristin Cook (Southern Power) and Jason Kemper (EDF Renewables), on behalf of Joint Commenters, submitted </w:t>
      </w:r>
      <w:hyperlink r:id="rId7" w:history="1">
        <w:r>
          <w:rPr>
            <w:rStyle w:val="Hyperlink"/>
            <w:rFonts w:eastAsia="Times New Roman"/>
          </w:rPr>
          <w:t>reply comments</w:t>
        </w:r>
      </w:hyperlink>
      <w:r>
        <w:rPr>
          <w:rFonts w:eastAsia="Times New Roman"/>
        </w:rPr>
        <w:t xml:space="preserve"> on October 17.</w:t>
      </w:r>
    </w:p>
    <w:p w14:paraId="49452BE7" w14:textId="4A94FB1A" w:rsidR="005756EE" w:rsidRDefault="005756EE" w:rsidP="005756EE">
      <w:pPr>
        <w:pStyle w:val="PlainText"/>
        <w:numPr>
          <w:ilvl w:val="1"/>
          <w:numId w:val="1"/>
        </w:numPr>
        <w:spacing w:line="276" w:lineRule="auto"/>
        <w:rPr>
          <w:rFonts w:eastAsia="Times New Roman"/>
        </w:rPr>
      </w:pPr>
      <w:r>
        <w:rPr>
          <w:rFonts w:eastAsia="Times New Roman"/>
        </w:rPr>
        <w:lastRenderedPageBreak/>
        <w:t xml:space="preserve">Sun Wook Kang (ERCOT) submitted </w:t>
      </w:r>
      <w:hyperlink r:id="rId8" w:history="1">
        <w:r>
          <w:rPr>
            <w:rStyle w:val="Hyperlink"/>
            <w:rFonts w:eastAsia="Times New Roman"/>
          </w:rPr>
          <w:t>reply comments</w:t>
        </w:r>
      </w:hyperlink>
      <w:r>
        <w:rPr>
          <w:rFonts w:eastAsia="Times New Roman"/>
        </w:rPr>
        <w:t xml:space="preserve"> on November 7. Sun Wook </w:t>
      </w:r>
      <w:hyperlink r:id="rId9" w:history="1">
        <w:r>
          <w:rPr>
            <w:rStyle w:val="Hyperlink"/>
            <w:rFonts w:eastAsia="Times New Roman"/>
          </w:rPr>
          <w:t>summarized these comments</w:t>
        </w:r>
      </w:hyperlink>
      <w:r>
        <w:rPr>
          <w:rFonts w:eastAsia="Times New Roman"/>
        </w:rPr>
        <w:t xml:space="preserve"> for PLWG.</w:t>
      </w:r>
    </w:p>
    <w:p w14:paraId="31D57C88" w14:textId="123CC38E" w:rsidR="005756EE" w:rsidRDefault="00551E59" w:rsidP="005756EE">
      <w:pPr>
        <w:pStyle w:val="PlainText"/>
        <w:numPr>
          <w:ilvl w:val="1"/>
          <w:numId w:val="1"/>
        </w:numPr>
        <w:spacing w:line="276" w:lineRule="auto"/>
        <w:rPr>
          <w:rFonts w:eastAsia="Times New Roman"/>
        </w:rPr>
      </w:pPr>
      <w:r>
        <w:rPr>
          <w:rFonts w:eastAsia="Times New Roman"/>
        </w:rPr>
        <w:t>Market Rules</w:t>
      </w:r>
      <w:r w:rsidR="005756EE">
        <w:rPr>
          <w:rFonts w:eastAsia="Times New Roman"/>
        </w:rPr>
        <w:t xml:space="preserve"> clarified that the timeline on Slide 9 will need to be extended out since PGRR 109 is tabled at ROS.</w:t>
      </w:r>
    </w:p>
    <w:p w14:paraId="661743A6" w14:textId="4475C990" w:rsidR="005756EE" w:rsidRDefault="005756EE" w:rsidP="005756EE">
      <w:pPr>
        <w:pStyle w:val="PlainText"/>
        <w:numPr>
          <w:ilvl w:val="1"/>
          <w:numId w:val="1"/>
        </w:numPr>
        <w:spacing w:line="276" w:lineRule="auto"/>
        <w:rPr>
          <w:rFonts w:eastAsia="Times New Roman"/>
        </w:rPr>
      </w:pPr>
      <w:r>
        <w:rPr>
          <w:rFonts w:eastAsia="Times New Roman"/>
        </w:rPr>
        <w:t>It was noted that model review processes could affect the commercial viability of generation facilities by delaying commercial operation.</w:t>
      </w:r>
    </w:p>
    <w:p w14:paraId="258B13C5" w14:textId="77777777" w:rsidR="005756EE" w:rsidRDefault="005756EE" w:rsidP="005756EE">
      <w:pPr>
        <w:pStyle w:val="PlainText"/>
        <w:numPr>
          <w:ilvl w:val="1"/>
          <w:numId w:val="1"/>
        </w:numPr>
        <w:spacing w:line="276" w:lineRule="auto"/>
        <w:rPr>
          <w:rFonts w:eastAsia="Times New Roman"/>
        </w:rPr>
      </w:pPr>
      <w:r>
        <w:rPr>
          <w:rFonts w:eastAsia="Times New Roman"/>
        </w:rPr>
        <w:t xml:space="preserve">Several people commented that language allowing changes to be temporarily implemented “prior to completion” was ambiguous as to whether the process must be started before the change could be temporarily implemented, which would require REs to submit complete model packages. Sun Wook that ERCOT has the discretion to temporarily allow modifications before the PGRR 109 review process begins; he agreed to delete the “prior to completion” language and said that ERCOT will file comments and a revised PGRR. This language will </w:t>
      </w:r>
      <w:r>
        <w:rPr>
          <w:rFonts w:eastAsia="Times New Roman"/>
          <w:u w:val="single"/>
        </w:rPr>
        <w:t>not</w:t>
      </w:r>
      <w:r>
        <w:rPr>
          <w:rFonts w:eastAsia="Times New Roman"/>
        </w:rPr>
        <w:t xml:space="preserve"> eliminate the requirement that REs go through the PGRR 109 review process before any proposed modifications to settings or equipment are officially accepted or implemented.</w:t>
      </w:r>
    </w:p>
    <w:p w14:paraId="3F954376" w14:textId="4DF62135" w:rsidR="004152AB" w:rsidRDefault="005756EE" w:rsidP="005756EE">
      <w:pPr>
        <w:pStyle w:val="PlainText"/>
        <w:numPr>
          <w:ilvl w:val="1"/>
          <w:numId w:val="1"/>
        </w:numPr>
        <w:spacing w:line="276" w:lineRule="auto"/>
        <w:rPr>
          <w:rFonts w:eastAsia="Times New Roman"/>
        </w:rPr>
      </w:pPr>
      <w:r>
        <w:rPr>
          <w:rFonts w:eastAsia="Times New Roman"/>
          <w:i/>
          <w:iCs/>
        </w:rPr>
        <w:t xml:space="preserve">Sun Wook Kang (ERCOT) submitted a </w:t>
      </w:r>
      <w:hyperlink r:id="rId10" w:history="1">
        <w:r>
          <w:rPr>
            <w:rStyle w:val="Hyperlink"/>
            <w:rFonts w:eastAsia="Times New Roman"/>
            <w:i/>
            <w:iCs/>
          </w:rPr>
          <w:t>revised version of PGRR 109</w:t>
        </w:r>
      </w:hyperlink>
      <w:r>
        <w:rPr>
          <w:rFonts w:eastAsia="Times New Roman"/>
          <w:i/>
          <w:iCs/>
        </w:rPr>
        <w:t xml:space="preserve"> with minor updates; the revised language says, “ERCOT, in consultation with the interconnecting TSP, may allow the proposed changes to be temporarily implemented prior to the </w:t>
      </w:r>
      <w:r>
        <w:rPr>
          <w:rFonts w:eastAsia="Times New Roman"/>
          <w:i/>
          <w:iCs/>
          <w:strike/>
        </w:rPr>
        <w:t>completion of the</w:t>
      </w:r>
      <w:r>
        <w:rPr>
          <w:rFonts w:eastAsia="Times New Roman"/>
          <w:i/>
          <w:iCs/>
        </w:rPr>
        <w:t xml:space="preserve"> above review process in order to address any identified performance deficiency”. PLWG agreed to send the revised PGRR 109 to ROS for consideration</w:t>
      </w:r>
      <w:r w:rsidR="004152AB">
        <w:rPr>
          <w:rFonts w:eastAsia="Times New Roman"/>
          <w:i/>
          <w:iCs/>
        </w:rPr>
        <w:t>.</w:t>
      </w:r>
    </w:p>
    <w:p w14:paraId="5C49D584" w14:textId="0B62B492" w:rsidR="004152AB" w:rsidRDefault="00CD3A3F" w:rsidP="004152AB">
      <w:pPr>
        <w:pStyle w:val="PlainText"/>
        <w:numPr>
          <w:ilvl w:val="0"/>
          <w:numId w:val="1"/>
        </w:numPr>
        <w:spacing w:line="276" w:lineRule="auto"/>
        <w:rPr>
          <w:rFonts w:eastAsia="Times New Roman"/>
          <w:b/>
          <w:bCs/>
        </w:rPr>
      </w:pPr>
      <w:hyperlink r:id="rId11" w:anchor="keydocs" w:history="1">
        <w:r w:rsidR="004152AB">
          <w:rPr>
            <w:rStyle w:val="Hyperlink"/>
            <w:rFonts w:eastAsia="Times New Roman"/>
            <w:b/>
            <w:bCs/>
          </w:rPr>
          <w:t>PGRR 112</w:t>
        </w:r>
      </w:hyperlink>
      <w:r w:rsidR="004152AB">
        <w:rPr>
          <w:rFonts w:eastAsia="Times New Roman"/>
          <w:b/>
          <w:bCs/>
        </w:rPr>
        <w:t xml:space="preserve"> Dynamic Data Model and Full Interconnection Study (FIS) Deadline for Quarterly Stability Assessment (Jenifer Fernandes, ERCOT)</w:t>
      </w:r>
    </w:p>
    <w:p w14:paraId="42DA728A" w14:textId="2028B089" w:rsidR="00551E59" w:rsidRDefault="00551E59" w:rsidP="00551E59">
      <w:pPr>
        <w:pStyle w:val="PlainText"/>
        <w:numPr>
          <w:ilvl w:val="1"/>
          <w:numId w:val="1"/>
        </w:numPr>
        <w:spacing w:line="276" w:lineRule="auto"/>
        <w:rPr>
          <w:rFonts w:eastAsia="Times New Roman"/>
        </w:rPr>
      </w:pPr>
      <w:r>
        <w:rPr>
          <w:rFonts w:eastAsia="Times New Roman"/>
        </w:rPr>
        <w:t>A participant said they would prefer that the timeline reference the submission of the draft FIS study rather than the completion of the final FIS study, which is approved by ERCOT. They believe that this change will help TSPs communicate to IEs when they need to provide necessary modeling information to meet the QSA deadline.</w:t>
      </w:r>
    </w:p>
    <w:p w14:paraId="5168EB9A" w14:textId="4BCE0EB0" w:rsidR="00551E59" w:rsidRDefault="00551E59" w:rsidP="00551E59">
      <w:pPr>
        <w:pStyle w:val="PlainText"/>
        <w:numPr>
          <w:ilvl w:val="1"/>
          <w:numId w:val="1"/>
        </w:numPr>
        <w:spacing w:line="276" w:lineRule="auto"/>
        <w:rPr>
          <w:rFonts w:eastAsia="Times New Roman"/>
        </w:rPr>
      </w:pPr>
      <w:r>
        <w:rPr>
          <w:rFonts w:eastAsia="Times New Roman"/>
        </w:rPr>
        <w:t xml:space="preserve">Jenifer agrees with the 45-day timeline proposed in the LCRA TSC comments but disagrees with changing “final” to “draft”, saying that ERCOT needs to </w:t>
      </w:r>
      <w:proofErr w:type="gramStart"/>
      <w:r>
        <w:rPr>
          <w:rFonts w:eastAsia="Times New Roman"/>
        </w:rPr>
        <w:t>actually review</w:t>
      </w:r>
      <w:proofErr w:type="gramEnd"/>
      <w:r>
        <w:rPr>
          <w:rFonts w:eastAsia="Times New Roman"/>
        </w:rPr>
        <w:t xml:space="preserve"> the submitted modeling information. It was asked if the deadline could be extended beyond 45 days; Jennifer said that she is not comfortable with that idea. It was noted and agreed by others that it is difficult for TSPs to submit a final FIS study when ERCOT is the entity that has full control over its approval. </w:t>
      </w:r>
    </w:p>
    <w:p w14:paraId="41235A1F" w14:textId="3B164C08" w:rsidR="00551E59" w:rsidRDefault="00551E59" w:rsidP="00551E59">
      <w:pPr>
        <w:pStyle w:val="PlainText"/>
        <w:numPr>
          <w:ilvl w:val="1"/>
          <w:numId w:val="1"/>
        </w:numPr>
        <w:spacing w:line="276" w:lineRule="auto"/>
        <w:rPr>
          <w:rFonts w:eastAsia="Times New Roman"/>
        </w:rPr>
      </w:pPr>
      <w:r>
        <w:rPr>
          <w:rFonts w:eastAsia="Times New Roman"/>
        </w:rPr>
        <w:t>Jenifer said that ERCOT will submit comments in response to the LCRA TSC comments.</w:t>
      </w:r>
    </w:p>
    <w:p w14:paraId="75535A48" w14:textId="616F9D6E" w:rsidR="004152AB" w:rsidRDefault="00551E59" w:rsidP="00551E59">
      <w:pPr>
        <w:pStyle w:val="PlainText"/>
        <w:numPr>
          <w:ilvl w:val="1"/>
          <w:numId w:val="1"/>
        </w:numPr>
        <w:spacing w:line="276" w:lineRule="auto"/>
        <w:rPr>
          <w:rFonts w:eastAsia="Times New Roman"/>
        </w:rPr>
      </w:pPr>
      <w:r>
        <w:rPr>
          <w:rFonts w:eastAsia="Times New Roman"/>
          <w:i/>
          <w:iCs/>
        </w:rPr>
        <w:t>PLWG will table PGRR 112 for further discussion at the December meeting</w:t>
      </w:r>
      <w:r w:rsidR="004152AB">
        <w:rPr>
          <w:rFonts w:eastAsia="Times New Roman"/>
          <w:i/>
          <w:iCs/>
        </w:rPr>
        <w:t>.</w:t>
      </w:r>
    </w:p>
    <w:p w14:paraId="11442635" w14:textId="4A156B58" w:rsidR="00551E59" w:rsidRDefault="00CD3A3F" w:rsidP="00551E59">
      <w:pPr>
        <w:pStyle w:val="PlainText"/>
        <w:numPr>
          <w:ilvl w:val="0"/>
          <w:numId w:val="1"/>
        </w:numPr>
        <w:spacing w:line="276" w:lineRule="auto"/>
        <w:rPr>
          <w:rFonts w:eastAsia="Times New Roman"/>
          <w:b/>
          <w:bCs/>
        </w:rPr>
      </w:pPr>
      <w:hyperlink r:id="rId12" w:anchor="summary" w:history="1">
        <w:r w:rsidR="00551E59">
          <w:rPr>
            <w:rStyle w:val="Hyperlink"/>
            <w:rFonts w:eastAsia="Times New Roman"/>
            <w:b/>
            <w:bCs/>
          </w:rPr>
          <w:t>PGRR 113</w:t>
        </w:r>
      </w:hyperlink>
      <w:r w:rsidR="00551E59">
        <w:rPr>
          <w:rFonts w:eastAsia="Times New Roman"/>
          <w:b/>
          <w:bCs/>
        </w:rPr>
        <w:t xml:space="preserve"> Related to NPRR 1198 – Congestion Mitigation Using Topology Reconfigurations (Ping Yan, ERCOT)</w:t>
      </w:r>
    </w:p>
    <w:p w14:paraId="7E7A823C" w14:textId="77777777" w:rsidR="00551E59" w:rsidRDefault="00551E59" w:rsidP="00551E59">
      <w:pPr>
        <w:pStyle w:val="PlainText"/>
        <w:numPr>
          <w:ilvl w:val="1"/>
          <w:numId w:val="1"/>
        </w:numPr>
        <w:spacing w:line="276" w:lineRule="auto"/>
        <w:rPr>
          <w:rFonts w:eastAsia="Times New Roman"/>
        </w:rPr>
      </w:pPr>
      <w:r>
        <w:rPr>
          <w:rFonts w:eastAsia="Times New Roman"/>
        </w:rPr>
        <w:t xml:space="preserve">PGRR 113 clarifies that ERCOT will </w:t>
      </w:r>
      <w:r>
        <w:rPr>
          <w:rFonts w:eastAsia="Times New Roman"/>
          <w:u w:val="single"/>
        </w:rPr>
        <w:t>not</w:t>
      </w:r>
      <w:r>
        <w:rPr>
          <w:rFonts w:eastAsia="Times New Roman"/>
        </w:rPr>
        <w:t xml:space="preserve"> use CMPs to resolve performance deficiencies in the RTP unless ERCOT expects that system conditions will change such that the CMP will no longer be needed within the next five years.</w:t>
      </w:r>
    </w:p>
    <w:p w14:paraId="3CE346D6" w14:textId="508AF424" w:rsidR="00551E59" w:rsidRDefault="00551E59" w:rsidP="00551E59">
      <w:pPr>
        <w:pStyle w:val="PlainText"/>
        <w:numPr>
          <w:ilvl w:val="1"/>
          <w:numId w:val="1"/>
        </w:numPr>
        <w:spacing w:line="276" w:lineRule="auto"/>
        <w:rPr>
          <w:rFonts w:eastAsia="Times New Roman"/>
        </w:rPr>
      </w:pPr>
      <w:r>
        <w:rPr>
          <w:rFonts w:eastAsia="Times New Roman"/>
        </w:rPr>
        <w:lastRenderedPageBreak/>
        <w:t>It was asked whether this language applies to contingencies that allow load shed (e.g., NERC Category P6). Ping said that it only applies to contingencies that do not allow load shed (e.g., N-1, ERCOT 2/3).</w:t>
      </w:r>
    </w:p>
    <w:p w14:paraId="76215023" w14:textId="709D53CF" w:rsidR="00551E59" w:rsidRDefault="00551E59" w:rsidP="00551E59">
      <w:pPr>
        <w:pStyle w:val="PlainText"/>
        <w:numPr>
          <w:ilvl w:val="1"/>
          <w:numId w:val="1"/>
        </w:numPr>
        <w:spacing w:line="276" w:lineRule="auto"/>
        <w:rPr>
          <w:rFonts w:eastAsia="Times New Roman"/>
        </w:rPr>
      </w:pPr>
      <w:r>
        <w:rPr>
          <w:rFonts w:eastAsia="Times New Roman"/>
        </w:rPr>
        <w:t>It was commented that EAPs in the network operations model may flow into the SSWG model cases and would need to be reversed. Ping said that temporary settings affected by an EAP would be reverted before being modeled in the SSWG base cases. It was noted that this may need to be clarified in the Planning Guide or SSWG Procedure Manual.</w:t>
      </w:r>
    </w:p>
    <w:p w14:paraId="7A9F2B4A" w14:textId="6B3DE605" w:rsidR="00551E59" w:rsidRPr="00551E59" w:rsidRDefault="00551E59" w:rsidP="00551E59">
      <w:pPr>
        <w:pStyle w:val="PlainText"/>
        <w:numPr>
          <w:ilvl w:val="1"/>
          <w:numId w:val="1"/>
        </w:numPr>
        <w:spacing w:line="276" w:lineRule="auto"/>
        <w:rPr>
          <w:rFonts w:eastAsia="Times New Roman"/>
        </w:rPr>
      </w:pPr>
      <w:r>
        <w:rPr>
          <w:rFonts w:eastAsia="Times New Roman"/>
          <w:i/>
          <w:iCs/>
        </w:rPr>
        <w:t>ROS will consider PGRR 113 at a future meeting. PLWG expects ROS to refer PGRR 113 to PLWG for further discussion at the December meeting.</w:t>
      </w:r>
    </w:p>
    <w:p w14:paraId="19BB705F" w14:textId="6554A086" w:rsidR="004152AB" w:rsidRDefault="004152AB" w:rsidP="004152AB">
      <w:pPr>
        <w:pStyle w:val="PlainText"/>
        <w:numPr>
          <w:ilvl w:val="0"/>
          <w:numId w:val="1"/>
        </w:numPr>
        <w:spacing w:line="276" w:lineRule="auto"/>
        <w:rPr>
          <w:rFonts w:eastAsia="Times New Roman"/>
          <w:b/>
          <w:bCs/>
        </w:rPr>
      </w:pPr>
      <w:r>
        <w:rPr>
          <w:rFonts w:eastAsia="Times New Roman"/>
          <w:b/>
          <w:bCs/>
        </w:rPr>
        <w:t>Review Open Action Items</w:t>
      </w:r>
    </w:p>
    <w:p w14:paraId="46D2BBDC" w14:textId="77777777"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FAC-002-4 Qualified Change.</w:t>
      </w:r>
      <w:r>
        <w:rPr>
          <w:rFonts w:ascii="Arial" w:eastAsia="Times New Roman" w:hAnsi="Arial" w:cs="Arial"/>
        </w:rPr>
        <w:t xml:space="preserve"> (No updates)</w:t>
      </w:r>
    </w:p>
    <w:p w14:paraId="1D7DCE7A" w14:textId="3DA27587"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ERCOT Congestion Cost Savings Test.</w:t>
      </w:r>
      <w:r>
        <w:rPr>
          <w:rFonts w:ascii="Arial" w:eastAsia="Times New Roman" w:hAnsi="Arial" w:cs="Arial"/>
        </w:rPr>
        <w:t xml:space="preserve"> Ping Yan (ERCOT) said </w:t>
      </w:r>
      <w:r w:rsidR="00551E59">
        <w:rPr>
          <w:rFonts w:ascii="Arial" w:eastAsia="Times New Roman" w:hAnsi="Arial" w:cs="Arial"/>
        </w:rPr>
        <w:t xml:space="preserve">in October </w:t>
      </w:r>
      <w:r>
        <w:rPr>
          <w:rFonts w:ascii="Arial" w:eastAsia="Times New Roman" w:hAnsi="Arial" w:cs="Arial"/>
        </w:rPr>
        <w:t xml:space="preserve">that this item will be on the PLWG agenda </w:t>
      </w:r>
      <w:r w:rsidR="00551E59">
        <w:rPr>
          <w:rFonts w:ascii="Arial" w:eastAsia="Times New Roman" w:hAnsi="Arial" w:cs="Arial"/>
        </w:rPr>
        <w:t>at the</w:t>
      </w:r>
      <w:r>
        <w:rPr>
          <w:rFonts w:ascii="Arial" w:eastAsia="Times New Roman" w:hAnsi="Arial" w:cs="Arial"/>
        </w:rPr>
        <w:t xml:space="preserve"> December meeting.</w:t>
      </w:r>
    </w:p>
    <w:p w14:paraId="7E66D2D7" w14:textId="728ED5D0" w:rsidR="004152AB" w:rsidRDefault="00CD3A3F" w:rsidP="004152AB">
      <w:pPr>
        <w:pStyle w:val="ListParagraph"/>
        <w:numPr>
          <w:ilvl w:val="1"/>
          <w:numId w:val="1"/>
        </w:numPr>
        <w:spacing w:line="276" w:lineRule="auto"/>
        <w:rPr>
          <w:rFonts w:ascii="Arial" w:eastAsia="Times New Roman" w:hAnsi="Arial" w:cs="Arial"/>
        </w:rPr>
      </w:pPr>
      <w:hyperlink r:id="rId13" w:history="1">
        <w:r w:rsidR="004152AB">
          <w:rPr>
            <w:rStyle w:val="Hyperlink"/>
            <w:rFonts w:ascii="Arial" w:eastAsia="Times New Roman" w:hAnsi="Arial" w:cs="Arial"/>
            <w:b/>
            <w:bCs/>
          </w:rPr>
          <w:t>NPRR 1070</w:t>
        </w:r>
      </w:hyperlink>
      <w:r w:rsidR="004152AB">
        <w:rPr>
          <w:rFonts w:ascii="Arial" w:eastAsia="Times New Roman" w:hAnsi="Arial" w:cs="Arial"/>
          <w:b/>
          <w:bCs/>
        </w:rPr>
        <w:t xml:space="preserve"> – Planning Criteria for GTC Exit Solutions.</w:t>
      </w:r>
      <w:r w:rsidR="004152AB">
        <w:rPr>
          <w:rFonts w:ascii="Arial" w:eastAsia="Times New Roman" w:hAnsi="Arial" w:cs="Arial"/>
        </w:rPr>
        <w:t xml:space="preserve"> </w:t>
      </w:r>
      <w:r w:rsidR="00E16285">
        <w:rPr>
          <w:rFonts w:ascii="Arial" w:eastAsia="Times New Roman" w:hAnsi="Arial" w:cs="Arial"/>
        </w:rPr>
        <w:t>Remains tabled while alternative revisions are drafted</w:t>
      </w:r>
      <w:r w:rsidR="004152AB">
        <w:rPr>
          <w:rFonts w:ascii="Arial" w:eastAsia="Times New Roman" w:hAnsi="Arial" w:cs="Arial"/>
        </w:rPr>
        <w:t>.</w:t>
      </w:r>
    </w:p>
    <w:p w14:paraId="41B081C8" w14:textId="77777777" w:rsidR="00675532" w:rsidRDefault="00675532" w:rsidP="00675532">
      <w:pPr>
        <w:pStyle w:val="PlainText"/>
        <w:numPr>
          <w:ilvl w:val="0"/>
          <w:numId w:val="1"/>
        </w:numPr>
        <w:spacing w:line="276" w:lineRule="auto"/>
        <w:rPr>
          <w:rFonts w:eastAsia="Times New Roman"/>
        </w:rPr>
      </w:pPr>
      <w:r>
        <w:rPr>
          <w:rFonts w:eastAsia="Times New Roman"/>
          <w:b/>
          <w:bCs/>
        </w:rPr>
        <w:t>Other Business</w:t>
      </w:r>
    </w:p>
    <w:p w14:paraId="12B95ABB" w14:textId="2A452EFD" w:rsidR="00D55287" w:rsidRPr="00675532" w:rsidRDefault="00675532" w:rsidP="00675532">
      <w:pPr>
        <w:pStyle w:val="PlainText"/>
        <w:numPr>
          <w:ilvl w:val="1"/>
          <w:numId w:val="1"/>
        </w:numPr>
        <w:spacing w:line="276" w:lineRule="auto"/>
        <w:rPr>
          <w:rFonts w:eastAsia="Times New Roman"/>
        </w:rPr>
      </w:pPr>
      <w:r>
        <w:rPr>
          <w:rFonts w:eastAsia="Times New Roman"/>
        </w:rPr>
        <w:t>(None)</w:t>
      </w:r>
    </w:p>
    <w:p w14:paraId="6BDA7599"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Adjourn</w:t>
      </w:r>
    </w:p>
    <w:p w14:paraId="6F1E1E73" w14:textId="59496359" w:rsidR="000B17E9" w:rsidRDefault="000B17E9"/>
    <w:p w14:paraId="6F754524" w14:textId="062A809B" w:rsidR="006C0F0E" w:rsidRPr="006C0F0E" w:rsidRDefault="006C0F0E">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(In-Person)</w:t>
      </w:r>
    </w:p>
    <w:tbl>
      <w:tblPr>
        <w:tblW w:w="9360" w:type="dxa"/>
        <w:tblLook w:val="04A0" w:firstRow="1" w:lastRow="0" w:firstColumn="1" w:lastColumn="0" w:noHBand="0" w:noVBand="1"/>
      </w:tblPr>
      <w:tblGrid>
        <w:gridCol w:w="6086"/>
        <w:gridCol w:w="3274"/>
      </w:tblGrid>
      <w:tr w:rsidR="006C0F0E" w:rsidRPr="006C0F0E" w14:paraId="1AE28F51" w14:textId="77777777" w:rsidTr="00E16285">
        <w:trPr>
          <w:trHeight w:val="300"/>
        </w:trPr>
        <w:tc>
          <w:tcPr>
            <w:tcW w:w="5700" w:type="dxa"/>
            <w:tcBorders>
              <w:top w:val="nil"/>
              <w:left w:val="nil"/>
              <w:bottom w:val="nil"/>
              <w:right w:val="nil"/>
            </w:tcBorders>
            <w:shd w:val="clear" w:color="auto" w:fill="auto"/>
            <w:noWrap/>
            <w:vAlign w:val="bottom"/>
          </w:tcPr>
          <w:tbl>
            <w:tblPr>
              <w:tblW w:w="6556" w:type="dxa"/>
              <w:tblLook w:val="04A0" w:firstRow="1" w:lastRow="0" w:firstColumn="1" w:lastColumn="0" w:noHBand="0" w:noVBand="1"/>
            </w:tblPr>
            <w:tblGrid>
              <w:gridCol w:w="3048"/>
              <w:gridCol w:w="2822"/>
            </w:tblGrid>
            <w:tr w:rsidR="00391C50" w:rsidRPr="00E16285" w14:paraId="0CA7A4B9" w14:textId="77777777" w:rsidTr="00391C50">
              <w:trPr>
                <w:trHeight w:val="300"/>
              </w:trPr>
              <w:tc>
                <w:tcPr>
                  <w:tcW w:w="3405" w:type="dxa"/>
                  <w:tcBorders>
                    <w:top w:val="nil"/>
                    <w:left w:val="nil"/>
                    <w:bottom w:val="nil"/>
                    <w:right w:val="nil"/>
                  </w:tcBorders>
                  <w:shd w:val="clear" w:color="auto" w:fill="auto"/>
                  <w:noWrap/>
                  <w:vAlign w:val="bottom"/>
                  <w:hideMark/>
                </w:tcPr>
                <w:p w14:paraId="3C93B0EC" w14:textId="77777777" w:rsidR="00E16285" w:rsidRPr="00E16285" w:rsidRDefault="00E16285" w:rsidP="00E16285">
                  <w:pPr>
                    <w:spacing w:after="0" w:line="240" w:lineRule="auto"/>
                    <w:jc w:val="center"/>
                    <w:rPr>
                      <w:rFonts w:ascii="Calibri" w:eastAsia="Times New Roman" w:hAnsi="Calibri" w:cs="Calibri"/>
                      <w:b/>
                      <w:bCs/>
                      <w:color w:val="000000"/>
                      <w:kern w:val="0"/>
                      <w14:ligatures w14:val="none"/>
                    </w:rPr>
                  </w:pPr>
                  <w:r w:rsidRPr="00E16285">
                    <w:rPr>
                      <w:rFonts w:ascii="Calibri" w:eastAsia="Times New Roman" w:hAnsi="Calibri" w:cs="Calibri"/>
                      <w:b/>
                      <w:bCs/>
                      <w:color w:val="000000"/>
                      <w:kern w:val="0"/>
                      <w14:ligatures w14:val="none"/>
                    </w:rPr>
                    <w:t>Name</w:t>
                  </w:r>
                </w:p>
              </w:tc>
              <w:tc>
                <w:tcPr>
                  <w:tcW w:w="3151" w:type="dxa"/>
                  <w:tcBorders>
                    <w:top w:val="nil"/>
                    <w:left w:val="nil"/>
                    <w:bottom w:val="nil"/>
                    <w:right w:val="nil"/>
                  </w:tcBorders>
                  <w:shd w:val="clear" w:color="auto" w:fill="auto"/>
                  <w:noWrap/>
                  <w:vAlign w:val="bottom"/>
                  <w:hideMark/>
                </w:tcPr>
                <w:p w14:paraId="08F72734" w14:textId="77777777" w:rsidR="00E16285" w:rsidRPr="00E16285" w:rsidRDefault="00E16285" w:rsidP="00391C50">
                  <w:pPr>
                    <w:spacing w:after="0" w:line="240" w:lineRule="auto"/>
                    <w:ind w:right="-555"/>
                    <w:jc w:val="center"/>
                    <w:rPr>
                      <w:rFonts w:ascii="Calibri" w:eastAsia="Times New Roman" w:hAnsi="Calibri" w:cs="Calibri"/>
                      <w:b/>
                      <w:bCs/>
                      <w:color w:val="000000"/>
                      <w:kern w:val="0"/>
                      <w14:ligatures w14:val="none"/>
                    </w:rPr>
                  </w:pPr>
                  <w:r w:rsidRPr="00E16285">
                    <w:rPr>
                      <w:rFonts w:ascii="Calibri" w:eastAsia="Times New Roman" w:hAnsi="Calibri" w:cs="Calibri"/>
                      <w:b/>
                      <w:bCs/>
                      <w:color w:val="000000"/>
                      <w:kern w:val="0"/>
                      <w14:ligatures w14:val="none"/>
                    </w:rPr>
                    <w:t>Company</w:t>
                  </w:r>
                </w:p>
              </w:tc>
            </w:tr>
            <w:tr w:rsidR="00391C50" w:rsidRPr="00E16285" w14:paraId="45C38DDD" w14:textId="77777777" w:rsidTr="00391C50">
              <w:trPr>
                <w:trHeight w:val="300"/>
              </w:trPr>
              <w:tc>
                <w:tcPr>
                  <w:tcW w:w="3405" w:type="dxa"/>
                  <w:tcBorders>
                    <w:top w:val="nil"/>
                    <w:left w:val="nil"/>
                    <w:bottom w:val="nil"/>
                    <w:right w:val="nil"/>
                  </w:tcBorders>
                  <w:shd w:val="clear" w:color="auto" w:fill="auto"/>
                  <w:noWrap/>
                  <w:vAlign w:val="bottom"/>
                  <w:hideMark/>
                </w:tcPr>
                <w:p w14:paraId="166714D7" w14:textId="408F6DF2"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Dylan Preas</w:t>
                  </w:r>
                </w:p>
              </w:tc>
              <w:tc>
                <w:tcPr>
                  <w:tcW w:w="3151" w:type="dxa"/>
                  <w:tcBorders>
                    <w:top w:val="nil"/>
                    <w:left w:val="nil"/>
                    <w:bottom w:val="nil"/>
                    <w:right w:val="nil"/>
                  </w:tcBorders>
                  <w:shd w:val="clear" w:color="auto" w:fill="auto"/>
                  <w:noWrap/>
                  <w:vAlign w:val="bottom"/>
                  <w:hideMark/>
                </w:tcPr>
                <w:p w14:paraId="0B974876" w14:textId="2CD69227"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LCRA TSC</w:t>
                  </w:r>
                </w:p>
              </w:tc>
            </w:tr>
            <w:tr w:rsidR="00391C50" w:rsidRPr="00E16285" w14:paraId="389E68DA" w14:textId="77777777" w:rsidTr="00391C50">
              <w:trPr>
                <w:trHeight w:val="300"/>
              </w:trPr>
              <w:tc>
                <w:tcPr>
                  <w:tcW w:w="3405" w:type="dxa"/>
                  <w:tcBorders>
                    <w:top w:val="nil"/>
                    <w:left w:val="nil"/>
                    <w:bottom w:val="nil"/>
                    <w:right w:val="nil"/>
                  </w:tcBorders>
                  <w:shd w:val="clear" w:color="auto" w:fill="auto"/>
                  <w:noWrap/>
                  <w:vAlign w:val="bottom"/>
                  <w:hideMark/>
                </w:tcPr>
                <w:p w14:paraId="7A263D8F" w14:textId="3F02DE63"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Erin Wasik-Gutierrez</w:t>
                  </w:r>
                </w:p>
              </w:tc>
              <w:tc>
                <w:tcPr>
                  <w:tcW w:w="3151" w:type="dxa"/>
                  <w:tcBorders>
                    <w:top w:val="nil"/>
                    <w:left w:val="nil"/>
                    <w:bottom w:val="nil"/>
                    <w:right w:val="nil"/>
                  </w:tcBorders>
                  <w:shd w:val="clear" w:color="auto" w:fill="auto"/>
                  <w:noWrap/>
                  <w:vAlign w:val="bottom"/>
                  <w:hideMark/>
                </w:tcPr>
                <w:p w14:paraId="281494D5" w14:textId="4A578620"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ERCOT</w:t>
                  </w:r>
                </w:p>
              </w:tc>
            </w:tr>
            <w:tr w:rsidR="00391C50" w:rsidRPr="00E16285" w14:paraId="39E28BEF" w14:textId="77777777" w:rsidTr="00391C50">
              <w:trPr>
                <w:trHeight w:val="300"/>
              </w:trPr>
              <w:tc>
                <w:tcPr>
                  <w:tcW w:w="3405" w:type="dxa"/>
                  <w:tcBorders>
                    <w:top w:val="nil"/>
                    <w:left w:val="nil"/>
                    <w:bottom w:val="nil"/>
                    <w:right w:val="nil"/>
                  </w:tcBorders>
                  <w:shd w:val="clear" w:color="auto" w:fill="auto"/>
                  <w:noWrap/>
                  <w:vAlign w:val="bottom"/>
                  <w:hideMark/>
                </w:tcPr>
                <w:p w14:paraId="768C6E02" w14:textId="1BC3C05A"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Bob Wittmeyer</w:t>
                  </w:r>
                </w:p>
              </w:tc>
              <w:tc>
                <w:tcPr>
                  <w:tcW w:w="3151" w:type="dxa"/>
                  <w:tcBorders>
                    <w:top w:val="nil"/>
                    <w:left w:val="nil"/>
                    <w:bottom w:val="nil"/>
                    <w:right w:val="nil"/>
                  </w:tcBorders>
                  <w:shd w:val="clear" w:color="auto" w:fill="auto"/>
                  <w:noWrap/>
                  <w:vAlign w:val="bottom"/>
                  <w:hideMark/>
                </w:tcPr>
                <w:p w14:paraId="04653658" w14:textId="6BF42DF1"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Longhorn Power</w:t>
                  </w:r>
                </w:p>
              </w:tc>
            </w:tr>
            <w:tr w:rsidR="00391C50" w:rsidRPr="00E16285" w14:paraId="436CAF37" w14:textId="77777777" w:rsidTr="00391C50">
              <w:trPr>
                <w:trHeight w:val="300"/>
              </w:trPr>
              <w:tc>
                <w:tcPr>
                  <w:tcW w:w="3405" w:type="dxa"/>
                  <w:tcBorders>
                    <w:top w:val="nil"/>
                    <w:left w:val="nil"/>
                    <w:bottom w:val="nil"/>
                    <w:right w:val="nil"/>
                  </w:tcBorders>
                  <w:shd w:val="clear" w:color="auto" w:fill="auto"/>
                  <w:noWrap/>
                  <w:vAlign w:val="bottom"/>
                  <w:hideMark/>
                </w:tcPr>
                <w:p w14:paraId="431F31FB" w14:textId="5F683111"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Brad Bell</w:t>
                  </w:r>
                </w:p>
              </w:tc>
              <w:tc>
                <w:tcPr>
                  <w:tcW w:w="3151" w:type="dxa"/>
                  <w:tcBorders>
                    <w:top w:val="nil"/>
                    <w:left w:val="nil"/>
                    <w:bottom w:val="nil"/>
                    <w:right w:val="nil"/>
                  </w:tcBorders>
                  <w:shd w:val="clear" w:color="auto" w:fill="auto"/>
                  <w:noWrap/>
                  <w:vAlign w:val="bottom"/>
                  <w:hideMark/>
                </w:tcPr>
                <w:p w14:paraId="1ECD4214" w14:textId="214B5E02"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Solar Proponent</w:t>
                  </w:r>
                </w:p>
              </w:tc>
            </w:tr>
            <w:tr w:rsidR="00391C50" w:rsidRPr="00E16285" w14:paraId="43B16201" w14:textId="77777777" w:rsidTr="00391C50">
              <w:trPr>
                <w:trHeight w:val="300"/>
              </w:trPr>
              <w:tc>
                <w:tcPr>
                  <w:tcW w:w="3405" w:type="dxa"/>
                  <w:tcBorders>
                    <w:top w:val="nil"/>
                    <w:left w:val="nil"/>
                    <w:bottom w:val="nil"/>
                    <w:right w:val="nil"/>
                  </w:tcBorders>
                  <w:shd w:val="clear" w:color="auto" w:fill="auto"/>
                  <w:noWrap/>
                  <w:vAlign w:val="bottom"/>
                  <w:hideMark/>
                </w:tcPr>
                <w:p w14:paraId="3B8AA26E" w14:textId="4B629C65"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Brad Schwarz</w:t>
                  </w:r>
                </w:p>
              </w:tc>
              <w:tc>
                <w:tcPr>
                  <w:tcW w:w="3151" w:type="dxa"/>
                  <w:tcBorders>
                    <w:top w:val="nil"/>
                    <w:left w:val="nil"/>
                    <w:bottom w:val="nil"/>
                    <w:right w:val="nil"/>
                  </w:tcBorders>
                  <w:shd w:val="clear" w:color="auto" w:fill="auto"/>
                  <w:noWrap/>
                  <w:vAlign w:val="bottom"/>
                  <w:hideMark/>
                </w:tcPr>
                <w:p w14:paraId="50861A72" w14:textId="7B387300"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Sharyland</w:t>
                  </w:r>
                </w:p>
              </w:tc>
            </w:tr>
            <w:tr w:rsidR="00391C50" w:rsidRPr="00E16285" w14:paraId="122D0BE7" w14:textId="77777777" w:rsidTr="00391C50">
              <w:trPr>
                <w:trHeight w:val="300"/>
              </w:trPr>
              <w:tc>
                <w:tcPr>
                  <w:tcW w:w="3405" w:type="dxa"/>
                  <w:tcBorders>
                    <w:top w:val="nil"/>
                    <w:left w:val="nil"/>
                    <w:bottom w:val="nil"/>
                    <w:right w:val="nil"/>
                  </w:tcBorders>
                  <w:shd w:val="clear" w:color="auto" w:fill="auto"/>
                  <w:noWrap/>
                  <w:vAlign w:val="bottom"/>
                  <w:hideMark/>
                </w:tcPr>
                <w:p w14:paraId="07098AFF" w14:textId="153AD0BF"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Bridget Headrick</w:t>
                  </w:r>
                </w:p>
              </w:tc>
              <w:tc>
                <w:tcPr>
                  <w:tcW w:w="3151" w:type="dxa"/>
                  <w:tcBorders>
                    <w:top w:val="nil"/>
                    <w:left w:val="nil"/>
                    <w:bottom w:val="nil"/>
                    <w:right w:val="nil"/>
                  </w:tcBorders>
                  <w:shd w:val="clear" w:color="auto" w:fill="auto"/>
                  <w:noWrap/>
                  <w:vAlign w:val="bottom"/>
                  <w:hideMark/>
                </w:tcPr>
                <w:p w14:paraId="142608D2" w14:textId="65A38138"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Customized Energy Solutions</w:t>
                  </w:r>
                </w:p>
              </w:tc>
            </w:tr>
            <w:tr w:rsidR="00391C50" w:rsidRPr="00E16285" w14:paraId="08BED924" w14:textId="77777777" w:rsidTr="00391C50">
              <w:trPr>
                <w:trHeight w:val="300"/>
              </w:trPr>
              <w:tc>
                <w:tcPr>
                  <w:tcW w:w="3405" w:type="dxa"/>
                  <w:tcBorders>
                    <w:top w:val="nil"/>
                    <w:left w:val="nil"/>
                    <w:bottom w:val="nil"/>
                    <w:right w:val="nil"/>
                  </w:tcBorders>
                  <w:shd w:val="clear" w:color="auto" w:fill="auto"/>
                  <w:noWrap/>
                  <w:vAlign w:val="bottom"/>
                  <w:hideMark/>
                </w:tcPr>
                <w:p w14:paraId="652E4574" w14:textId="5C7A01C9"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Charles DeWitt</w:t>
                  </w:r>
                </w:p>
              </w:tc>
              <w:tc>
                <w:tcPr>
                  <w:tcW w:w="3151" w:type="dxa"/>
                  <w:tcBorders>
                    <w:top w:val="nil"/>
                    <w:left w:val="nil"/>
                    <w:bottom w:val="nil"/>
                    <w:right w:val="nil"/>
                  </w:tcBorders>
                  <w:shd w:val="clear" w:color="auto" w:fill="auto"/>
                  <w:noWrap/>
                  <w:vAlign w:val="bottom"/>
                  <w:hideMark/>
                </w:tcPr>
                <w:p w14:paraId="3B2B573F" w14:textId="4C409B21"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PEC</w:t>
                  </w:r>
                </w:p>
              </w:tc>
            </w:tr>
            <w:tr w:rsidR="00391C50" w:rsidRPr="00E16285" w14:paraId="0B9A662C" w14:textId="77777777" w:rsidTr="00391C50">
              <w:trPr>
                <w:trHeight w:val="300"/>
              </w:trPr>
              <w:tc>
                <w:tcPr>
                  <w:tcW w:w="3405" w:type="dxa"/>
                  <w:tcBorders>
                    <w:top w:val="nil"/>
                    <w:left w:val="nil"/>
                    <w:bottom w:val="nil"/>
                    <w:right w:val="nil"/>
                  </w:tcBorders>
                  <w:shd w:val="clear" w:color="auto" w:fill="auto"/>
                  <w:noWrap/>
                  <w:vAlign w:val="bottom"/>
                  <w:hideMark/>
                </w:tcPr>
                <w:p w14:paraId="1C9CF7F9" w14:textId="4E2CC350"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 xml:space="preserve">Constance </w:t>
                  </w:r>
                  <w:proofErr w:type="gramStart"/>
                  <w:r>
                    <w:rPr>
                      <w:rFonts w:ascii="Calibri" w:hAnsi="Calibri" w:cs="Calibri"/>
                      <w:color w:val="000000"/>
                    </w:rPr>
                    <w:t>McDaniel  Wyman</w:t>
                  </w:r>
                  <w:proofErr w:type="gramEnd"/>
                </w:p>
              </w:tc>
              <w:tc>
                <w:tcPr>
                  <w:tcW w:w="3151" w:type="dxa"/>
                  <w:tcBorders>
                    <w:top w:val="nil"/>
                    <w:left w:val="nil"/>
                    <w:bottom w:val="nil"/>
                    <w:right w:val="nil"/>
                  </w:tcBorders>
                  <w:shd w:val="clear" w:color="auto" w:fill="auto"/>
                  <w:noWrap/>
                  <w:vAlign w:val="bottom"/>
                  <w:hideMark/>
                </w:tcPr>
                <w:p w14:paraId="4CE1C048" w14:textId="0CC1EC58"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ETT</w:t>
                  </w:r>
                </w:p>
              </w:tc>
            </w:tr>
            <w:tr w:rsidR="00391C50" w:rsidRPr="00E16285" w14:paraId="6D227D75" w14:textId="77777777" w:rsidTr="00391C50">
              <w:trPr>
                <w:trHeight w:val="300"/>
              </w:trPr>
              <w:tc>
                <w:tcPr>
                  <w:tcW w:w="3405" w:type="dxa"/>
                  <w:tcBorders>
                    <w:top w:val="nil"/>
                    <w:left w:val="nil"/>
                    <w:bottom w:val="nil"/>
                    <w:right w:val="nil"/>
                  </w:tcBorders>
                  <w:shd w:val="clear" w:color="auto" w:fill="auto"/>
                  <w:noWrap/>
                  <w:vAlign w:val="bottom"/>
                  <w:hideMark/>
                </w:tcPr>
                <w:p w14:paraId="3D4E5B8F" w14:textId="0F4E033C"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Doug Evans</w:t>
                  </w:r>
                </w:p>
              </w:tc>
              <w:tc>
                <w:tcPr>
                  <w:tcW w:w="3151" w:type="dxa"/>
                  <w:tcBorders>
                    <w:top w:val="nil"/>
                    <w:left w:val="nil"/>
                    <w:bottom w:val="nil"/>
                    <w:right w:val="nil"/>
                  </w:tcBorders>
                  <w:shd w:val="clear" w:color="auto" w:fill="auto"/>
                  <w:noWrap/>
                  <w:vAlign w:val="bottom"/>
                  <w:hideMark/>
                </w:tcPr>
                <w:p w14:paraId="021B51EC" w14:textId="05680394"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AEP</w:t>
                  </w:r>
                </w:p>
              </w:tc>
            </w:tr>
            <w:tr w:rsidR="00391C50" w:rsidRPr="00E16285" w14:paraId="5B7018CB" w14:textId="77777777" w:rsidTr="00391C50">
              <w:trPr>
                <w:trHeight w:val="300"/>
              </w:trPr>
              <w:tc>
                <w:tcPr>
                  <w:tcW w:w="3405" w:type="dxa"/>
                  <w:tcBorders>
                    <w:top w:val="nil"/>
                    <w:left w:val="nil"/>
                    <w:bottom w:val="nil"/>
                    <w:right w:val="nil"/>
                  </w:tcBorders>
                  <w:shd w:val="clear" w:color="auto" w:fill="auto"/>
                  <w:noWrap/>
                  <w:vAlign w:val="bottom"/>
                  <w:hideMark/>
                </w:tcPr>
                <w:p w14:paraId="5F33F095" w14:textId="68B32395"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Ping Yan</w:t>
                  </w:r>
                </w:p>
              </w:tc>
              <w:tc>
                <w:tcPr>
                  <w:tcW w:w="3151" w:type="dxa"/>
                  <w:tcBorders>
                    <w:top w:val="nil"/>
                    <w:left w:val="nil"/>
                    <w:bottom w:val="nil"/>
                    <w:right w:val="nil"/>
                  </w:tcBorders>
                  <w:shd w:val="clear" w:color="auto" w:fill="auto"/>
                  <w:noWrap/>
                  <w:vAlign w:val="bottom"/>
                  <w:hideMark/>
                </w:tcPr>
                <w:p w14:paraId="66A17771" w14:textId="469453AF"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ERCOT</w:t>
                  </w:r>
                </w:p>
              </w:tc>
            </w:tr>
            <w:tr w:rsidR="00391C50" w:rsidRPr="00E16285" w14:paraId="1F7ED7A1" w14:textId="77777777" w:rsidTr="00391C50">
              <w:trPr>
                <w:trHeight w:val="300"/>
              </w:trPr>
              <w:tc>
                <w:tcPr>
                  <w:tcW w:w="3405" w:type="dxa"/>
                  <w:tcBorders>
                    <w:top w:val="nil"/>
                    <w:left w:val="nil"/>
                    <w:bottom w:val="nil"/>
                    <w:right w:val="nil"/>
                  </w:tcBorders>
                  <w:shd w:val="clear" w:color="auto" w:fill="auto"/>
                  <w:noWrap/>
                  <w:vAlign w:val="bottom"/>
                  <w:hideMark/>
                </w:tcPr>
                <w:p w14:paraId="76740F6A" w14:textId="1FB430F9"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Robert Golan</w:t>
                  </w:r>
                </w:p>
              </w:tc>
              <w:tc>
                <w:tcPr>
                  <w:tcW w:w="3151" w:type="dxa"/>
                  <w:tcBorders>
                    <w:top w:val="nil"/>
                    <w:left w:val="nil"/>
                    <w:bottom w:val="nil"/>
                    <w:right w:val="nil"/>
                  </w:tcBorders>
                  <w:shd w:val="clear" w:color="auto" w:fill="auto"/>
                  <w:noWrap/>
                  <w:vAlign w:val="bottom"/>
                  <w:hideMark/>
                </w:tcPr>
                <w:p w14:paraId="5D805662" w14:textId="26D990ED"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ERCOT</w:t>
                  </w:r>
                </w:p>
              </w:tc>
            </w:tr>
            <w:tr w:rsidR="00391C50" w:rsidRPr="00E16285" w14:paraId="75FE149A" w14:textId="77777777" w:rsidTr="00391C50">
              <w:trPr>
                <w:trHeight w:val="300"/>
              </w:trPr>
              <w:tc>
                <w:tcPr>
                  <w:tcW w:w="3405" w:type="dxa"/>
                  <w:tcBorders>
                    <w:top w:val="nil"/>
                    <w:left w:val="nil"/>
                    <w:bottom w:val="nil"/>
                    <w:right w:val="nil"/>
                  </w:tcBorders>
                  <w:shd w:val="clear" w:color="auto" w:fill="auto"/>
                  <w:noWrap/>
                  <w:vAlign w:val="bottom"/>
                  <w:hideMark/>
                </w:tcPr>
                <w:p w14:paraId="6022EFC9" w14:textId="3745BDCB"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Sun Wook Kang</w:t>
                  </w:r>
                </w:p>
              </w:tc>
              <w:tc>
                <w:tcPr>
                  <w:tcW w:w="3151" w:type="dxa"/>
                  <w:tcBorders>
                    <w:top w:val="nil"/>
                    <w:left w:val="nil"/>
                    <w:bottom w:val="nil"/>
                    <w:right w:val="nil"/>
                  </w:tcBorders>
                  <w:shd w:val="clear" w:color="auto" w:fill="auto"/>
                  <w:noWrap/>
                  <w:vAlign w:val="bottom"/>
                  <w:hideMark/>
                </w:tcPr>
                <w:p w14:paraId="3755E9FB" w14:textId="4C7D757D"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ERCOT</w:t>
                  </w:r>
                </w:p>
              </w:tc>
            </w:tr>
            <w:tr w:rsidR="00391C50" w:rsidRPr="00E16285" w14:paraId="447A5384" w14:textId="77777777" w:rsidTr="00391C50">
              <w:trPr>
                <w:trHeight w:val="300"/>
              </w:trPr>
              <w:tc>
                <w:tcPr>
                  <w:tcW w:w="3405" w:type="dxa"/>
                  <w:tcBorders>
                    <w:top w:val="nil"/>
                    <w:left w:val="nil"/>
                    <w:bottom w:val="nil"/>
                    <w:right w:val="nil"/>
                  </w:tcBorders>
                  <w:shd w:val="clear" w:color="auto" w:fill="auto"/>
                  <w:noWrap/>
                  <w:vAlign w:val="bottom"/>
                  <w:hideMark/>
                </w:tcPr>
                <w:p w14:paraId="2F6950A8" w14:textId="2135C867"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Prabhu Gnanam</w:t>
                  </w:r>
                </w:p>
              </w:tc>
              <w:tc>
                <w:tcPr>
                  <w:tcW w:w="3151" w:type="dxa"/>
                  <w:tcBorders>
                    <w:top w:val="nil"/>
                    <w:left w:val="nil"/>
                    <w:bottom w:val="nil"/>
                    <w:right w:val="nil"/>
                  </w:tcBorders>
                  <w:shd w:val="clear" w:color="auto" w:fill="auto"/>
                  <w:noWrap/>
                  <w:vAlign w:val="bottom"/>
                  <w:hideMark/>
                </w:tcPr>
                <w:p w14:paraId="7648087B" w14:textId="24FE9AB4"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ERCOT</w:t>
                  </w:r>
                </w:p>
              </w:tc>
            </w:tr>
            <w:tr w:rsidR="00391C50" w:rsidRPr="00E16285" w14:paraId="49AE00B1" w14:textId="77777777" w:rsidTr="00391C50">
              <w:trPr>
                <w:trHeight w:val="300"/>
              </w:trPr>
              <w:tc>
                <w:tcPr>
                  <w:tcW w:w="3405" w:type="dxa"/>
                  <w:tcBorders>
                    <w:top w:val="nil"/>
                    <w:left w:val="nil"/>
                    <w:bottom w:val="nil"/>
                    <w:right w:val="nil"/>
                  </w:tcBorders>
                  <w:shd w:val="clear" w:color="auto" w:fill="auto"/>
                  <w:noWrap/>
                  <w:vAlign w:val="bottom"/>
                  <w:hideMark/>
                </w:tcPr>
                <w:p w14:paraId="23E2BA1C" w14:textId="4B4A3C2D"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Ivan Velasquez</w:t>
                  </w:r>
                </w:p>
              </w:tc>
              <w:tc>
                <w:tcPr>
                  <w:tcW w:w="3151" w:type="dxa"/>
                  <w:tcBorders>
                    <w:top w:val="nil"/>
                    <w:left w:val="nil"/>
                    <w:bottom w:val="nil"/>
                    <w:right w:val="nil"/>
                  </w:tcBorders>
                  <w:shd w:val="clear" w:color="auto" w:fill="auto"/>
                  <w:noWrap/>
                  <w:vAlign w:val="bottom"/>
                  <w:hideMark/>
                </w:tcPr>
                <w:p w14:paraId="4C0A7EC4" w14:textId="07A82A83"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Oncor</w:t>
                  </w:r>
                </w:p>
              </w:tc>
            </w:tr>
            <w:tr w:rsidR="00391C50" w:rsidRPr="00E16285" w14:paraId="3873B347" w14:textId="77777777" w:rsidTr="00391C50">
              <w:trPr>
                <w:trHeight w:val="300"/>
              </w:trPr>
              <w:tc>
                <w:tcPr>
                  <w:tcW w:w="3405" w:type="dxa"/>
                  <w:tcBorders>
                    <w:top w:val="nil"/>
                    <w:left w:val="nil"/>
                    <w:bottom w:val="nil"/>
                    <w:right w:val="nil"/>
                  </w:tcBorders>
                  <w:shd w:val="clear" w:color="auto" w:fill="auto"/>
                  <w:noWrap/>
                  <w:vAlign w:val="bottom"/>
                  <w:hideMark/>
                </w:tcPr>
                <w:p w14:paraId="335D57D3" w14:textId="430CB21F" w:rsidR="00632A5A" w:rsidRPr="00E16285" w:rsidRDefault="00632A5A" w:rsidP="00632A5A">
                  <w:pPr>
                    <w:spacing w:after="0" w:line="240" w:lineRule="auto"/>
                    <w:rPr>
                      <w:rFonts w:ascii="Calibri" w:eastAsia="Times New Roman" w:hAnsi="Calibri" w:cs="Calibri"/>
                      <w:color w:val="000000"/>
                      <w:kern w:val="0"/>
                      <w14:ligatures w14:val="none"/>
                    </w:rPr>
                  </w:pPr>
                  <w:r>
                    <w:rPr>
                      <w:rFonts w:ascii="Calibri" w:hAnsi="Calibri" w:cs="Calibri"/>
                      <w:color w:val="000000"/>
                    </w:rPr>
                    <w:t>Ken Donohoo</w:t>
                  </w:r>
                </w:p>
              </w:tc>
              <w:tc>
                <w:tcPr>
                  <w:tcW w:w="3151" w:type="dxa"/>
                  <w:tcBorders>
                    <w:top w:val="nil"/>
                    <w:left w:val="nil"/>
                    <w:bottom w:val="nil"/>
                    <w:right w:val="nil"/>
                  </w:tcBorders>
                  <w:shd w:val="clear" w:color="auto" w:fill="auto"/>
                  <w:noWrap/>
                  <w:vAlign w:val="bottom"/>
                  <w:hideMark/>
                </w:tcPr>
                <w:p w14:paraId="1EFF051C" w14:textId="5DF7C179" w:rsidR="00632A5A" w:rsidRPr="00E16285" w:rsidRDefault="00632A5A" w:rsidP="00632A5A">
                  <w:pPr>
                    <w:spacing w:after="0" w:line="240" w:lineRule="auto"/>
                    <w:rPr>
                      <w:rFonts w:ascii="Calibri" w:eastAsia="Times New Roman" w:hAnsi="Calibri" w:cs="Calibri"/>
                      <w:color w:val="000000"/>
                      <w:kern w:val="0"/>
                      <w14:ligatures w14:val="none"/>
                    </w:rPr>
                  </w:pPr>
                  <w:proofErr w:type="spellStart"/>
                  <w:r>
                    <w:rPr>
                      <w:rFonts w:ascii="Calibri" w:hAnsi="Calibri" w:cs="Calibri"/>
                      <w:color w:val="000000"/>
                    </w:rPr>
                    <w:t>OwlERC</w:t>
                  </w:r>
                  <w:proofErr w:type="spellEnd"/>
                  <w:r>
                    <w:rPr>
                      <w:rFonts w:ascii="Calibri" w:hAnsi="Calibri" w:cs="Calibri"/>
                      <w:color w:val="000000"/>
                    </w:rPr>
                    <w:t xml:space="preserve"> LLC/APA</w:t>
                  </w:r>
                </w:p>
              </w:tc>
            </w:tr>
            <w:tr w:rsidR="00391C50" w:rsidRPr="00E16285" w14:paraId="3DFACB9A" w14:textId="77777777" w:rsidTr="00391C50">
              <w:trPr>
                <w:trHeight w:val="300"/>
              </w:trPr>
              <w:tc>
                <w:tcPr>
                  <w:tcW w:w="3405" w:type="dxa"/>
                  <w:tcBorders>
                    <w:top w:val="nil"/>
                    <w:left w:val="nil"/>
                    <w:bottom w:val="nil"/>
                    <w:right w:val="nil"/>
                  </w:tcBorders>
                  <w:shd w:val="clear" w:color="auto" w:fill="auto"/>
                  <w:noWrap/>
                  <w:vAlign w:val="bottom"/>
                </w:tcPr>
                <w:p w14:paraId="5AE6A0F0" w14:textId="14637EF5" w:rsidR="00632A5A" w:rsidRDefault="00632A5A" w:rsidP="00632A5A">
                  <w:pPr>
                    <w:spacing w:after="0" w:line="240" w:lineRule="auto"/>
                    <w:rPr>
                      <w:rFonts w:ascii="Calibri" w:hAnsi="Calibri" w:cs="Calibri"/>
                      <w:color w:val="000000"/>
                    </w:rPr>
                  </w:pPr>
                  <w:r>
                    <w:rPr>
                      <w:rFonts w:ascii="Calibri" w:hAnsi="Calibri" w:cs="Calibri"/>
                      <w:color w:val="000000"/>
                    </w:rPr>
                    <w:t>Andrew Hamann</w:t>
                  </w:r>
                </w:p>
              </w:tc>
              <w:tc>
                <w:tcPr>
                  <w:tcW w:w="3151" w:type="dxa"/>
                  <w:tcBorders>
                    <w:top w:val="nil"/>
                    <w:left w:val="nil"/>
                    <w:bottom w:val="nil"/>
                    <w:right w:val="nil"/>
                  </w:tcBorders>
                  <w:shd w:val="clear" w:color="auto" w:fill="auto"/>
                  <w:noWrap/>
                  <w:vAlign w:val="bottom"/>
                </w:tcPr>
                <w:p w14:paraId="5CB8F0CD" w14:textId="5206228A" w:rsidR="00632A5A" w:rsidRDefault="00632A5A" w:rsidP="00632A5A">
                  <w:pPr>
                    <w:spacing w:after="0" w:line="240" w:lineRule="auto"/>
                    <w:rPr>
                      <w:rFonts w:ascii="Calibri" w:hAnsi="Calibri" w:cs="Calibri"/>
                      <w:color w:val="000000"/>
                    </w:rPr>
                  </w:pPr>
                  <w:r>
                    <w:rPr>
                      <w:rFonts w:ascii="Calibri" w:hAnsi="Calibri" w:cs="Calibri"/>
                      <w:color w:val="000000"/>
                    </w:rPr>
                    <w:t>LCRA TSC</w:t>
                  </w:r>
                </w:p>
              </w:tc>
            </w:tr>
            <w:tr w:rsidR="00391C50" w:rsidRPr="00E16285" w14:paraId="591D018A" w14:textId="77777777" w:rsidTr="00391C50">
              <w:trPr>
                <w:trHeight w:val="300"/>
              </w:trPr>
              <w:tc>
                <w:tcPr>
                  <w:tcW w:w="3405" w:type="dxa"/>
                  <w:tcBorders>
                    <w:top w:val="nil"/>
                    <w:left w:val="nil"/>
                    <w:bottom w:val="nil"/>
                    <w:right w:val="nil"/>
                  </w:tcBorders>
                  <w:shd w:val="clear" w:color="auto" w:fill="auto"/>
                  <w:noWrap/>
                  <w:vAlign w:val="bottom"/>
                </w:tcPr>
                <w:p w14:paraId="74C8604E" w14:textId="480A4349" w:rsidR="00632A5A" w:rsidRDefault="00632A5A" w:rsidP="00632A5A">
                  <w:pPr>
                    <w:spacing w:after="0" w:line="240" w:lineRule="auto"/>
                    <w:rPr>
                      <w:rFonts w:ascii="Calibri" w:hAnsi="Calibri" w:cs="Calibri"/>
                      <w:color w:val="000000"/>
                    </w:rPr>
                  </w:pPr>
                  <w:r>
                    <w:rPr>
                      <w:rFonts w:ascii="Calibri" w:hAnsi="Calibri" w:cs="Calibri"/>
                      <w:color w:val="000000"/>
                    </w:rPr>
                    <w:t xml:space="preserve">Mark </w:t>
                  </w:r>
                  <w:proofErr w:type="spellStart"/>
                  <w:r>
                    <w:rPr>
                      <w:rFonts w:ascii="Calibri" w:hAnsi="Calibri" w:cs="Calibri"/>
                      <w:color w:val="000000"/>
                    </w:rPr>
                    <w:t>Dreyufus</w:t>
                  </w:r>
                  <w:proofErr w:type="spellEnd"/>
                </w:p>
              </w:tc>
              <w:tc>
                <w:tcPr>
                  <w:tcW w:w="3151" w:type="dxa"/>
                  <w:tcBorders>
                    <w:top w:val="nil"/>
                    <w:left w:val="nil"/>
                    <w:bottom w:val="nil"/>
                    <w:right w:val="nil"/>
                  </w:tcBorders>
                  <w:shd w:val="clear" w:color="auto" w:fill="auto"/>
                  <w:noWrap/>
                  <w:vAlign w:val="bottom"/>
                </w:tcPr>
                <w:p w14:paraId="462373C4" w14:textId="5067E39F" w:rsidR="00632A5A" w:rsidRDefault="00632A5A" w:rsidP="00632A5A">
                  <w:pPr>
                    <w:spacing w:after="0" w:line="240" w:lineRule="auto"/>
                    <w:rPr>
                      <w:rFonts w:ascii="Calibri" w:hAnsi="Calibri" w:cs="Calibri"/>
                      <w:color w:val="000000"/>
                    </w:rPr>
                  </w:pPr>
                  <w:r>
                    <w:rPr>
                      <w:rFonts w:ascii="Calibri" w:hAnsi="Calibri" w:cs="Calibri"/>
                      <w:color w:val="000000"/>
                    </w:rPr>
                    <w:t>MD Energy Consulting</w:t>
                  </w:r>
                </w:p>
              </w:tc>
            </w:tr>
            <w:tr w:rsidR="00391C50" w:rsidRPr="00E16285" w14:paraId="23B44D52" w14:textId="77777777" w:rsidTr="00391C50">
              <w:trPr>
                <w:trHeight w:val="300"/>
              </w:trPr>
              <w:tc>
                <w:tcPr>
                  <w:tcW w:w="3405" w:type="dxa"/>
                  <w:tcBorders>
                    <w:top w:val="nil"/>
                    <w:left w:val="nil"/>
                    <w:bottom w:val="nil"/>
                    <w:right w:val="nil"/>
                  </w:tcBorders>
                  <w:shd w:val="clear" w:color="auto" w:fill="auto"/>
                  <w:noWrap/>
                  <w:vAlign w:val="bottom"/>
                </w:tcPr>
                <w:p w14:paraId="0ACE17E0" w14:textId="4CC42FE5" w:rsidR="00632A5A" w:rsidRDefault="00632A5A" w:rsidP="00632A5A">
                  <w:pPr>
                    <w:spacing w:after="0" w:line="240" w:lineRule="auto"/>
                    <w:rPr>
                      <w:rFonts w:ascii="Calibri" w:hAnsi="Calibri" w:cs="Calibri"/>
                      <w:color w:val="000000"/>
                    </w:rPr>
                  </w:pPr>
                  <w:r>
                    <w:rPr>
                      <w:rFonts w:ascii="Calibri" w:hAnsi="Calibri" w:cs="Calibri"/>
                      <w:color w:val="000000"/>
                    </w:rPr>
                    <w:t>Martha Henson</w:t>
                  </w:r>
                </w:p>
              </w:tc>
              <w:tc>
                <w:tcPr>
                  <w:tcW w:w="3151" w:type="dxa"/>
                  <w:tcBorders>
                    <w:top w:val="nil"/>
                    <w:left w:val="nil"/>
                    <w:bottom w:val="nil"/>
                    <w:right w:val="nil"/>
                  </w:tcBorders>
                  <w:shd w:val="clear" w:color="auto" w:fill="auto"/>
                  <w:noWrap/>
                  <w:vAlign w:val="bottom"/>
                </w:tcPr>
                <w:p w14:paraId="1F76980F" w14:textId="3C941C49" w:rsidR="00632A5A" w:rsidRDefault="00632A5A" w:rsidP="00632A5A">
                  <w:pPr>
                    <w:spacing w:after="0" w:line="240" w:lineRule="auto"/>
                    <w:rPr>
                      <w:rFonts w:ascii="Calibri" w:hAnsi="Calibri" w:cs="Calibri"/>
                      <w:color w:val="000000"/>
                    </w:rPr>
                  </w:pPr>
                  <w:r>
                    <w:rPr>
                      <w:rFonts w:ascii="Calibri" w:hAnsi="Calibri" w:cs="Calibri"/>
                      <w:color w:val="000000"/>
                    </w:rPr>
                    <w:t>Oncor</w:t>
                  </w:r>
                </w:p>
              </w:tc>
            </w:tr>
            <w:tr w:rsidR="00391C50" w:rsidRPr="00E16285" w14:paraId="641DB478" w14:textId="77777777" w:rsidTr="00391C50">
              <w:trPr>
                <w:trHeight w:val="300"/>
              </w:trPr>
              <w:tc>
                <w:tcPr>
                  <w:tcW w:w="3405" w:type="dxa"/>
                  <w:tcBorders>
                    <w:top w:val="nil"/>
                    <w:left w:val="nil"/>
                    <w:bottom w:val="nil"/>
                    <w:right w:val="nil"/>
                  </w:tcBorders>
                  <w:shd w:val="clear" w:color="auto" w:fill="auto"/>
                  <w:noWrap/>
                  <w:vAlign w:val="bottom"/>
                </w:tcPr>
                <w:p w14:paraId="3166074D" w14:textId="1D6E3F02" w:rsidR="00632A5A" w:rsidRDefault="00632A5A" w:rsidP="00632A5A">
                  <w:pPr>
                    <w:spacing w:after="0" w:line="240" w:lineRule="auto"/>
                    <w:rPr>
                      <w:rFonts w:ascii="Calibri" w:hAnsi="Calibri" w:cs="Calibri"/>
                      <w:color w:val="000000"/>
                    </w:rPr>
                  </w:pPr>
                  <w:r>
                    <w:rPr>
                      <w:rFonts w:ascii="Calibri" w:hAnsi="Calibri" w:cs="Calibri"/>
                      <w:color w:val="000000"/>
                    </w:rPr>
                    <w:t>Harsh Naik</w:t>
                  </w:r>
                </w:p>
              </w:tc>
              <w:tc>
                <w:tcPr>
                  <w:tcW w:w="3151" w:type="dxa"/>
                  <w:tcBorders>
                    <w:top w:val="nil"/>
                    <w:left w:val="nil"/>
                    <w:bottom w:val="nil"/>
                    <w:right w:val="nil"/>
                  </w:tcBorders>
                  <w:shd w:val="clear" w:color="auto" w:fill="auto"/>
                  <w:noWrap/>
                  <w:vAlign w:val="bottom"/>
                </w:tcPr>
                <w:p w14:paraId="3232DB8E" w14:textId="190DE7FA" w:rsidR="00632A5A" w:rsidRDefault="00632A5A" w:rsidP="00632A5A">
                  <w:pPr>
                    <w:spacing w:after="0" w:line="240" w:lineRule="auto"/>
                    <w:rPr>
                      <w:rFonts w:ascii="Calibri" w:hAnsi="Calibri" w:cs="Calibri"/>
                      <w:color w:val="000000"/>
                    </w:rPr>
                  </w:pPr>
                  <w:r>
                    <w:rPr>
                      <w:rFonts w:ascii="Calibri" w:hAnsi="Calibri" w:cs="Calibri"/>
                      <w:color w:val="000000"/>
                    </w:rPr>
                    <w:t>Oncor</w:t>
                  </w:r>
                </w:p>
              </w:tc>
            </w:tr>
          </w:tbl>
          <w:p w14:paraId="05E78943" w14:textId="5522BC80" w:rsidR="006C0F0E" w:rsidRPr="006C0F0E" w:rsidRDefault="006C0F0E" w:rsidP="006C0F0E">
            <w:pPr>
              <w:spacing w:after="0" w:line="240" w:lineRule="auto"/>
            </w:pPr>
          </w:p>
        </w:tc>
        <w:tc>
          <w:tcPr>
            <w:tcW w:w="3660" w:type="dxa"/>
            <w:tcBorders>
              <w:top w:val="nil"/>
              <w:left w:val="nil"/>
              <w:bottom w:val="nil"/>
              <w:right w:val="nil"/>
            </w:tcBorders>
            <w:shd w:val="clear" w:color="auto" w:fill="auto"/>
            <w:noWrap/>
            <w:vAlign w:val="bottom"/>
          </w:tcPr>
          <w:p w14:paraId="1E89788E" w14:textId="0C9BEEBF" w:rsidR="006C0F0E" w:rsidRPr="006C0F0E" w:rsidRDefault="006C0F0E" w:rsidP="006C0F0E">
            <w:pPr>
              <w:spacing w:after="0" w:line="240" w:lineRule="auto"/>
            </w:pPr>
          </w:p>
        </w:tc>
      </w:tr>
    </w:tbl>
    <w:p w14:paraId="3A953ED6" w14:textId="77777777" w:rsidR="006C0F0E" w:rsidRDefault="006C0F0E"/>
    <w:p w14:paraId="1C7008EA" w14:textId="2086879A" w:rsidR="00FE468F" w:rsidRDefault="000B17E9">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(Webex)</w:t>
      </w:r>
    </w:p>
    <w:p w14:paraId="2BFFBF9C" w14:textId="5B8D2FDC" w:rsidR="00632A5A" w:rsidRDefault="00632A5A" w:rsidP="00675532">
      <w:pPr>
        <w:spacing w:after="0"/>
        <w:rPr>
          <w:rFonts w:ascii="Arial" w:hAnsi="Arial" w:cs="Arial"/>
          <w:kern w:val="0"/>
          <w14:ligatures w14:val="none"/>
        </w:rPr>
      </w:pPr>
      <w:r w:rsidRPr="00C55E98">
        <w:rPr>
          <w:rFonts w:ascii="Arial" w:hAnsi="Arial" w:cs="Arial"/>
          <w:kern w:val="0"/>
          <w:u w:val="single"/>
          <w14:ligatures w14:val="none"/>
        </w:rPr>
        <w:t>Attendees (Webex) – Combined list with RPG and PLWG attendees</w:t>
      </w:r>
      <w:r>
        <w:rPr>
          <w:rFonts w:ascii="Arial" w:hAnsi="Arial" w:cs="Arial"/>
          <w:kern w:val="0"/>
          <w14:ligatures w14:val="none"/>
        </w:rPr>
        <w:t>:</w:t>
      </w:r>
    </w:p>
    <w:tbl>
      <w:tblPr>
        <w:tblW w:w="4268" w:type="dxa"/>
        <w:tblLook w:val="04A0" w:firstRow="1" w:lastRow="0" w:firstColumn="1" w:lastColumn="0" w:noHBand="0" w:noVBand="1"/>
      </w:tblPr>
      <w:tblGrid>
        <w:gridCol w:w="4268"/>
      </w:tblGrid>
      <w:tr w:rsidR="00C55E98" w:rsidRPr="00C55E98" w14:paraId="6D15A2E2" w14:textId="77777777" w:rsidTr="00C55E98">
        <w:trPr>
          <w:trHeight w:val="300"/>
        </w:trPr>
        <w:tc>
          <w:tcPr>
            <w:tcW w:w="4268" w:type="dxa"/>
            <w:tcBorders>
              <w:top w:val="nil"/>
              <w:left w:val="nil"/>
              <w:bottom w:val="nil"/>
              <w:right w:val="nil"/>
            </w:tcBorders>
            <w:shd w:val="clear" w:color="auto" w:fill="auto"/>
            <w:noWrap/>
            <w:vAlign w:val="bottom"/>
            <w:hideMark/>
          </w:tcPr>
          <w:p w14:paraId="0B162EF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098427-Kenneth Bowen/CPS Energy</w:t>
            </w:r>
          </w:p>
        </w:tc>
      </w:tr>
      <w:tr w:rsidR="00C55E98" w:rsidRPr="00C55E98" w14:paraId="69D4FAAC" w14:textId="77777777" w:rsidTr="00C55E98">
        <w:trPr>
          <w:trHeight w:val="300"/>
        </w:trPr>
        <w:tc>
          <w:tcPr>
            <w:tcW w:w="4268" w:type="dxa"/>
            <w:tcBorders>
              <w:top w:val="nil"/>
              <w:left w:val="nil"/>
              <w:bottom w:val="nil"/>
              <w:right w:val="nil"/>
            </w:tcBorders>
            <w:shd w:val="clear" w:color="auto" w:fill="auto"/>
            <w:noWrap/>
            <w:vAlign w:val="bottom"/>
            <w:hideMark/>
          </w:tcPr>
          <w:p w14:paraId="7216A56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AEP Doug Evans</w:t>
            </w:r>
          </w:p>
        </w:tc>
      </w:tr>
      <w:tr w:rsidR="00C55E98" w:rsidRPr="00C55E98" w14:paraId="10101BCB" w14:textId="77777777" w:rsidTr="00C55E98">
        <w:trPr>
          <w:trHeight w:val="300"/>
        </w:trPr>
        <w:tc>
          <w:tcPr>
            <w:tcW w:w="4268" w:type="dxa"/>
            <w:tcBorders>
              <w:top w:val="nil"/>
              <w:left w:val="nil"/>
              <w:bottom w:val="nil"/>
              <w:right w:val="nil"/>
            </w:tcBorders>
            <w:shd w:val="clear" w:color="auto" w:fill="auto"/>
            <w:noWrap/>
            <w:vAlign w:val="bottom"/>
            <w:hideMark/>
          </w:tcPr>
          <w:p w14:paraId="2AA17B9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AEP Joshua Wichers PE</w:t>
            </w:r>
          </w:p>
        </w:tc>
      </w:tr>
      <w:tr w:rsidR="00C55E98" w:rsidRPr="00C55E98" w14:paraId="0405285E" w14:textId="77777777" w:rsidTr="00C55E98">
        <w:trPr>
          <w:trHeight w:val="300"/>
        </w:trPr>
        <w:tc>
          <w:tcPr>
            <w:tcW w:w="4268" w:type="dxa"/>
            <w:tcBorders>
              <w:top w:val="nil"/>
              <w:left w:val="nil"/>
              <w:bottom w:val="nil"/>
              <w:right w:val="nil"/>
            </w:tcBorders>
            <w:shd w:val="clear" w:color="auto" w:fill="auto"/>
            <w:noWrap/>
            <w:vAlign w:val="bottom"/>
            <w:hideMark/>
          </w:tcPr>
          <w:p w14:paraId="5506E17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Alex Lau - </w:t>
            </w:r>
            <w:proofErr w:type="spellStart"/>
            <w:r w:rsidRPr="00C55E98">
              <w:rPr>
                <w:rFonts w:ascii="Calibri" w:eastAsia="Times New Roman" w:hAnsi="Calibri" w:cs="Calibri"/>
                <w:color w:val="000000"/>
                <w:kern w:val="0"/>
                <w14:ligatures w14:val="none"/>
              </w:rPr>
              <w:t>IntelliQuest</w:t>
            </w:r>
            <w:proofErr w:type="spellEnd"/>
          </w:p>
        </w:tc>
      </w:tr>
      <w:tr w:rsidR="00C55E98" w:rsidRPr="00C55E98" w14:paraId="3DBA283E" w14:textId="77777777" w:rsidTr="00C55E98">
        <w:trPr>
          <w:trHeight w:val="300"/>
        </w:trPr>
        <w:tc>
          <w:tcPr>
            <w:tcW w:w="4268" w:type="dxa"/>
            <w:tcBorders>
              <w:top w:val="nil"/>
              <w:left w:val="nil"/>
              <w:bottom w:val="nil"/>
              <w:right w:val="nil"/>
            </w:tcBorders>
            <w:shd w:val="clear" w:color="auto" w:fill="auto"/>
            <w:noWrap/>
            <w:vAlign w:val="bottom"/>
            <w:hideMark/>
          </w:tcPr>
          <w:p w14:paraId="54EA5B3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Alexandra Miller - EDFR</w:t>
            </w:r>
          </w:p>
        </w:tc>
      </w:tr>
      <w:tr w:rsidR="00C55E98" w:rsidRPr="00C55E98" w14:paraId="7B8DEDAD" w14:textId="77777777" w:rsidTr="00C55E98">
        <w:trPr>
          <w:trHeight w:val="300"/>
        </w:trPr>
        <w:tc>
          <w:tcPr>
            <w:tcW w:w="4268" w:type="dxa"/>
            <w:tcBorders>
              <w:top w:val="nil"/>
              <w:left w:val="nil"/>
              <w:bottom w:val="nil"/>
              <w:right w:val="nil"/>
            </w:tcBorders>
            <w:shd w:val="clear" w:color="auto" w:fill="auto"/>
            <w:noWrap/>
            <w:vAlign w:val="bottom"/>
            <w:hideMark/>
          </w:tcPr>
          <w:p w14:paraId="29A6B58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Amanda Frazier</w:t>
            </w:r>
          </w:p>
        </w:tc>
      </w:tr>
      <w:tr w:rsidR="00C55E98" w:rsidRPr="00C55E98" w14:paraId="5C1C7A3A" w14:textId="77777777" w:rsidTr="00C55E98">
        <w:trPr>
          <w:trHeight w:val="300"/>
        </w:trPr>
        <w:tc>
          <w:tcPr>
            <w:tcW w:w="4268" w:type="dxa"/>
            <w:tcBorders>
              <w:top w:val="nil"/>
              <w:left w:val="nil"/>
              <w:bottom w:val="nil"/>
              <w:right w:val="nil"/>
            </w:tcBorders>
            <w:shd w:val="clear" w:color="auto" w:fill="auto"/>
            <w:noWrap/>
            <w:vAlign w:val="bottom"/>
            <w:hideMark/>
          </w:tcPr>
          <w:p w14:paraId="0EE4018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Andres</w:t>
            </w:r>
          </w:p>
        </w:tc>
      </w:tr>
      <w:tr w:rsidR="00C55E98" w:rsidRPr="00C55E98" w14:paraId="06761F95" w14:textId="77777777" w:rsidTr="00C55E98">
        <w:trPr>
          <w:trHeight w:val="300"/>
        </w:trPr>
        <w:tc>
          <w:tcPr>
            <w:tcW w:w="4268" w:type="dxa"/>
            <w:tcBorders>
              <w:top w:val="nil"/>
              <w:left w:val="nil"/>
              <w:bottom w:val="nil"/>
              <w:right w:val="nil"/>
            </w:tcBorders>
            <w:shd w:val="clear" w:color="auto" w:fill="auto"/>
            <w:noWrap/>
            <w:vAlign w:val="bottom"/>
            <w:hideMark/>
          </w:tcPr>
          <w:p w14:paraId="4B89F48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Anusha </w:t>
            </w:r>
            <w:proofErr w:type="spellStart"/>
            <w:r w:rsidRPr="00C55E98">
              <w:rPr>
                <w:rFonts w:ascii="Calibri" w:eastAsia="Times New Roman" w:hAnsi="Calibri" w:cs="Calibri"/>
                <w:color w:val="000000"/>
                <w:kern w:val="0"/>
                <w14:ligatures w14:val="none"/>
              </w:rPr>
              <w:t>Papasani</w:t>
            </w:r>
            <w:proofErr w:type="spellEnd"/>
          </w:p>
        </w:tc>
      </w:tr>
      <w:tr w:rsidR="00C55E98" w:rsidRPr="00C55E98" w14:paraId="13664407" w14:textId="77777777" w:rsidTr="00C55E98">
        <w:trPr>
          <w:trHeight w:val="300"/>
        </w:trPr>
        <w:tc>
          <w:tcPr>
            <w:tcW w:w="4268" w:type="dxa"/>
            <w:tcBorders>
              <w:top w:val="nil"/>
              <w:left w:val="nil"/>
              <w:bottom w:val="nil"/>
              <w:right w:val="nil"/>
            </w:tcBorders>
            <w:shd w:val="clear" w:color="auto" w:fill="auto"/>
            <w:noWrap/>
            <w:vAlign w:val="bottom"/>
            <w:hideMark/>
          </w:tcPr>
          <w:p w14:paraId="7CA6505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Barry </w:t>
            </w:r>
            <w:proofErr w:type="spellStart"/>
            <w:r w:rsidRPr="00C55E98">
              <w:rPr>
                <w:rFonts w:ascii="Calibri" w:eastAsia="Times New Roman" w:hAnsi="Calibri" w:cs="Calibri"/>
                <w:color w:val="000000"/>
                <w:kern w:val="0"/>
                <w14:ligatures w14:val="none"/>
              </w:rPr>
              <w:t>Kremling</w:t>
            </w:r>
            <w:proofErr w:type="spellEnd"/>
            <w:r w:rsidRPr="00C55E98">
              <w:rPr>
                <w:rFonts w:ascii="Calibri" w:eastAsia="Times New Roman" w:hAnsi="Calibri" w:cs="Calibri"/>
                <w:color w:val="000000"/>
                <w:kern w:val="0"/>
                <w14:ligatures w14:val="none"/>
              </w:rPr>
              <w:t xml:space="preserve"> -GVEC</w:t>
            </w:r>
          </w:p>
        </w:tc>
      </w:tr>
      <w:tr w:rsidR="00C55E98" w:rsidRPr="00C55E98" w14:paraId="6F6DC81C" w14:textId="77777777" w:rsidTr="00C55E98">
        <w:trPr>
          <w:trHeight w:val="300"/>
        </w:trPr>
        <w:tc>
          <w:tcPr>
            <w:tcW w:w="4268" w:type="dxa"/>
            <w:tcBorders>
              <w:top w:val="nil"/>
              <w:left w:val="nil"/>
              <w:bottom w:val="nil"/>
              <w:right w:val="nil"/>
            </w:tcBorders>
            <w:shd w:val="clear" w:color="auto" w:fill="auto"/>
            <w:noWrap/>
            <w:vAlign w:val="bottom"/>
            <w:hideMark/>
          </w:tcPr>
          <w:p w14:paraId="554C693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Bell, Paul</w:t>
            </w:r>
          </w:p>
        </w:tc>
      </w:tr>
      <w:tr w:rsidR="00C55E98" w:rsidRPr="00C55E98" w14:paraId="3C814A93" w14:textId="77777777" w:rsidTr="00C55E98">
        <w:trPr>
          <w:trHeight w:val="300"/>
        </w:trPr>
        <w:tc>
          <w:tcPr>
            <w:tcW w:w="4268" w:type="dxa"/>
            <w:tcBorders>
              <w:top w:val="nil"/>
              <w:left w:val="nil"/>
              <w:bottom w:val="nil"/>
              <w:right w:val="nil"/>
            </w:tcBorders>
            <w:shd w:val="clear" w:color="auto" w:fill="auto"/>
            <w:noWrap/>
            <w:vAlign w:val="bottom"/>
            <w:hideMark/>
          </w:tcPr>
          <w:p w14:paraId="61A2C58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Bhargavi Devarajan</w:t>
            </w:r>
          </w:p>
        </w:tc>
      </w:tr>
      <w:tr w:rsidR="00C55E98" w:rsidRPr="00C55E98" w14:paraId="4F7DD0FF" w14:textId="77777777" w:rsidTr="00C55E98">
        <w:trPr>
          <w:trHeight w:val="300"/>
        </w:trPr>
        <w:tc>
          <w:tcPr>
            <w:tcW w:w="4268" w:type="dxa"/>
            <w:tcBorders>
              <w:top w:val="nil"/>
              <w:left w:val="nil"/>
              <w:bottom w:val="nil"/>
              <w:right w:val="nil"/>
            </w:tcBorders>
            <w:shd w:val="clear" w:color="auto" w:fill="auto"/>
            <w:noWrap/>
            <w:vAlign w:val="bottom"/>
            <w:hideMark/>
          </w:tcPr>
          <w:p w14:paraId="4716C48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Bob Wittmeyer - Longhorn Power</w:t>
            </w:r>
          </w:p>
        </w:tc>
      </w:tr>
      <w:tr w:rsidR="00C55E98" w:rsidRPr="00C55E98" w14:paraId="0E52CF43" w14:textId="77777777" w:rsidTr="00C55E98">
        <w:trPr>
          <w:trHeight w:val="300"/>
        </w:trPr>
        <w:tc>
          <w:tcPr>
            <w:tcW w:w="4268" w:type="dxa"/>
            <w:tcBorders>
              <w:top w:val="nil"/>
              <w:left w:val="nil"/>
              <w:bottom w:val="nil"/>
              <w:right w:val="nil"/>
            </w:tcBorders>
            <w:shd w:val="clear" w:color="auto" w:fill="auto"/>
            <w:noWrap/>
            <w:vAlign w:val="bottom"/>
            <w:hideMark/>
          </w:tcPr>
          <w:p w14:paraId="28C7A6B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Brad Bell, Solar Proponent</w:t>
            </w:r>
          </w:p>
        </w:tc>
      </w:tr>
      <w:tr w:rsidR="00C55E98" w:rsidRPr="00C55E98" w14:paraId="25BEAED1" w14:textId="77777777" w:rsidTr="00C55E98">
        <w:trPr>
          <w:trHeight w:val="300"/>
        </w:trPr>
        <w:tc>
          <w:tcPr>
            <w:tcW w:w="4268" w:type="dxa"/>
            <w:tcBorders>
              <w:top w:val="nil"/>
              <w:left w:val="nil"/>
              <w:bottom w:val="nil"/>
              <w:right w:val="nil"/>
            </w:tcBorders>
            <w:shd w:val="clear" w:color="auto" w:fill="auto"/>
            <w:noWrap/>
            <w:vAlign w:val="bottom"/>
            <w:hideMark/>
          </w:tcPr>
          <w:p w14:paraId="19E5F39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Brad Schwarz - Sharyland</w:t>
            </w:r>
          </w:p>
        </w:tc>
      </w:tr>
      <w:tr w:rsidR="00C55E98" w:rsidRPr="00C55E98" w14:paraId="3E18CF2F" w14:textId="77777777" w:rsidTr="00C55E98">
        <w:trPr>
          <w:trHeight w:val="300"/>
        </w:trPr>
        <w:tc>
          <w:tcPr>
            <w:tcW w:w="4268" w:type="dxa"/>
            <w:tcBorders>
              <w:top w:val="nil"/>
              <w:left w:val="nil"/>
              <w:bottom w:val="nil"/>
              <w:right w:val="nil"/>
            </w:tcBorders>
            <w:shd w:val="clear" w:color="auto" w:fill="auto"/>
            <w:noWrap/>
            <w:vAlign w:val="bottom"/>
            <w:hideMark/>
          </w:tcPr>
          <w:p w14:paraId="1F453BE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Brad Woods</w:t>
            </w:r>
          </w:p>
        </w:tc>
      </w:tr>
      <w:tr w:rsidR="00C55E98" w:rsidRPr="00C55E98" w14:paraId="69EB0E07" w14:textId="77777777" w:rsidTr="00C55E98">
        <w:trPr>
          <w:trHeight w:val="300"/>
        </w:trPr>
        <w:tc>
          <w:tcPr>
            <w:tcW w:w="4268" w:type="dxa"/>
            <w:tcBorders>
              <w:top w:val="nil"/>
              <w:left w:val="nil"/>
              <w:bottom w:val="nil"/>
              <w:right w:val="nil"/>
            </w:tcBorders>
            <w:shd w:val="clear" w:color="auto" w:fill="auto"/>
            <w:noWrap/>
            <w:vAlign w:val="bottom"/>
            <w:hideMark/>
          </w:tcPr>
          <w:p w14:paraId="58D120F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Brandon Cogan</w:t>
            </w:r>
          </w:p>
        </w:tc>
      </w:tr>
      <w:tr w:rsidR="00C55E98" w:rsidRPr="00C55E98" w14:paraId="29E16BB5" w14:textId="77777777" w:rsidTr="00C55E98">
        <w:trPr>
          <w:trHeight w:val="300"/>
        </w:trPr>
        <w:tc>
          <w:tcPr>
            <w:tcW w:w="4268" w:type="dxa"/>
            <w:tcBorders>
              <w:top w:val="nil"/>
              <w:left w:val="nil"/>
              <w:bottom w:val="nil"/>
              <w:right w:val="nil"/>
            </w:tcBorders>
            <w:shd w:val="clear" w:color="auto" w:fill="auto"/>
            <w:noWrap/>
            <w:vAlign w:val="bottom"/>
            <w:hideMark/>
          </w:tcPr>
          <w:p w14:paraId="7986225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Brian </w:t>
            </w:r>
            <w:proofErr w:type="spellStart"/>
            <w:r w:rsidRPr="00C55E98">
              <w:rPr>
                <w:rFonts w:ascii="Calibri" w:eastAsia="Times New Roman" w:hAnsi="Calibri" w:cs="Calibri"/>
                <w:color w:val="000000"/>
                <w:kern w:val="0"/>
                <w14:ligatures w14:val="none"/>
              </w:rPr>
              <w:t>Hithersay</w:t>
            </w:r>
            <w:proofErr w:type="spellEnd"/>
            <w:r w:rsidRPr="00C55E98">
              <w:rPr>
                <w:rFonts w:ascii="Calibri" w:eastAsia="Times New Roman" w:hAnsi="Calibri" w:cs="Calibri"/>
                <w:color w:val="000000"/>
                <w:kern w:val="0"/>
                <w14:ligatures w14:val="none"/>
              </w:rPr>
              <w:t xml:space="preserve"> - BEPC</w:t>
            </w:r>
          </w:p>
        </w:tc>
      </w:tr>
      <w:tr w:rsidR="00C55E98" w:rsidRPr="00C55E98" w14:paraId="07E37031" w14:textId="77777777" w:rsidTr="00C55E98">
        <w:trPr>
          <w:trHeight w:val="300"/>
        </w:trPr>
        <w:tc>
          <w:tcPr>
            <w:tcW w:w="4268" w:type="dxa"/>
            <w:tcBorders>
              <w:top w:val="nil"/>
              <w:left w:val="nil"/>
              <w:bottom w:val="nil"/>
              <w:right w:val="nil"/>
            </w:tcBorders>
            <w:shd w:val="clear" w:color="auto" w:fill="auto"/>
            <w:noWrap/>
            <w:vAlign w:val="bottom"/>
            <w:hideMark/>
          </w:tcPr>
          <w:p w14:paraId="47EDC67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Brian Johnson AEP</w:t>
            </w:r>
          </w:p>
        </w:tc>
      </w:tr>
      <w:tr w:rsidR="00C55E98" w:rsidRPr="00C55E98" w14:paraId="162D6581" w14:textId="77777777" w:rsidTr="00C55E98">
        <w:trPr>
          <w:trHeight w:val="300"/>
        </w:trPr>
        <w:tc>
          <w:tcPr>
            <w:tcW w:w="4268" w:type="dxa"/>
            <w:tcBorders>
              <w:top w:val="nil"/>
              <w:left w:val="nil"/>
              <w:bottom w:val="nil"/>
              <w:right w:val="nil"/>
            </w:tcBorders>
            <w:shd w:val="clear" w:color="auto" w:fill="auto"/>
            <w:noWrap/>
            <w:vAlign w:val="bottom"/>
            <w:hideMark/>
          </w:tcPr>
          <w:p w14:paraId="3B53BAA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Brian </w:t>
            </w:r>
            <w:proofErr w:type="spellStart"/>
            <w:r w:rsidRPr="00C55E98">
              <w:rPr>
                <w:rFonts w:ascii="Calibri" w:eastAsia="Times New Roman" w:hAnsi="Calibri" w:cs="Calibri"/>
                <w:color w:val="000000"/>
                <w:kern w:val="0"/>
                <w14:ligatures w14:val="none"/>
              </w:rPr>
              <w:t>Koz</w:t>
            </w:r>
            <w:proofErr w:type="spellEnd"/>
          </w:p>
        </w:tc>
      </w:tr>
      <w:tr w:rsidR="00C55E98" w:rsidRPr="00C55E98" w14:paraId="7E41DA5C" w14:textId="77777777" w:rsidTr="00C55E98">
        <w:trPr>
          <w:trHeight w:val="300"/>
        </w:trPr>
        <w:tc>
          <w:tcPr>
            <w:tcW w:w="4268" w:type="dxa"/>
            <w:tcBorders>
              <w:top w:val="nil"/>
              <w:left w:val="nil"/>
              <w:bottom w:val="nil"/>
              <w:right w:val="nil"/>
            </w:tcBorders>
            <w:shd w:val="clear" w:color="auto" w:fill="auto"/>
            <w:noWrap/>
            <w:vAlign w:val="bottom"/>
            <w:hideMark/>
          </w:tcPr>
          <w:p w14:paraId="669BB37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Bridget Headrick - Customized Energy Solutions</w:t>
            </w:r>
          </w:p>
        </w:tc>
      </w:tr>
      <w:tr w:rsidR="00C55E98" w:rsidRPr="00C55E98" w14:paraId="5578628F" w14:textId="77777777" w:rsidTr="00C55E98">
        <w:trPr>
          <w:trHeight w:val="300"/>
        </w:trPr>
        <w:tc>
          <w:tcPr>
            <w:tcW w:w="4268" w:type="dxa"/>
            <w:tcBorders>
              <w:top w:val="nil"/>
              <w:left w:val="nil"/>
              <w:bottom w:val="nil"/>
              <w:right w:val="nil"/>
            </w:tcBorders>
            <w:shd w:val="clear" w:color="auto" w:fill="auto"/>
            <w:noWrap/>
            <w:vAlign w:val="bottom"/>
            <w:hideMark/>
          </w:tcPr>
          <w:p w14:paraId="3F6309B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Cathey Carter - </w:t>
            </w:r>
            <w:proofErr w:type="spellStart"/>
            <w:r w:rsidRPr="00C55E98">
              <w:rPr>
                <w:rFonts w:ascii="Calibri" w:eastAsia="Times New Roman" w:hAnsi="Calibri" w:cs="Calibri"/>
                <w:color w:val="000000"/>
                <w:kern w:val="0"/>
                <w14:ligatures w14:val="none"/>
              </w:rPr>
              <w:t>GridAxon</w:t>
            </w:r>
            <w:proofErr w:type="spellEnd"/>
          </w:p>
        </w:tc>
      </w:tr>
      <w:tr w:rsidR="00C55E98" w:rsidRPr="00C55E98" w14:paraId="26E275BD" w14:textId="77777777" w:rsidTr="00C55E98">
        <w:trPr>
          <w:trHeight w:val="300"/>
        </w:trPr>
        <w:tc>
          <w:tcPr>
            <w:tcW w:w="4268" w:type="dxa"/>
            <w:tcBorders>
              <w:top w:val="nil"/>
              <w:left w:val="nil"/>
              <w:bottom w:val="nil"/>
              <w:right w:val="nil"/>
            </w:tcBorders>
            <w:shd w:val="clear" w:color="auto" w:fill="auto"/>
            <w:noWrap/>
            <w:vAlign w:val="bottom"/>
            <w:hideMark/>
          </w:tcPr>
          <w:p w14:paraId="0669E0D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Aleman Sharyland</w:t>
            </w:r>
          </w:p>
        </w:tc>
      </w:tr>
      <w:tr w:rsidR="00C55E98" w:rsidRPr="00C55E98" w14:paraId="154261EA" w14:textId="77777777" w:rsidTr="00C55E98">
        <w:trPr>
          <w:trHeight w:val="300"/>
        </w:trPr>
        <w:tc>
          <w:tcPr>
            <w:tcW w:w="4268" w:type="dxa"/>
            <w:tcBorders>
              <w:top w:val="nil"/>
              <w:left w:val="nil"/>
              <w:bottom w:val="nil"/>
              <w:right w:val="nil"/>
            </w:tcBorders>
            <w:shd w:val="clear" w:color="auto" w:fill="auto"/>
            <w:noWrap/>
            <w:vAlign w:val="bottom"/>
            <w:hideMark/>
          </w:tcPr>
          <w:p w14:paraId="58CB95E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DeWitt - PEC</w:t>
            </w:r>
          </w:p>
        </w:tc>
      </w:tr>
      <w:tr w:rsidR="00C55E98" w:rsidRPr="00C55E98" w14:paraId="234CEF3B" w14:textId="77777777" w:rsidTr="00C55E98">
        <w:trPr>
          <w:trHeight w:val="300"/>
        </w:trPr>
        <w:tc>
          <w:tcPr>
            <w:tcW w:w="4268" w:type="dxa"/>
            <w:tcBorders>
              <w:top w:val="nil"/>
              <w:left w:val="nil"/>
              <w:bottom w:val="nil"/>
              <w:right w:val="nil"/>
            </w:tcBorders>
            <w:shd w:val="clear" w:color="auto" w:fill="auto"/>
            <w:noWrap/>
            <w:vAlign w:val="bottom"/>
            <w:hideMark/>
          </w:tcPr>
          <w:p w14:paraId="2EB2FAD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Chris</w:t>
            </w:r>
          </w:p>
        </w:tc>
      </w:tr>
      <w:tr w:rsidR="00C55E98" w:rsidRPr="00C55E98" w14:paraId="7C8140F9" w14:textId="77777777" w:rsidTr="00C55E98">
        <w:trPr>
          <w:trHeight w:val="300"/>
        </w:trPr>
        <w:tc>
          <w:tcPr>
            <w:tcW w:w="4268" w:type="dxa"/>
            <w:tcBorders>
              <w:top w:val="nil"/>
              <w:left w:val="nil"/>
              <w:bottom w:val="nil"/>
              <w:right w:val="nil"/>
            </w:tcBorders>
            <w:shd w:val="clear" w:color="auto" w:fill="auto"/>
            <w:noWrap/>
            <w:vAlign w:val="bottom"/>
            <w:hideMark/>
          </w:tcPr>
          <w:p w14:paraId="598272F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Chris DeRidder</w:t>
            </w:r>
          </w:p>
        </w:tc>
      </w:tr>
      <w:tr w:rsidR="00C55E98" w:rsidRPr="00C55E98" w14:paraId="60E62247" w14:textId="77777777" w:rsidTr="00C55E98">
        <w:trPr>
          <w:trHeight w:val="300"/>
        </w:trPr>
        <w:tc>
          <w:tcPr>
            <w:tcW w:w="4268" w:type="dxa"/>
            <w:tcBorders>
              <w:top w:val="nil"/>
              <w:left w:val="nil"/>
              <w:bottom w:val="nil"/>
              <w:right w:val="nil"/>
            </w:tcBorders>
            <w:shd w:val="clear" w:color="auto" w:fill="auto"/>
            <w:noWrap/>
            <w:vAlign w:val="bottom"/>
            <w:hideMark/>
          </w:tcPr>
          <w:p w14:paraId="05A6891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Cloninger, Ross</w:t>
            </w:r>
          </w:p>
        </w:tc>
      </w:tr>
      <w:tr w:rsidR="00C55E98" w:rsidRPr="00C55E98" w14:paraId="4A2E4634" w14:textId="77777777" w:rsidTr="00C55E98">
        <w:trPr>
          <w:trHeight w:val="300"/>
        </w:trPr>
        <w:tc>
          <w:tcPr>
            <w:tcW w:w="4268" w:type="dxa"/>
            <w:tcBorders>
              <w:top w:val="nil"/>
              <w:left w:val="nil"/>
              <w:bottom w:val="nil"/>
              <w:right w:val="nil"/>
            </w:tcBorders>
            <w:shd w:val="clear" w:color="auto" w:fill="auto"/>
            <w:noWrap/>
            <w:vAlign w:val="bottom"/>
            <w:hideMark/>
          </w:tcPr>
          <w:p w14:paraId="77BDDF5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Cody Phillips</w:t>
            </w:r>
          </w:p>
        </w:tc>
      </w:tr>
      <w:tr w:rsidR="00C55E98" w:rsidRPr="00C55E98" w14:paraId="23962686" w14:textId="77777777" w:rsidTr="00C55E98">
        <w:trPr>
          <w:trHeight w:val="300"/>
        </w:trPr>
        <w:tc>
          <w:tcPr>
            <w:tcW w:w="4268" w:type="dxa"/>
            <w:tcBorders>
              <w:top w:val="nil"/>
              <w:left w:val="nil"/>
              <w:bottom w:val="nil"/>
              <w:right w:val="nil"/>
            </w:tcBorders>
            <w:shd w:val="clear" w:color="auto" w:fill="auto"/>
            <w:noWrap/>
            <w:vAlign w:val="bottom"/>
            <w:hideMark/>
          </w:tcPr>
          <w:p w14:paraId="6C480FE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Cole </w:t>
            </w:r>
            <w:proofErr w:type="spellStart"/>
            <w:r w:rsidRPr="00C55E98">
              <w:rPr>
                <w:rFonts w:ascii="Calibri" w:eastAsia="Times New Roman" w:hAnsi="Calibri" w:cs="Calibri"/>
                <w:color w:val="000000"/>
                <w:kern w:val="0"/>
                <w14:ligatures w14:val="none"/>
              </w:rPr>
              <w:t>Dietert</w:t>
            </w:r>
            <w:proofErr w:type="spellEnd"/>
          </w:p>
        </w:tc>
      </w:tr>
      <w:tr w:rsidR="00C55E98" w:rsidRPr="00C55E98" w14:paraId="7904C98B" w14:textId="77777777" w:rsidTr="00C55E98">
        <w:trPr>
          <w:trHeight w:val="300"/>
        </w:trPr>
        <w:tc>
          <w:tcPr>
            <w:tcW w:w="4268" w:type="dxa"/>
            <w:tcBorders>
              <w:top w:val="nil"/>
              <w:left w:val="nil"/>
              <w:bottom w:val="nil"/>
              <w:right w:val="nil"/>
            </w:tcBorders>
            <w:shd w:val="clear" w:color="auto" w:fill="auto"/>
            <w:noWrap/>
            <w:vAlign w:val="bottom"/>
            <w:hideMark/>
          </w:tcPr>
          <w:p w14:paraId="525098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Connor Anderson - AB Power Advisors</w:t>
            </w:r>
          </w:p>
        </w:tc>
      </w:tr>
      <w:tr w:rsidR="00C55E98" w:rsidRPr="00C55E98" w14:paraId="00C2B1C3" w14:textId="77777777" w:rsidTr="00C55E98">
        <w:trPr>
          <w:trHeight w:val="300"/>
        </w:trPr>
        <w:tc>
          <w:tcPr>
            <w:tcW w:w="4268" w:type="dxa"/>
            <w:tcBorders>
              <w:top w:val="nil"/>
              <w:left w:val="nil"/>
              <w:bottom w:val="nil"/>
              <w:right w:val="nil"/>
            </w:tcBorders>
            <w:shd w:val="clear" w:color="auto" w:fill="auto"/>
            <w:noWrap/>
            <w:vAlign w:val="bottom"/>
            <w:hideMark/>
          </w:tcPr>
          <w:p w14:paraId="47B4DE5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Craig Wolf - RES</w:t>
            </w:r>
          </w:p>
        </w:tc>
      </w:tr>
      <w:tr w:rsidR="00C55E98" w:rsidRPr="00C55E98" w14:paraId="14142A90" w14:textId="77777777" w:rsidTr="00C55E98">
        <w:trPr>
          <w:trHeight w:val="300"/>
        </w:trPr>
        <w:tc>
          <w:tcPr>
            <w:tcW w:w="4268" w:type="dxa"/>
            <w:tcBorders>
              <w:top w:val="nil"/>
              <w:left w:val="nil"/>
              <w:bottom w:val="nil"/>
              <w:right w:val="nil"/>
            </w:tcBorders>
            <w:shd w:val="clear" w:color="auto" w:fill="auto"/>
            <w:noWrap/>
            <w:vAlign w:val="bottom"/>
            <w:hideMark/>
          </w:tcPr>
          <w:p w14:paraId="482A268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Dan Jones</w:t>
            </w:r>
          </w:p>
        </w:tc>
      </w:tr>
      <w:tr w:rsidR="00C55E98" w:rsidRPr="00C55E98" w14:paraId="0B6FCB81" w14:textId="77777777" w:rsidTr="00C55E98">
        <w:trPr>
          <w:trHeight w:val="300"/>
        </w:trPr>
        <w:tc>
          <w:tcPr>
            <w:tcW w:w="4268" w:type="dxa"/>
            <w:tcBorders>
              <w:top w:val="nil"/>
              <w:left w:val="nil"/>
              <w:bottom w:val="nil"/>
              <w:right w:val="nil"/>
            </w:tcBorders>
            <w:shd w:val="clear" w:color="auto" w:fill="auto"/>
            <w:noWrap/>
            <w:vAlign w:val="bottom"/>
            <w:hideMark/>
          </w:tcPr>
          <w:p w14:paraId="64B1936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David Kee - CPS Energy</w:t>
            </w:r>
          </w:p>
        </w:tc>
      </w:tr>
      <w:tr w:rsidR="00C55E98" w:rsidRPr="00C55E98" w14:paraId="30F0D680" w14:textId="77777777" w:rsidTr="00C55E98">
        <w:trPr>
          <w:trHeight w:val="300"/>
        </w:trPr>
        <w:tc>
          <w:tcPr>
            <w:tcW w:w="4268" w:type="dxa"/>
            <w:tcBorders>
              <w:top w:val="nil"/>
              <w:left w:val="nil"/>
              <w:bottom w:val="nil"/>
              <w:right w:val="nil"/>
            </w:tcBorders>
            <w:shd w:val="clear" w:color="auto" w:fill="auto"/>
            <w:noWrap/>
            <w:vAlign w:val="bottom"/>
            <w:hideMark/>
          </w:tcPr>
          <w:p w14:paraId="5ADED0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Dhruv Gupta - Solar Proponent</w:t>
            </w:r>
          </w:p>
        </w:tc>
      </w:tr>
      <w:tr w:rsidR="00C55E98" w:rsidRPr="00C55E98" w14:paraId="1B56510A" w14:textId="77777777" w:rsidTr="00C55E98">
        <w:trPr>
          <w:trHeight w:val="300"/>
        </w:trPr>
        <w:tc>
          <w:tcPr>
            <w:tcW w:w="4268" w:type="dxa"/>
            <w:tcBorders>
              <w:top w:val="nil"/>
              <w:left w:val="nil"/>
              <w:bottom w:val="nil"/>
              <w:right w:val="nil"/>
            </w:tcBorders>
            <w:shd w:val="clear" w:color="auto" w:fill="auto"/>
            <w:noWrap/>
            <w:vAlign w:val="bottom"/>
            <w:hideMark/>
          </w:tcPr>
          <w:p w14:paraId="2261C1D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Donna Cavaliere</w:t>
            </w:r>
          </w:p>
        </w:tc>
      </w:tr>
      <w:tr w:rsidR="00C55E98" w:rsidRPr="00C55E98" w14:paraId="2CDC4723" w14:textId="77777777" w:rsidTr="00C55E98">
        <w:trPr>
          <w:trHeight w:val="300"/>
        </w:trPr>
        <w:tc>
          <w:tcPr>
            <w:tcW w:w="4268" w:type="dxa"/>
            <w:tcBorders>
              <w:top w:val="nil"/>
              <w:left w:val="nil"/>
              <w:bottom w:val="nil"/>
              <w:right w:val="nil"/>
            </w:tcBorders>
            <w:shd w:val="clear" w:color="auto" w:fill="auto"/>
            <w:noWrap/>
            <w:vAlign w:val="bottom"/>
            <w:hideMark/>
          </w:tcPr>
          <w:p w14:paraId="596FB0B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Dwight Beckmann</w:t>
            </w:r>
          </w:p>
        </w:tc>
      </w:tr>
      <w:tr w:rsidR="00C55E98" w:rsidRPr="00C55E98" w14:paraId="6DB2C929" w14:textId="77777777" w:rsidTr="00C55E98">
        <w:trPr>
          <w:trHeight w:val="300"/>
        </w:trPr>
        <w:tc>
          <w:tcPr>
            <w:tcW w:w="4268" w:type="dxa"/>
            <w:tcBorders>
              <w:top w:val="nil"/>
              <w:left w:val="nil"/>
              <w:bottom w:val="nil"/>
              <w:right w:val="nil"/>
            </w:tcBorders>
            <w:shd w:val="clear" w:color="auto" w:fill="auto"/>
            <w:noWrap/>
            <w:vAlign w:val="bottom"/>
            <w:hideMark/>
          </w:tcPr>
          <w:p w14:paraId="19A1C29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Alex Lee</w:t>
            </w:r>
          </w:p>
        </w:tc>
      </w:tr>
      <w:tr w:rsidR="00C55E98" w:rsidRPr="00C55E98" w14:paraId="5AFDC43B" w14:textId="77777777" w:rsidTr="00C55E98">
        <w:trPr>
          <w:trHeight w:val="300"/>
        </w:trPr>
        <w:tc>
          <w:tcPr>
            <w:tcW w:w="4268" w:type="dxa"/>
            <w:tcBorders>
              <w:top w:val="nil"/>
              <w:left w:val="nil"/>
              <w:bottom w:val="nil"/>
              <w:right w:val="nil"/>
            </w:tcBorders>
            <w:shd w:val="clear" w:color="auto" w:fill="auto"/>
            <w:noWrap/>
            <w:vAlign w:val="bottom"/>
            <w:hideMark/>
          </w:tcPr>
          <w:p w14:paraId="7EDC0D7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Erin Wasik-Gutierrez</w:t>
            </w:r>
          </w:p>
        </w:tc>
      </w:tr>
      <w:tr w:rsidR="00C55E98" w:rsidRPr="00C55E98" w14:paraId="32623265" w14:textId="77777777" w:rsidTr="00C55E98">
        <w:trPr>
          <w:trHeight w:val="300"/>
        </w:trPr>
        <w:tc>
          <w:tcPr>
            <w:tcW w:w="4268" w:type="dxa"/>
            <w:tcBorders>
              <w:top w:val="nil"/>
              <w:left w:val="nil"/>
              <w:bottom w:val="nil"/>
              <w:right w:val="nil"/>
            </w:tcBorders>
            <w:shd w:val="clear" w:color="auto" w:fill="auto"/>
            <w:noWrap/>
            <w:vAlign w:val="bottom"/>
            <w:hideMark/>
          </w:tcPr>
          <w:p w14:paraId="545DED3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Jay Teixeira</w:t>
            </w:r>
          </w:p>
        </w:tc>
      </w:tr>
      <w:tr w:rsidR="00C55E98" w:rsidRPr="00C55E98" w14:paraId="756C9B75" w14:textId="77777777" w:rsidTr="00C55E98">
        <w:trPr>
          <w:trHeight w:val="300"/>
        </w:trPr>
        <w:tc>
          <w:tcPr>
            <w:tcW w:w="4268" w:type="dxa"/>
            <w:tcBorders>
              <w:top w:val="nil"/>
              <w:left w:val="nil"/>
              <w:bottom w:val="nil"/>
              <w:right w:val="nil"/>
            </w:tcBorders>
            <w:shd w:val="clear" w:color="auto" w:fill="auto"/>
            <w:noWrap/>
            <w:vAlign w:val="bottom"/>
            <w:hideMark/>
          </w:tcPr>
          <w:p w14:paraId="7C34173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John Schmall</w:t>
            </w:r>
          </w:p>
        </w:tc>
      </w:tr>
      <w:tr w:rsidR="00C55E98" w:rsidRPr="00C55E98" w14:paraId="029A12B6" w14:textId="77777777" w:rsidTr="00C55E98">
        <w:trPr>
          <w:trHeight w:val="300"/>
        </w:trPr>
        <w:tc>
          <w:tcPr>
            <w:tcW w:w="4268" w:type="dxa"/>
            <w:tcBorders>
              <w:top w:val="nil"/>
              <w:left w:val="nil"/>
              <w:bottom w:val="nil"/>
              <w:right w:val="nil"/>
            </w:tcBorders>
            <w:shd w:val="clear" w:color="auto" w:fill="auto"/>
            <w:noWrap/>
            <w:vAlign w:val="bottom"/>
            <w:hideMark/>
          </w:tcPr>
          <w:p w14:paraId="6294D41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Megan Miller</w:t>
            </w:r>
          </w:p>
        </w:tc>
      </w:tr>
      <w:tr w:rsidR="00C55E98" w:rsidRPr="00C55E98" w14:paraId="21C13A4C" w14:textId="77777777" w:rsidTr="00C55E98">
        <w:trPr>
          <w:trHeight w:val="300"/>
        </w:trPr>
        <w:tc>
          <w:tcPr>
            <w:tcW w:w="4268" w:type="dxa"/>
            <w:tcBorders>
              <w:top w:val="nil"/>
              <w:left w:val="nil"/>
              <w:bottom w:val="nil"/>
              <w:right w:val="nil"/>
            </w:tcBorders>
            <w:shd w:val="clear" w:color="auto" w:fill="auto"/>
            <w:noWrap/>
            <w:vAlign w:val="bottom"/>
            <w:hideMark/>
          </w:tcPr>
          <w:p w14:paraId="6BCC901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Ping Yan</w:t>
            </w:r>
          </w:p>
        </w:tc>
      </w:tr>
      <w:tr w:rsidR="00C55E98" w:rsidRPr="00C55E98" w14:paraId="787D57BA" w14:textId="77777777" w:rsidTr="00C55E98">
        <w:trPr>
          <w:trHeight w:val="300"/>
        </w:trPr>
        <w:tc>
          <w:tcPr>
            <w:tcW w:w="4268" w:type="dxa"/>
            <w:tcBorders>
              <w:top w:val="nil"/>
              <w:left w:val="nil"/>
              <w:bottom w:val="nil"/>
              <w:right w:val="nil"/>
            </w:tcBorders>
            <w:shd w:val="clear" w:color="auto" w:fill="auto"/>
            <w:noWrap/>
            <w:vAlign w:val="bottom"/>
            <w:hideMark/>
          </w:tcPr>
          <w:p w14:paraId="0CE641F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Prabhu Gnanam</w:t>
            </w:r>
          </w:p>
        </w:tc>
      </w:tr>
      <w:tr w:rsidR="00C55E98" w:rsidRPr="00C55E98" w14:paraId="12DF3C6D" w14:textId="77777777" w:rsidTr="00C55E98">
        <w:trPr>
          <w:trHeight w:val="300"/>
        </w:trPr>
        <w:tc>
          <w:tcPr>
            <w:tcW w:w="4268" w:type="dxa"/>
            <w:tcBorders>
              <w:top w:val="nil"/>
              <w:left w:val="nil"/>
              <w:bottom w:val="nil"/>
              <w:right w:val="nil"/>
            </w:tcBorders>
            <w:shd w:val="clear" w:color="auto" w:fill="auto"/>
            <w:noWrap/>
            <w:vAlign w:val="bottom"/>
            <w:hideMark/>
          </w:tcPr>
          <w:p w14:paraId="7B9B60D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Raul Balderas</w:t>
            </w:r>
          </w:p>
        </w:tc>
      </w:tr>
      <w:tr w:rsidR="00C55E98" w:rsidRPr="00C55E98" w14:paraId="2A783513" w14:textId="77777777" w:rsidTr="00C55E98">
        <w:trPr>
          <w:trHeight w:val="300"/>
        </w:trPr>
        <w:tc>
          <w:tcPr>
            <w:tcW w:w="4268" w:type="dxa"/>
            <w:tcBorders>
              <w:top w:val="nil"/>
              <w:left w:val="nil"/>
              <w:bottom w:val="nil"/>
              <w:right w:val="nil"/>
            </w:tcBorders>
            <w:shd w:val="clear" w:color="auto" w:fill="auto"/>
            <w:noWrap/>
            <w:vAlign w:val="bottom"/>
            <w:hideMark/>
          </w:tcPr>
          <w:p w14:paraId="191DE21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Robert Golen</w:t>
            </w:r>
          </w:p>
        </w:tc>
      </w:tr>
      <w:tr w:rsidR="00C55E98" w:rsidRPr="00C55E98" w14:paraId="62C0C040" w14:textId="77777777" w:rsidTr="00C55E98">
        <w:trPr>
          <w:trHeight w:val="300"/>
        </w:trPr>
        <w:tc>
          <w:tcPr>
            <w:tcW w:w="4268" w:type="dxa"/>
            <w:tcBorders>
              <w:top w:val="nil"/>
              <w:left w:val="nil"/>
              <w:bottom w:val="nil"/>
              <w:right w:val="nil"/>
            </w:tcBorders>
            <w:shd w:val="clear" w:color="auto" w:fill="auto"/>
            <w:noWrap/>
            <w:vAlign w:val="bottom"/>
            <w:hideMark/>
          </w:tcPr>
          <w:p w14:paraId="6098D8C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Shun-Hsien (Fred) Huang</w:t>
            </w:r>
          </w:p>
        </w:tc>
      </w:tr>
      <w:tr w:rsidR="00C55E98" w:rsidRPr="00C55E98" w14:paraId="61DFA550" w14:textId="77777777" w:rsidTr="00C55E98">
        <w:trPr>
          <w:trHeight w:val="300"/>
        </w:trPr>
        <w:tc>
          <w:tcPr>
            <w:tcW w:w="4268" w:type="dxa"/>
            <w:tcBorders>
              <w:top w:val="nil"/>
              <w:left w:val="nil"/>
              <w:bottom w:val="nil"/>
              <w:right w:val="nil"/>
            </w:tcBorders>
            <w:shd w:val="clear" w:color="auto" w:fill="auto"/>
            <w:noWrap/>
            <w:vAlign w:val="bottom"/>
            <w:hideMark/>
          </w:tcPr>
          <w:p w14:paraId="179C4A6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Tanzila Ahmed</w:t>
            </w:r>
          </w:p>
        </w:tc>
      </w:tr>
      <w:tr w:rsidR="00C55E98" w:rsidRPr="00C55E98" w14:paraId="374B0D96" w14:textId="77777777" w:rsidTr="00C55E98">
        <w:trPr>
          <w:trHeight w:val="300"/>
        </w:trPr>
        <w:tc>
          <w:tcPr>
            <w:tcW w:w="4268" w:type="dxa"/>
            <w:tcBorders>
              <w:top w:val="nil"/>
              <w:left w:val="nil"/>
              <w:bottom w:val="nil"/>
              <w:right w:val="nil"/>
            </w:tcBorders>
            <w:shd w:val="clear" w:color="auto" w:fill="auto"/>
            <w:noWrap/>
            <w:vAlign w:val="bottom"/>
            <w:hideMark/>
          </w:tcPr>
          <w:p w14:paraId="5BD5E1F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Ying Li</w:t>
            </w:r>
          </w:p>
        </w:tc>
      </w:tr>
      <w:tr w:rsidR="00C55E98" w:rsidRPr="00C55E98" w14:paraId="38A8A1AD" w14:textId="77777777" w:rsidTr="00C55E98">
        <w:trPr>
          <w:trHeight w:val="300"/>
        </w:trPr>
        <w:tc>
          <w:tcPr>
            <w:tcW w:w="4268" w:type="dxa"/>
            <w:tcBorders>
              <w:top w:val="nil"/>
              <w:left w:val="nil"/>
              <w:bottom w:val="nil"/>
              <w:right w:val="nil"/>
            </w:tcBorders>
            <w:shd w:val="clear" w:color="auto" w:fill="auto"/>
            <w:noWrap/>
            <w:vAlign w:val="bottom"/>
            <w:hideMark/>
          </w:tcPr>
          <w:p w14:paraId="5554FE3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w:t>
            </w:r>
            <w:proofErr w:type="spellStart"/>
            <w:r w:rsidRPr="00C55E98">
              <w:rPr>
                <w:rFonts w:ascii="Calibri" w:eastAsia="Times New Roman" w:hAnsi="Calibri" w:cs="Calibri"/>
                <w:color w:val="000000"/>
                <w:kern w:val="0"/>
                <w14:ligatures w14:val="none"/>
              </w:rPr>
              <w:t>Haibo</w:t>
            </w:r>
            <w:proofErr w:type="spellEnd"/>
            <w:r w:rsidRPr="00C55E98">
              <w:rPr>
                <w:rFonts w:ascii="Calibri" w:eastAsia="Times New Roman" w:hAnsi="Calibri" w:cs="Calibri"/>
                <w:color w:val="000000"/>
                <w:kern w:val="0"/>
                <w14:ligatures w14:val="none"/>
              </w:rPr>
              <w:t xml:space="preserve"> You</w:t>
            </w:r>
          </w:p>
        </w:tc>
      </w:tr>
      <w:tr w:rsidR="00C55E98" w:rsidRPr="00C55E98" w14:paraId="52189D4D" w14:textId="77777777" w:rsidTr="00C55E98">
        <w:trPr>
          <w:trHeight w:val="300"/>
        </w:trPr>
        <w:tc>
          <w:tcPr>
            <w:tcW w:w="4268" w:type="dxa"/>
            <w:tcBorders>
              <w:top w:val="nil"/>
              <w:left w:val="nil"/>
              <w:bottom w:val="nil"/>
              <w:right w:val="nil"/>
            </w:tcBorders>
            <w:shd w:val="clear" w:color="auto" w:fill="auto"/>
            <w:noWrap/>
            <w:vAlign w:val="bottom"/>
            <w:hideMark/>
          </w:tcPr>
          <w:p w14:paraId="384F37B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ERCOT-Jenifer Fernandes</w:t>
            </w:r>
          </w:p>
        </w:tc>
      </w:tr>
      <w:tr w:rsidR="00C55E98" w:rsidRPr="00C55E98" w14:paraId="56F8ED98" w14:textId="77777777" w:rsidTr="00C55E98">
        <w:trPr>
          <w:trHeight w:val="300"/>
        </w:trPr>
        <w:tc>
          <w:tcPr>
            <w:tcW w:w="4268" w:type="dxa"/>
            <w:tcBorders>
              <w:top w:val="nil"/>
              <w:left w:val="nil"/>
              <w:bottom w:val="nil"/>
              <w:right w:val="nil"/>
            </w:tcBorders>
            <w:shd w:val="clear" w:color="auto" w:fill="auto"/>
            <w:noWrap/>
            <w:vAlign w:val="bottom"/>
            <w:hideMark/>
          </w:tcPr>
          <w:p w14:paraId="1557738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ERCOT-Pengwei Du</w:t>
            </w:r>
          </w:p>
        </w:tc>
      </w:tr>
      <w:tr w:rsidR="00C55E98" w:rsidRPr="00C55E98" w14:paraId="26290DEA" w14:textId="77777777" w:rsidTr="00C55E98">
        <w:trPr>
          <w:trHeight w:val="300"/>
        </w:trPr>
        <w:tc>
          <w:tcPr>
            <w:tcW w:w="4268" w:type="dxa"/>
            <w:tcBorders>
              <w:top w:val="nil"/>
              <w:left w:val="nil"/>
              <w:bottom w:val="nil"/>
              <w:right w:val="nil"/>
            </w:tcBorders>
            <w:shd w:val="clear" w:color="auto" w:fill="auto"/>
            <w:noWrap/>
            <w:vAlign w:val="bottom"/>
            <w:hideMark/>
          </w:tcPr>
          <w:p w14:paraId="26BFC65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Eduardo Martinez</w:t>
            </w:r>
          </w:p>
        </w:tc>
      </w:tr>
      <w:tr w:rsidR="00C55E98" w:rsidRPr="00C55E98" w14:paraId="0C87F726" w14:textId="77777777" w:rsidTr="00C55E98">
        <w:trPr>
          <w:trHeight w:val="300"/>
        </w:trPr>
        <w:tc>
          <w:tcPr>
            <w:tcW w:w="4268" w:type="dxa"/>
            <w:tcBorders>
              <w:top w:val="nil"/>
              <w:left w:val="nil"/>
              <w:bottom w:val="nil"/>
              <w:right w:val="nil"/>
            </w:tcBorders>
            <w:shd w:val="clear" w:color="auto" w:fill="auto"/>
            <w:noWrap/>
            <w:vAlign w:val="bottom"/>
            <w:hideMark/>
          </w:tcPr>
          <w:p w14:paraId="10078BB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Edward Wen</w:t>
            </w:r>
          </w:p>
        </w:tc>
      </w:tr>
      <w:tr w:rsidR="00C55E98" w:rsidRPr="00C55E98" w14:paraId="3033158D" w14:textId="77777777" w:rsidTr="00C55E98">
        <w:trPr>
          <w:trHeight w:val="300"/>
        </w:trPr>
        <w:tc>
          <w:tcPr>
            <w:tcW w:w="4268" w:type="dxa"/>
            <w:tcBorders>
              <w:top w:val="nil"/>
              <w:left w:val="nil"/>
              <w:bottom w:val="nil"/>
              <w:right w:val="nil"/>
            </w:tcBorders>
            <w:shd w:val="clear" w:color="auto" w:fill="auto"/>
            <w:noWrap/>
            <w:vAlign w:val="bottom"/>
            <w:hideMark/>
          </w:tcPr>
          <w:p w14:paraId="5721367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Eithar Nashawati / Oncor</w:t>
            </w:r>
          </w:p>
        </w:tc>
      </w:tr>
      <w:tr w:rsidR="00C55E98" w:rsidRPr="00C55E98" w14:paraId="369FD907" w14:textId="77777777" w:rsidTr="00C55E98">
        <w:trPr>
          <w:trHeight w:val="300"/>
        </w:trPr>
        <w:tc>
          <w:tcPr>
            <w:tcW w:w="4268" w:type="dxa"/>
            <w:tcBorders>
              <w:top w:val="nil"/>
              <w:left w:val="nil"/>
              <w:bottom w:val="nil"/>
              <w:right w:val="nil"/>
            </w:tcBorders>
            <w:shd w:val="clear" w:color="auto" w:fill="auto"/>
            <w:noWrap/>
            <w:vAlign w:val="bottom"/>
            <w:hideMark/>
          </w:tcPr>
          <w:p w14:paraId="32CE7D0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Eric Lotter - </w:t>
            </w:r>
            <w:proofErr w:type="spellStart"/>
            <w:r w:rsidRPr="00C55E98">
              <w:rPr>
                <w:rFonts w:ascii="Calibri" w:eastAsia="Times New Roman" w:hAnsi="Calibri" w:cs="Calibri"/>
                <w:color w:val="000000"/>
                <w:kern w:val="0"/>
                <w14:ligatures w14:val="none"/>
              </w:rPr>
              <w:t>GridMonitor</w:t>
            </w:r>
            <w:proofErr w:type="spellEnd"/>
          </w:p>
        </w:tc>
      </w:tr>
      <w:tr w:rsidR="00C55E98" w:rsidRPr="00C55E98" w14:paraId="49E913F8" w14:textId="77777777" w:rsidTr="00C55E98">
        <w:trPr>
          <w:trHeight w:val="300"/>
        </w:trPr>
        <w:tc>
          <w:tcPr>
            <w:tcW w:w="4268" w:type="dxa"/>
            <w:tcBorders>
              <w:top w:val="nil"/>
              <w:left w:val="nil"/>
              <w:bottom w:val="nil"/>
              <w:right w:val="nil"/>
            </w:tcBorders>
            <w:shd w:val="clear" w:color="auto" w:fill="auto"/>
            <w:noWrap/>
            <w:vAlign w:val="bottom"/>
            <w:hideMark/>
          </w:tcPr>
          <w:p w14:paraId="2D55A6B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Evan Mickelson</w:t>
            </w:r>
          </w:p>
        </w:tc>
      </w:tr>
      <w:tr w:rsidR="00C55E98" w:rsidRPr="00C55E98" w14:paraId="2EBDFC8D" w14:textId="77777777" w:rsidTr="00C55E98">
        <w:trPr>
          <w:trHeight w:val="300"/>
        </w:trPr>
        <w:tc>
          <w:tcPr>
            <w:tcW w:w="4268" w:type="dxa"/>
            <w:tcBorders>
              <w:top w:val="nil"/>
              <w:left w:val="nil"/>
              <w:bottom w:val="nil"/>
              <w:right w:val="nil"/>
            </w:tcBorders>
            <w:shd w:val="clear" w:color="auto" w:fill="auto"/>
            <w:noWrap/>
            <w:vAlign w:val="bottom"/>
            <w:hideMark/>
          </w:tcPr>
          <w:p w14:paraId="0DAFDD0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Frank </w:t>
            </w:r>
            <w:proofErr w:type="spellStart"/>
            <w:r w:rsidRPr="00C55E98">
              <w:rPr>
                <w:rFonts w:ascii="Calibri" w:eastAsia="Times New Roman" w:hAnsi="Calibri" w:cs="Calibri"/>
                <w:color w:val="000000"/>
                <w:kern w:val="0"/>
                <w14:ligatures w14:val="none"/>
              </w:rPr>
              <w:t>Horak</w:t>
            </w:r>
            <w:proofErr w:type="spellEnd"/>
          </w:p>
        </w:tc>
      </w:tr>
      <w:tr w:rsidR="00C55E98" w:rsidRPr="00C55E98" w14:paraId="7BB2448D" w14:textId="77777777" w:rsidTr="00C55E98">
        <w:trPr>
          <w:trHeight w:val="300"/>
        </w:trPr>
        <w:tc>
          <w:tcPr>
            <w:tcW w:w="4268" w:type="dxa"/>
            <w:tcBorders>
              <w:top w:val="nil"/>
              <w:left w:val="nil"/>
              <w:bottom w:val="nil"/>
              <w:right w:val="nil"/>
            </w:tcBorders>
            <w:shd w:val="clear" w:color="auto" w:fill="auto"/>
            <w:noWrap/>
            <w:vAlign w:val="bottom"/>
            <w:hideMark/>
          </w:tcPr>
          <w:p w14:paraId="498E85D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GP&amp;L - K. Sills</w:t>
            </w:r>
          </w:p>
        </w:tc>
      </w:tr>
      <w:tr w:rsidR="00C55E98" w:rsidRPr="00C55E98" w14:paraId="7CE55BBD" w14:textId="77777777" w:rsidTr="00C55E98">
        <w:trPr>
          <w:trHeight w:val="300"/>
        </w:trPr>
        <w:tc>
          <w:tcPr>
            <w:tcW w:w="4268" w:type="dxa"/>
            <w:tcBorders>
              <w:top w:val="nil"/>
              <w:left w:val="nil"/>
              <w:bottom w:val="nil"/>
              <w:right w:val="nil"/>
            </w:tcBorders>
            <w:shd w:val="clear" w:color="auto" w:fill="auto"/>
            <w:noWrap/>
            <w:vAlign w:val="bottom"/>
            <w:hideMark/>
          </w:tcPr>
          <w:p w14:paraId="00FCCA3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Glen Reed AEP</w:t>
            </w:r>
          </w:p>
        </w:tc>
      </w:tr>
      <w:tr w:rsidR="00C55E98" w:rsidRPr="00C55E98" w14:paraId="664105BE" w14:textId="77777777" w:rsidTr="00C55E98">
        <w:trPr>
          <w:trHeight w:val="300"/>
        </w:trPr>
        <w:tc>
          <w:tcPr>
            <w:tcW w:w="4268" w:type="dxa"/>
            <w:tcBorders>
              <w:top w:val="nil"/>
              <w:left w:val="nil"/>
              <w:bottom w:val="nil"/>
              <w:right w:val="nil"/>
            </w:tcBorders>
            <w:shd w:val="clear" w:color="auto" w:fill="auto"/>
            <w:noWrap/>
            <w:vAlign w:val="bottom"/>
            <w:hideMark/>
          </w:tcPr>
          <w:p w14:paraId="05FD6CB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Viraj</w:t>
            </w:r>
          </w:p>
        </w:tc>
      </w:tr>
      <w:tr w:rsidR="00C55E98" w:rsidRPr="00C55E98" w14:paraId="2250ED7B" w14:textId="77777777" w:rsidTr="00C55E98">
        <w:trPr>
          <w:trHeight w:val="300"/>
        </w:trPr>
        <w:tc>
          <w:tcPr>
            <w:tcW w:w="4268" w:type="dxa"/>
            <w:tcBorders>
              <w:top w:val="nil"/>
              <w:left w:val="nil"/>
              <w:bottom w:val="nil"/>
              <w:right w:val="nil"/>
            </w:tcBorders>
            <w:shd w:val="clear" w:color="auto" w:fill="auto"/>
            <w:noWrap/>
            <w:vAlign w:val="bottom"/>
            <w:hideMark/>
          </w:tcPr>
          <w:p w14:paraId="6786329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Gurley, Jared</w:t>
            </w:r>
          </w:p>
        </w:tc>
      </w:tr>
      <w:tr w:rsidR="00C55E98" w:rsidRPr="00C55E98" w14:paraId="1CB14EDD" w14:textId="77777777" w:rsidTr="00C55E98">
        <w:trPr>
          <w:trHeight w:val="300"/>
        </w:trPr>
        <w:tc>
          <w:tcPr>
            <w:tcW w:w="4268" w:type="dxa"/>
            <w:tcBorders>
              <w:top w:val="nil"/>
              <w:left w:val="nil"/>
              <w:bottom w:val="nil"/>
              <w:right w:val="nil"/>
            </w:tcBorders>
            <w:shd w:val="clear" w:color="auto" w:fill="auto"/>
            <w:noWrap/>
            <w:vAlign w:val="bottom"/>
            <w:hideMark/>
          </w:tcPr>
          <w:p w14:paraId="15B35AD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Henrique</w:t>
            </w:r>
          </w:p>
        </w:tc>
      </w:tr>
      <w:tr w:rsidR="00C55E98" w:rsidRPr="00C55E98" w14:paraId="6AC8F12B" w14:textId="77777777" w:rsidTr="00C55E98">
        <w:trPr>
          <w:trHeight w:val="300"/>
        </w:trPr>
        <w:tc>
          <w:tcPr>
            <w:tcW w:w="4268" w:type="dxa"/>
            <w:tcBorders>
              <w:top w:val="nil"/>
              <w:left w:val="nil"/>
              <w:bottom w:val="nil"/>
              <w:right w:val="nil"/>
            </w:tcBorders>
            <w:shd w:val="clear" w:color="auto" w:fill="auto"/>
            <w:noWrap/>
            <w:vAlign w:val="bottom"/>
            <w:hideMark/>
          </w:tcPr>
          <w:p w14:paraId="592B3CD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Hudson Callender / CPS Energy</w:t>
            </w:r>
          </w:p>
        </w:tc>
      </w:tr>
      <w:tr w:rsidR="00C55E98" w:rsidRPr="00C55E98" w14:paraId="53926389" w14:textId="77777777" w:rsidTr="00C55E98">
        <w:trPr>
          <w:trHeight w:val="300"/>
        </w:trPr>
        <w:tc>
          <w:tcPr>
            <w:tcW w:w="4268" w:type="dxa"/>
            <w:tcBorders>
              <w:top w:val="nil"/>
              <w:left w:val="nil"/>
              <w:bottom w:val="nil"/>
              <w:right w:val="nil"/>
            </w:tcBorders>
            <w:shd w:val="clear" w:color="auto" w:fill="auto"/>
            <w:noWrap/>
            <w:vAlign w:val="bottom"/>
            <w:hideMark/>
          </w:tcPr>
          <w:p w14:paraId="39D8F74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Hudson Callender/ CPS Energy</w:t>
            </w:r>
          </w:p>
        </w:tc>
      </w:tr>
      <w:tr w:rsidR="00C55E98" w:rsidRPr="00C55E98" w14:paraId="79D93D05" w14:textId="77777777" w:rsidTr="00C55E98">
        <w:trPr>
          <w:trHeight w:val="300"/>
        </w:trPr>
        <w:tc>
          <w:tcPr>
            <w:tcW w:w="4268" w:type="dxa"/>
            <w:tcBorders>
              <w:top w:val="nil"/>
              <w:left w:val="nil"/>
              <w:bottom w:val="nil"/>
              <w:right w:val="nil"/>
            </w:tcBorders>
            <w:shd w:val="clear" w:color="auto" w:fill="auto"/>
            <w:noWrap/>
            <w:vAlign w:val="bottom"/>
            <w:hideMark/>
          </w:tcPr>
          <w:p w14:paraId="3201605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James MacPherson </w:t>
            </w:r>
            <w:proofErr w:type="spellStart"/>
            <w:r w:rsidRPr="00C55E98">
              <w:rPr>
                <w:rFonts w:ascii="Calibri" w:eastAsia="Times New Roman" w:hAnsi="Calibri" w:cs="Calibri"/>
                <w:color w:val="000000"/>
                <w:kern w:val="0"/>
                <w14:ligatures w14:val="none"/>
              </w:rPr>
              <w:t>Avantus</w:t>
            </w:r>
            <w:proofErr w:type="spellEnd"/>
          </w:p>
        </w:tc>
      </w:tr>
      <w:tr w:rsidR="00C55E98" w:rsidRPr="00C55E98" w14:paraId="09B61B89" w14:textId="77777777" w:rsidTr="00C55E98">
        <w:trPr>
          <w:trHeight w:val="300"/>
        </w:trPr>
        <w:tc>
          <w:tcPr>
            <w:tcW w:w="4268" w:type="dxa"/>
            <w:tcBorders>
              <w:top w:val="nil"/>
              <w:left w:val="nil"/>
              <w:bottom w:val="nil"/>
              <w:right w:val="nil"/>
            </w:tcBorders>
            <w:shd w:val="clear" w:color="auto" w:fill="auto"/>
            <w:noWrap/>
            <w:vAlign w:val="bottom"/>
            <w:hideMark/>
          </w:tcPr>
          <w:p w14:paraId="1E06E61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Jason Hastings</w:t>
            </w:r>
          </w:p>
        </w:tc>
      </w:tr>
      <w:tr w:rsidR="00C55E98" w:rsidRPr="00C55E98" w14:paraId="1CDA78CB" w14:textId="77777777" w:rsidTr="00C55E98">
        <w:trPr>
          <w:trHeight w:val="300"/>
        </w:trPr>
        <w:tc>
          <w:tcPr>
            <w:tcW w:w="4268" w:type="dxa"/>
            <w:tcBorders>
              <w:top w:val="nil"/>
              <w:left w:val="nil"/>
              <w:bottom w:val="nil"/>
              <w:right w:val="nil"/>
            </w:tcBorders>
            <w:shd w:val="clear" w:color="auto" w:fill="auto"/>
            <w:noWrap/>
            <w:vAlign w:val="bottom"/>
            <w:hideMark/>
          </w:tcPr>
          <w:p w14:paraId="2A4B111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Jason Kemper- EDFR</w:t>
            </w:r>
          </w:p>
        </w:tc>
      </w:tr>
      <w:tr w:rsidR="00C55E98" w:rsidRPr="00C55E98" w14:paraId="5BB32948" w14:textId="77777777" w:rsidTr="00C55E98">
        <w:trPr>
          <w:trHeight w:val="300"/>
        </w:trPr>
        <w:tc>
          <w:tcPr>
            <w:tcW w:w="4268" w:type="dxa"/>
            <w:tcBorders>
              <w:top w:val="nil"/>
              <w:left w:val="nil"/>
              <w:bottom w:val="nil"/>
              <w:right w:val="nil"/>
            </w:tcBorders>
            <w:shd w:val="clear" w:color="auto" w:fill="auto"/>
            <w:noWrap/>
            <w:vAlign w:val="bottom"/>
            <w:hideMark/>
          </w:tcPr>
          <w:p w14:paraId="0458BF6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Jeff Ellis AEP</w:t>
            </w:r>
          </w:p>
        </w:tc>
      </w:tr>
      <w:tr w:rsidR="00C55E98" w:rsidRPr="00C55E98" w14:paraId="52867DD0" w14:textId="77777777" w:rsidTr="00C55E98">
        <w:trPr>
          <w:trHeight w:val="300"/>
        </w:trPr>
        <w:tc>
          <w:tcPr>
            <w:tcW w:w="4268" w:type="dxa"/>
            <w:tcBorders>
              <w:top w:val="nil"/>
              <w:left w:val="nil"/>
              <w:bottom w:val="nil"/>
              <w:right w:val="nil"/>
            </w:tcBorders>
            <w:shd w:val="clear" w:color="auto" w:fill="auto"/>
            <w:noWrap/>
            <w:vAlign w:val="bottom"/>
            <w:hideMark/>
          </w:tcPr>
          <w:p w14:paraId="034393B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Jeremy McConnell - Oncor</w:t>
            </w:r>
          </w:p>
        </w:tc>
      </w:tr>
      <w:tr w:rsidR="00C55E98" w:rsidRPr="00C55E98" w14:paraId="5F540494" w14:textId="77777777" w:rsidTr="00C55E98">
        <w:trPr>
          <w:trHeight w:val="300"/>
        </w:trPr>
        <w:tc>
          <w:tcPr>
            <w:tcW w:w="4268" w:type="dxa"/>
            <w:tcBorders>
              <w:top w:val="nil"/>
              <w:left w:val="nil"/>
              <w:bottom w:val="nil"/>
              <w:right w:val="nil"/>
            </w:tcBorders>
            <w:shd w:val="clear" w:color="auto" w:fill="auto"/>
            <w:noWrap/>
            <w:vAlign w:val="bottom"/>
            <w:hideMark/>
          </w:tcPr>
          <w:p w14:paraId="0C958676"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Jiahong</w:t>
            </w:r>
            <w:proofErr w:type="spellEnd"/>
            <w:r w:rsidRPr="00C55E98">
              <w:rPr>
                <w:rFonts w:ascii="Calibri" w:eastAsia="Times New Roman" w:hAnsi="Calibri" w:cs="Calibri"/>
                <w:color w:val="000000"/>
                <w:kern w:val="0"/>
                <w14:ligatures w14:val="none"/>
              </w:rPr>
              <w:t xml:space="preserve"> Yan</w:t>
            </w:r>
          </w:p>
        </w:tc>
      </w:tr>
      <w:tr w:rsidR="00C55E98" w:rsidRPr="00C55E98" w14:paraId="075F6923" w14:textId="77777777" w:rsidTr="00C55E98">
        <w:trPr>
          <w:trHeight w:val="300"/>
        </w:trPr>
        <w:tc>
          <w:tcPr>
            <w:tcW w:w="4268" w:type="dxa"/>
            <w:tcBorders>
              <w:top w:val="nil"/>
              <w:left w:val="nil"/>
              <w:bottom w:val="nil"/>
              <w:right w:val="nil"/>
            </w:tcBorders>
            <w:shd w:val="clear" w:color="auto" w:fill="auto"/>
            <w:noWrap/>
            <w:vAlign w:val="bottom"/>
            <w:hideMark/>
          </w:tcPr>
          <w:p w14:paraId="354085F2"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Jianhui</w:t>
            </w:r>
            <w:proofErr w:type="spellEnd"/>
            <w:r w:rsidRPr="00C55E98">
              <w:rPr>
                <w:rFonts w:ascii="Calibri" w:eastAsia="Times New Roman" w:hAnsi="Calibri" w:cs="Calibri"/>
                <w:color w:val="000000"/>
                <w:kern w:val="0"/>
                <w14:ligatures w14:val="none"/>
              </w:rPr>
              <w:t xml:space="preserve"> Zhang</w:t>
            </w:r>
          </w:p>
        </w:tc>
      </w:tr>
      <w:tr w:rsidR="00C55E98" w:rsidRPr="00C55E98" w14:paraId="2CE4F99C" w14:textId="77777777" w:rsidTr="00C55E98">
        <w:trPr>
          <w:trHeight w:val="300"/>
        </w:trPr>
        <w:tc>
          <w:tcPr>
            <w:tcW w:w="4268" w:type="dxa"/>
            <w:tcBorders>
              <w:top w:val="nil"/>
              <w:left w:val="nil"/>
              <w:bottom w:val="nil"/>
              <w:right w:val="nil"/>
            </w:tcBorders>
            <w:shd w:val="clear" w:color="auto" w:fill="auto"/>
            <w:noWrap/>
            <w:vAlign w:val="bottom"/>
            <w:hideMark/>
          </w:tcPr>
          <w:p w14:paraId="72511D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Jill Kawakami</w:t>
            </w:r>
          </w:p>
        </w:tc>
      </w:tr>
      <w:tr w:rsidR="00C55E98" w:rsidRPr="00C55E98" w14:paraId="6A540854" w14:textId="77777777" w:rsidTr="00C55E98">
        <w:trPr>
          <w:trHeight w:val="300"/>
        </w:trPr>
        <w:tc>
          <w:tcPr>
            <w:tcW w:w="4268" w:type="dxa"/>
            <w:tcBorders>
              <w:top w:val="nil"/>
              <w:left w:val="nil"/>
              <w:bottom w:val="nil"/>
              <w:right w:val="nil"/>
            </w:tcBorders>
            <w:shd w:val="clear" w:color="auto" w:fill="auto"/>
            <w:noWrap/>
            <w:vAlign w:val="bottom"/>
            <w:hideMark/>
          </w:tcPr>
          <w:p w14:paraId="6748AE4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Jillian </w:t>
            </w:r>
            <w:proofErr w:type="spellStart"/>
            <w:r w:rsidRPr="00C55E98">
              <w:rPr>
                <w:rFonts w:ascii="Calibri" w:eastAsia="Times New Roman" w:hAnsi="Calibri" w:cs="Calibri"/>
                <w:color w:val="000000"/>
                <w:kern w:val="0"/>
                <w14:ligatures w14:val="none"/>
              </w:rPr>
              <w:t>Huweart</w:t>
            </w:r>
            <w:proofErr w:type="spellEnd"/>
            <w:r w:rsidRPr="00C55E98">
              <w:rPr>
                <w:rFonts w:ascii="Calibri" w:eastAsia="Times New Roman" w:hAnsi="Calibri" w:cs="Calibri"/>
                <w:color w:val="000000"/>
                <w:kern w:val="0"/>
                <w14:ligatures w14:val="none"/>
              </w:rPr>
              <w:t xml:space="preserve"> - Apex</w:t>
            </w:r>
          </w:p>
        </w:tc>
      </w:tr>
      <w:tr w:rsidR="00C55E98" w:rsidRPr="00C55E98" w14:paraId="3BEAFDEA" w14:textId="77777777" w:rsidTr="00C55E98">
        <w:trPr>
          <w:trHeight w:val="300"/>
        </w:trPr>
        <w:tc>
          <w:tcPr>
            <w:tcW w:w="4268" w:type="dxa"/>
            <w:tcBorders>
              <w:top w:val="nil"/>
              <w:left w:val="nil"/>
              <w:bottom w:val="nil"/>
              <w:right w:val="nil"/>
            </w:tcBorders>
            <w:shd w:val="clear" w:color="auto" w:fill="auto"/>
            <w:noWrap/>
            <w:vAlign w:val="bottom"/>
            <w:hideMark/>
          </w:tcPr>
          <w:p w14:paraId="34D073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Jim Lee / CenterPoint Energy</w:t>
            </w:r>
          </w:p>
        </w:tc>
      </w:tr>
      <w:tr w:rsidR="00C55E98" w:rsidRPr="00C55E98" w14:paraId="643076C7" w14:textId="77777777" w:rsidTr="00C55E98">
        <w:trPr>
          <w:trHeight w:val="300"/>
        </w:trPr>
        <w:tc>
          <w:tcPr>
            <w:tcW w:w="4268" w:type="dxa"/>
            <w:tcBorders>
              <w:top w:val="nil"/>
              <w:left w:val="nil"/>
              <w:bottom w:val="nil"/>
              <w:right w:val="nil"/>
            </w:tcBorders>
            <w:shd w:val="clear" w:color="auto" w:fill="auto"/>
            <w:noWrap/>
            <w:vAlign w:val="bottom"/>
            <w:hideMark/>
          </w:tcPr>
          <w:p w14:paraId="411BD7B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Joel Davis</w:t>
            </w:r>
          </w:p>
        </w:tc>
      </w:tr>
      <w:tr w:rsidR="00C55E98" w:rsidRPr="00C55E98" w14:paraId="4C953162" w14:textId="77777777" w:rsidTr="00C55E98">
        <w:trPr>
          <w:trHeight w:val="300"/>
        </w:trPr>
        <w:tc>
          <w:tcPr>
            <w:tcW w:w="4268" w:type="dxa"/>
            <w:tcBorders>
              <w:top w:val="nil"/>
              <w:left w:val="nil"/>
              <w:bottom w:val="nil"/>
              <w:right w:val="nil"/>
            </w:tcBorders>
            <w:shd w:val="clear" w:color="auto" w:fill="auto"/>
            <w:noWrap/>
            <w:vAlign w:val="bottom"/>
            <w:hideMark/>
          </w:tcPr>
          <w:p w14:paraId="3249999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John Childress - </w:t>
            </w:r>
            <w:proofErr w:type="spellStart"/>
            <w:r w:rsidRPr="00C55E98">
              <w:rPr>
                <w:rFonts w:ascii="Calibri" w:eastAsia="Times New Roman" w:hAnsi="Calibri" w:cs="Calibri"/>
                <w:color w:val="000000"/>
                <w:kern w:val="0"/>
                <w14:ligatures w14:val="none"/>
              </w:rPr>
              <w:t>kWantix</w:t>
            </w:r>
            <w:proofErr w:type="spellEnd"/>
          </w:p>
        </w:tc>
      </w:tr>
      <w:tr w:rsidR="00C55E98" w:rsidRPr="00C55E98" w14:paraId="5EF60808" w14:textId="77777777" w:rsidTr="00C55E98">
        <w:trPr>
          <w:trHeight w:val="300"/>
        </w:trPr>
        <w:tc>
          <w:tcPr>
            <w:tcW w:w="4268" w:type="dxa"/>
            <w:tcBorders>
              <w:top w:val="nil"/>
              <w:left w:val="nil"/>
              <w:bottom w:val="nil"/>
              <w:right w:val="nil"/>
            </w:tcBorders>
            <w:shd w:val="clear" w:color="auto" w:fill="auto"/>
            <w:noWrap/>
            <w:vAlign w:val="bottom"/>
            <w:hideMark/>
          </w:tcPr>
          <w:p w14:paraId="1294510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John Ritch</w:t>
            </w:r>
          </w:p>
        </w:tc>
      </w:tr>
      <w:tr w:rsidR="00C55E98" w:rsidRPr="00C55E98" w14:paraId="3447A536" w14:textId="77777777" w:rsidTr="00C55E98">
        <w:trPr>
          <w:trHeight w:val="300"/>
        </w:trPr>
        <w:tc>
          <w:tcPr>
            <w:tcW w:w="4268" w:type="dxa"/>
            <w:tcBorders>
              <w:top w:val="nil"/>
              <w:left w:val="nil"/>
              <w:bottom w:val="nil"/>
              <w:right w:val="nil"/>
            </w:tcBorders>
            <w:shd w:val="clear" w:color="auto" w:fill="auto"/>
            <w:noWrap/>
            <w:vAlign w:val="bottom"/>
            <w:hideMark/>
          </w:tcPr>
          <w:p w14:paraId="1F9F107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John Vara - GSEC</w:t>
            </w:r>
          </w:p>
        </w:tc>
      </w:tr>
      <w:tr w:rsidR="00C55E98" w:rsidRPr="00C55E98" w14:paraId="1536265B" w14:textId="77777777" w:rsidTr="00C55E98">
        <w:trPr>
          <w:trHeight w:val="300"/>
        </w:trPr>
        <w:tc>
          <w:tcPr>
            <w:tcW w:w="4268" w:type="dxa"/>
            <w:tcBorders>
              <w:top w:val="nil"/>
              <w:left w:val="nil"/>
              <w:bottom w:val="nil"/>
              <w:right w:val="nil"/>
            </w:tcBorders>
            <w:shd w:val="clear" w:color="auto" w:fill="auto"/>
            <w:noWrap/>
            <w:vAlign w:val="bottom"/>
            <w:hideMark/>
          </w:tcPr>
          <w:p w14:paraId="3B99C56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Joshua Rivers - PEC</w:t>
            </w:r>
          </w:p>
        </w:tc>
      </w:tr>
      <w:tr w:rsidR="00C55E98" w:rsidRPr="00C55E98" w14:paraId="5BDF8136" w14:textId="77777777" w:rsidTr="00C55E98">
        <w:trPr>
          <w:trHeight w:val="300"/>
        </w:trPr>
        <w:tc>
          <w:tcPr>
            <w:tcW w:w="4268" w:type="dxa"/>
            <w:tcBorders>
              <w:top w:val="nil"/>
              <w:left w:val="nil"/>
              <w:bottom w:val="nil"/>
              <w:right w:val="nil"/>
            </w:tcBorders>
            <w:shd w:val="clear" w:color="auto" w:fill="auto"/>
            <w:noWrap/>
            <w:vAlign w:val="bottom"/>
            <w:hideMark/>
          </w:tcPr>
          <w:p w14:paraId="596A3E2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Juan Gomez</w:t>
            </w:r>
          </w:p>
        </w:tc>
      </w:tr>
      <w:tr w:rsidR="00C55E98" w:rsidRPr="00C55E98" w14:paraId="72A91F9F" w14:textId="77777777" w:rsidTr="00C55E98">
        <w:trPr>
          <w:trHeight w:val="300"/>
        </w:trPr>
        <w:tc>
          <w:tcPr>
            <w:tcW w:w="4268" w:type="dxa"/>
            <w:tcBorders>
              <w:top w:val="nil"/>
              <w:left w:val="nil"/>
              <w:bottom w:val="nil"/>
              <w:right w:val="nil"/>
            </w:tcBorders>
            <w:shd w:val="clear" w:color="auto" w:fill="auto"/>
            <w:noWrap/>
            <w:vAlign w:val="bottom"/>
            <w:hideMark/>
          </w:tcPr>
          <w:p w14:paraId="286CD80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Justin Freeman</w:t>
            </w:r>
          </w:p>
        </w:tc>
      </w:tr>
      <w:tr w:rsidR="00C55E98" w:rsidRPr="00C55E98" w14:paraId="6E2FC5E9" w14:textId="77777777" w:rsidTr="00C55E98">
        <w:trPr>
          <w:trHeight w:val="300"/>
        </w:trPr>
        <w:tc>
          <w:tcPr>
            <w:tcW w:w="4268" w:type="dxa"/>
            <w:tcBorders>
              <w:top w:val="nil"/>
              <w:left w:val="nil"/>
              <w:bottom w:val="nil"/>
              <w:right w:val="nil"/>
            </w:tcBorders>
            <w:shd w:val="clear" w:color="auto" w:fill="auto"/>
            <w:noWrap/>
            <w:vAlign w:val="bottom"/>
            <w:hideMark/>
          </w:tcPr>
          <w:p w14:paraId="5D2EF9B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Kaustubh Deshmukh</w:t>
            </w:r>
          </w:p>
        </w:tc>
      </w:tr>
      <w:tr w:rsidR="00C55E98" w:rsidRPr="00C55E98" w14:paraId="5BA2E13C" w14:textId="77777777" w:rsidTr="00C55E98">
        <w:trPr>
          <w:trHeight w:val="300"/>
        </w:trPr>
        <w:tc>
          <w:tcPr>
            <w:tcW w:w="4268" w:type="dxa"/>
            <w:tcBorders>
              <w:top w:val="nil"/>
              <w:left w:val="nil"/>
              <w:bottom w:val="nil"/>
              <w:right w:val="nil"/>
            </w:tcBorders>
            <w:shd w:val="clear" w:color="auto" w:fill="auto"/>
            <w:noWrap/>
            <w:vAlign w:val="bottom"/>
            <w:hideMark/>
          </w:tcPr>
          <w:p w14:paraId="39C87E5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Kathy Z</w:t>
            </w:r>
          </w:p>
        </w:tc>
      </w:tr>
      <w:tr w:rsidR="00C55E98" w:rsidRPr="00C55E98" w14:paraId="448A8588" w14:textId="77777777" w:rsidTr="00C55E98">
        <w:trPr>
          <w:trHeight w:val="300"/>
        </w:trPr>
        <w:tc>
          <w:tcPr>
            <w:tcW w:w="4268" w:type="dxa"/>
            <w:tcBorders>
              <w:top w:val="nil"/>
              <w:left w:val="nil"/>
              <w:bottom w:val="nil"/>
              <w:right w:val="nil"/>
            </w:tcBorders>
            <w:shd w:val="clear" w:color="auto" w:fill="auto"/>
            <w:noWrap/>
            <w:vAlign w:val="bottom"/>
            <w:hideMark/>
          </w:tcPr>
          <w:p w14:paraId="12A7A5A6"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KathyZ</w:t>
            </w:r>
            <w:proofErr w:type="spellEnd"/>
          </w:p>
        </w:tc>
      </w:tr>
      <w:tr w:rsidR="00C55E98" w:rsidRPr="00C55E98" w14:paraId="329698D0" w14:textId="77777777" w:rsidTr="00C55E98">
        <w:trPr>
          <w:trHeight w:val="300"/>
        </w:trPr>
        <w:tc>
          <w:tcPr>
            <w:tcW w:w="4268" w:type="dxa"/>
            <w:tcBorders>
              <w:top w:val="nil"/>
              <w:left w:val="nil"/>
              <w:bottom w:val="nil"/>
              <w:right w:val="nil"/>
            </w:tcBorders>
            <w:shd w:val="clear" w:color="auto" w:fill="auto"/>
            <w:noWrap/>
            <w:vAlign w:val="bottom"/>
            <w:hideMark/>
          </w:tcPr>
          <w:p w14:paraId="11317D0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Ken </w:t>
            </w:r>
            <w:proofErr w:type="spellStart"/>
            <w:r w:rsidRPr="00C55E98">
              <w:rPr>
                <w:rFonts w:ascii="Calibri" w:eastAsia="Times New Roman" w:hAnsi="Calibri" w:cs="Calibri"/>
                <w:color w:val="000000"/>
                <w:kern w:val="0"/>
                <w14:ligatures w14:val="none"/>
              </w:rPr>
              <w:t>Donohoo</w:t>
            </w:r>
            <w:proofErr w:type="spellEnd"/>
            <w:r w:rsidRPr="00C55E98">
              <w:rPr>
                <w:rFonts w:ascii="Calibri" w:eastAsia="Times New Roman" w:hAnsi="Calibri" w:cs="Calibri"/>
                <w:color w:val="000000"/>
                <w:kern w:val="0"/>
                <w14:ligatures w14:val="none"/>
              </w:rPr>
              <w:t xml:space="preserve">, </w:t>
            </w:r>
            <w:proofErr w:type="spellStart"/>
            <w:r w:rsidRPr="00C55E98">
              <w:rPr>
                <w:rFonts w:ascii="Calibri" w:eastAsia="Times New Roman" w:hAnsi="Calibri" w:cs="Calibri"/>
                <w:color w:val="000000"/>
                <w:kern w:val="0"/>
                <w14:ligatures w14:val="none"/>
              </w:rPr>
              <w:t>OwlERC</w:t>
            </w:r>
            <w:proofErr w:type="spellEnd"/>
            <w:r w:rsidRPr="00C55E98">
              <w:rPr>
                <w:rFonts w:ascii="Calibri" w:eastAsia="Times New Roman" w:hAnsi="Calibri" w:cs="Calibri"/>
                <w:color w:val="000000"/>
                <w:kern w:val="0"/>
                <w14:ligatures w14:val="none"/>
              </w:rPr>
              <w:t xml:space="preserve"> LLC</w:t>
            </w:r>
          </w:p>
        </w:tc>
      </w:tr>
      <w:tr w:rsidR="00C55E98" w:rsidRPr="00C55E98" w14:paraId="501F97AB" w14:textId="77777777" w:rsidTr="00C55E98">
        <w:trPr>
          <w:trHeight w:val="300"/>
        </w:trPr>
        <w:tc>
          <w:tcPr>
            <w:tcW w:w="4268" w:type="dxa"/>
            <w:tcBorders>
              <w:top w:val="nil"/>
              <w:left w:val="nil"/>
              <w:bottom w:val="nil"/>
              <w:right w:val="nil"/>
            </w:tcBorders>
            <w:shd w:val="clear" w:color="auto" w:fill="auto"/>
            <w:noWrap/>
            <w:vAlign w:val="bottom"/>
            <w:hideMark/>
          </w:tcPr>
          <w:p w14:paraId="5671358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Kiran Kota </w:t>
            </w:r>
            <w:proofErr w:type="spellStart"/>
            <w:r w:rsidRPr="00C55E98">
              <w:rPr>
                <w:rFonts w:ascii="Calibri" w:eastAsia="Times New Roman" w:hAnsi="Calibri" w:cs="Calibri"/>
                <w:color w:val="000000"/>
                <w:kern w:val="0"/>
                <w14:ligatures w14:val="none"/>
              </w:rPr>
              <w:t>Sunraycer</w:t>
            </w:r>
            <w:proofErr w:type="spellEnd"/>
            <w:r w:rsidRPr="00C55E98">
              <w:rPr>
                <w:rFonts w:ascii="Calibri" w:eastAsia="Times New Roman" w:hAnsi="Calibri" w:cs="Calibri"/>
                <w:color w:val="000000"/>
                <w:kern w:val="0"/>
                <w14:ligatures w14:val="none"/>
              </w:rPr>
              <w:t xml:space="preserve"> Renewables</w:t>
            </w:r>
          </w:p>
        </w:tc>
      </w:tr>
      <w:tr w:rsidR="00C55E98" w:rsidRPr="00C55E98" w14:paraId="13F40153" w14:textId="77777777" w:rsidTr="00C55E98">
        <w:trPr>
          <w:trHeight w:val="300"/>
        </w:trPr>
        <w:tc>
          <w:tcPr>
            <w:tcW w:w="4268" w:type="dxa"/>
            <w:tcBorders>
              <w:top w:val="nil"/>
              <w:left w:val="nil"/>
              <w:bottom w:val="nil"/>
              <w:right w:val="nil"/>
            </w:tcBorders>
            <w:shd w:val="clear" w:color="auto" w:fill="auto"/>
            <w:noWrap/>
            <w:vAlign w:val="bottom"/>
            <w:hideMark/>
          </w:tcPr>
          <w:p w14:paraId="670A5F3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Kristy Ashley - CES</w:t>
            </w:r>
          </w:p>
        </w:tc>
      </w:tr>
      <w:tr w:rsidR="00C55E98" w:rsidRPr="00C55E98" w14:paraId="3E5A002F" w14:textId="77777777" w:rsidTr="00C55E98">
        <w:trPr>
          <w:trHeight w:val="300"/>
        </w:trPr>
        <w:tc>
          <w:tcPr>
            <w:tcW w:w="4268" w:type="dxa"/>
            <w:tcBorders>
              <w:top w:val="nil"/>
              <w:left w:val="nil"/>
              <w:bottom w:val="nil"/>
              <w:right w:val="nil"/>
            </w:tcBorders>
            <w:shd w:val="clear" w:color="auto" w:fill="auto"/>
            <w:noWrap/>
            <w:vAlign w:val="bottom"/>
            <w:hideMark/>
          </w:tcPr>
          <w:p w14:paraId="12E38B0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Andrew Hamann</w:t>
            </w:r>
          </w:p>
        </w:tc>
      </w:tr>
      <w:tr w:rsidR="00C55E98" w:rsidRPr="00C55E98" w14:paraId="4C3F12EE" w14:textId="77777777" w:rsidTr="00C55E98">
        <w:trPr>
          <w:trHeight w:val="300"/>
        </w:trPr>
        <w:tc>
          <w:tcPr>
            <w:tcW w:w="4268" w:type="dxa"/>
            <w:tcBorders>
              <w:top w:val="nil"/>
              <w:left w:val="nil"/>
              <w:bottom w:val="nil"/>
              <w:right w:val="nil"/>
            </w:tcBorders>
            <w:shd w:val="clear" w:color="auto" w:fill="auto"/>
            <w:noWrap/>
            <w:vAlign w:val="bottom"/>
            <w:hideMark/>
          </w:tcPr>
          <w:p w14:paraId="1DC5E71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Dylan Preas</w:t>
            </w:r>
          </w:p>
        </w:tc>
      </w:tr>
      <w:tr w:rsidR="00C55E98" w:rsidRPr="00C55E98" w14:paraId="0A649A0E" w14:textId="77777777" w:rsidTr="00C55E98">
        <w:trPr>
          <w:trHeight w:val="300"/>
        </w:trPr>
        <w:tc>
          <w:tcPr>
            <w:tcW w:w="4268" w:type="dxa"/>
            <w:tcBorders>
              <w:top w:val="nil"/>
              <w:left w:val="nil"/>
              <w:bottom w:val="nil"/>
              <w:right w:val="nil"/>
            </w:tcBorders>
            <w:shd w:val="clear" w:color="auto" w:fill="auto"/>
            <w:noWrap/>
            <w:vAlign w:val="bottom"/>
            <w:hideMark/>
          </w:tcPr>
          <w:p w14:paraId="2AC6096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LCRA TSC - Mohammad </w:t>
            </w:r>
            <w:proofErr w:type="spellStart"/>
            <w:r w:rsidRPr="00C55E98">
              <w:rPr>
                <w:rFonts w:ascii="Calibri" w:eastAsia="Times New Roman" w:hAnsi="Calibri" w:cs="Calibri"/>
                <w:color w:val="000000"/>
                <w:kern w:val="0"/>
                <w14:ligatures w14:val="none"/>
              </w:rPr>
              <w:t>Mokhayeri</w:t>
            </w:r>
            <w:proofErr w:type="spellEnd"/>
          </w:p>
        </w:tc>
      </w:tr>
      <w:tr w:rsidR="00C55E98" w:rsidRPr="00C55E98" w14:paraId="764E4DEC" w14:textId="77777777" w:rsidTr="00C55E98">
        <w:trPr>
          <w:trHeight w:val="300"/>
        </w:trPr>
        <w:tc>
          <w:tcPr>
            <w:tcW w:w="4268" w:type="dxa"/>
            <w:tcBorders>
              <w:top w:val="nil"/>
              <w:left w:val="nil"/>
              <w:bottom w:val="nil"/>
              <w:right w:val="nil"/>
            </w:tcBorders>
            <w:shd w:val="clear" w:color="auto" w:fill="auto"/>
            <w:noWrap/>
            <w:vAlign w:val="bottom"/>
            <w:hideMark/>
          </w:tcPr>
          <w:p w14:paraId="5076BD7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LCRA TSC - Nicholas </w:t>
            </w:r>
            <w:proofErr w:type="spellStart"/>
            <w:r w:rsidRPr="00C55E98">
              <w:rPr>
                <w:rFonts w:ascii="Calibri" w:eastAsia="Times New Roman" w:hAnsi="Calibri" w:cs="Calibri"/>
                <w:color w:val="000000"/>
                <w:kern w:val="0"/>
                <w14:ligatures w14:val="none"/>
              </w:rPr>
              <w:t>Oberski</w:t>
            </w:r>
            <w:proofErr w:type="spellEnd"/>
          </w:p>
        </w:tc>
      </w:tr>
      <w:tr w:rsidR="00C55E98" w:rsidRPr="00C55E98" w14:paraId="4C96C185" w14:textId="77777777" w:rsidTr="00C55E98">
        <w:trPr>
          <w:trHeight w:val="300"/>
        </w:trPr>
        <w:tc>
          <w:tcPr>
            <w:tcW w:w="4268" w:type="dxa"/>
            <w:tcBorders>
              <w:top w:val="nil"/>
              <w:left w:val="nil"/>
              <w:bottom w:val="nil"/>
              <w:right w:val="nil"/>
            </w:tcBorders>
            <w:shd w:val="clear" w:color="auto" w:fill="auto"/>
            <w:noWrap/>
            <w:vAlign w:val="bottom"/>
            <w:hideMark/>
          </w:tcPr>
          <w:p w14:paraId="3510479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Larisa </w:t>
            </w:r>
            <w:proofErr w:type="spellStart"/>
            <w:r w:rsidRPr="00C55E98">
              <w:rPr>
                <w:rFonts w:ascii="Calibri" w:eastAsia="Times New Roman" w:hAnsi="Calibri" w:cs="Calibri"/>
                <w:color w:val="000000"/>
                <w:kern w:val="0"/>
                <w14:ligatures w14:val="none"/>
              </w:rPr>
              <w:t>Loyferman</w:t>
            </w:r>
            <w:proofErr w:type="spellEnd"/>
          </w:p>
        </w:tc>
      </w:tr>
      <w:tr w:rsidR="00C55E98" w:rsidRPr="00C55E98" w14:paraId="43AB0880" w14:textId="77777777" w:rsidTr="00C55E98">
        <w:trPr>
          <w:trHeight w:val="300"/>
        </w:trPr>
        <w:tc>
          <w:tcPr>
            <w:tcW w:w="4268" w:type="dxa"/>
            <w:tcBorders>
              <w:top w:val="nil"/>
              <w:left w:val="nil"/>
              <w:bottom w:val="nil"/>
              <w:right w:val="nil"/>
            </w:tcBorders>
            <w:shd w:val="clear" w:color="auto" w:fill="auto"/>
            <w:noWrap/>
            <w:vAlign w:val="bottom"/>
            <w:hideMark/>
          </w:tcPr>
          <w:p w14:paraId="4E8AF37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Lauri White AEP Texas</w:t>
            </w:r>
          </w:p>
        </w:tc>
      </w:tr>
      <w:tr w:rsidR="00C55E98" w:rsidRPr="00C55E98" w14:paraId="17D2CC1D" w14:textId="77777777" w:rsidTr="00C55E98">
        <w:trPr>
          <w:trHeight w:val="300"/>
        </w:trPr>
        <w:tc>
          <w:tcPr>
            <w:tcW w:w="4268" w:type="dxa"/>
            <w:tcBorders>
              <w:top w:val="nil"/>
              <w:left w:val="nil"/>
              <w:bottom w:val="nil"/>
              <w:right w:val="nil"/>
            </w:tcBorders>
            <w:shd w:val="clear" w:color="auto" w:fill="auto"/>
            <w:noWrap/>
            <w:vAlign w:val="bottom"/>
            <w:hideMark/>
          </w:tcPr>
          <w:p w14:paraId="1372026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Laurie Block, L Block Consulting</w:t>
            </w:r>
          </w:p>
        </w:tc>
      </w:tr>
      <w:tr w:rsidR="00C55E98" w:rsidRPr="00C55E98" w14:paraId="01B7662C" w14:textId="77777777" w:rsidTr="00C55E98">
        <w:trPr>
          <w:trHeight w:val="300"/>
        </w:trPr>
        <w:tc>
          <w:tcPr>
            <w:tcW w:w="4268" w:type="dxa"/>
            <w:tcBorders>
              <w:top w:val="nil"/>
              <w:left w:val="nil"/>
              <w:bottom w:val="nil"/>
              <w:right w:val="nil"/>
            </w:tcBorders>
            <w:shd w:val="clear" w:color="auto" w:fill="auto"/>
            <w:noWrap/>
            <w:vAlign w:val="bottom"/>
            <w:hideMark/>
          </w:tcPr>
          <w:p w14:paraId="0CED2BD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Li Zhang Calpine Corporation</w:t>
            </w:r>
          </w:p>
        </w:tc>
      </w:tr>
      <w:tr w:rsidR="00C55E98" w:rsidRPr="00C55E98" w14:paraId="24BE5601" w14:textId="77777777" w:rsidTr="00C55E98">
        <w:trPr>
          <w:trHeight w:val="300"/>
        </w:trPr>
        <w:tc>
          <w:tcPr>
            <w:tcW w:w="4268" w:type="dxa"/>
            <w:tcBorders>
              <w:top w:val="nil"/>
              <w:left w:val="nil"/>
              <w:bottom w:val="nil"/>
              <w:right w:val="nil"/>
            </w:tcBorders>
            <w:shd w:val="clear" w:color="auto" w:fill="auto"/>
            <w:noWrap/>
            <w:vAlign w:val="bottom"/>
            <w:hideMark/>
          </w:tcPr>
          <w:p w14:paraId="73D746A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Ling Luo</w:t>
            </w:r>
          </w:p>
        </w:tc>
      </w:tr>
      <w:tr w:rsidR="00C55E98" w:rsidRPr="00C55E98" w14:paraId="6328004E" w14:textId="77777777" w:rsidTr="00C55E98">
        <w:trPr>
          <w:trHeight w:val="300"/>
        </w:trPr>
        <w:tc>
          <w:tcPr>
            <w:tcW w:w="4268" w:type="dxa"/>
            <w:tcBorders>
              <w:top w:val="nil"/>
              <w:left w:val="nil"/>
              <w:bottom w:val="nil"/>
              <w:right w:val="nil"/>
            </w:tcBorders>
            <w:shd w:val="clear" w:color="auto" w:fill="auto"/>
            <w:noWrap/>
            <w:vAlign w:val="bottom"/>
            <w:hideMark/>
          </w:tcPr>
          <w:p w14:paraId="34F62CF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Lloyd Will</w:t>
            </w:r>
          </w:p>
        </w:tc>
      </w:tr>
      <w:tr w:rsidR="00C55E98" w:rsidRPr="00C55E98" w14:paraId="7DE103FA" w14:textId="77777777" w:rsidTr="00C55E98">
        <w:trPr>
          <w:trHeight w:val="300"/>
        </w:trPr>
        <w:tc>
          <w:tcPr>
            <w:tcW w:w="4268" w:type="dxa"/>
            <w:tcBorders>
              <w:top w:val="nil"/>
              <w:left w:val="nil"/>
              <w:bottom w:val="nil"/>
              <w:right w:val="nil"/>
            </w:tcBorders>
            <w:shd w:val="clear" w:color="auto" w:fill="auto"/>
            <w:noWrap/>
            <w:vAlign w:val="bottom"/>
            <w:hideMark/>
          </w:tcPr>
          <w:p w14:paraId="10A0A4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Long Tran</w:t>
            </w:r>
          </w:p>
        </w:tc>
      </w:tr>
      <w:tr w:rsidR="00C55E98" w:rsidRPr="00C55E98" w14:paraId="2A799EBE" w14:textId="77777777" w:rsidTr="00C55E98">
        <w:trPr>
          <w:trHeight w:val="300"/>
        </w:trPr>
        <w:tc>
          <w:tcPr>
            <w:tcW w:w="4268" w:type="dxa"/>
            <w:tcBorders>
              <w:top w:val="nil"/>
              <w:left w:val="nil"/>
              <w:bottom w:val="nil"/>
              <w:right w:val="nil"/>
            </w:tcBorders>
            <w:shd w:val="clear" w:color="auto" w:fill="auto"/>
            <w:noWrap/>
            <w:vAlign w:val="bottom"/>
            <w:hideMark/>
          </w:tcPr>
          <w:p w14:paraId="3C62844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Malik Chavez</w:t>
            </w:r>
          </w:p>
        </w:tc>
      </w:tr>
      <w:tr w:rsidR="00C55E98" w:rsidRPr="00C55E98" w14:paraId="1B866140" w14:textId="77777777" w:rsidTr="00C55E98">
        <w:trPr>
          <w:trHeight w:val="300"/>
        </w:trPr>
        <w:tc>
          <w:tcPr>
            <w:tcW w:w="4268" w:type="dxa"/>
            <w:tcBorders>
              <w:top w:val="nil"/>
              <w:left w:val="nil"/>
              <w:bottom w:val="nil"/>
              <w:right w:val="nil"/>
            </w:tcBorders>
            <w:shd w:val="clear" w:color="auto" w:fill="auto"/>
            <w:noWrap/>
            <w:vAlign w:val="bottom"/>
            <w:hideMark/>
          </w:tcPr>
          <w:p w14:paraId="16CB97A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Manny Uy - Hunt Energy</w:t>
            </w:r>
          </w:p>
        </w:tc>
      </w:tr>
      <w:tr w:rsidR="00C55E98" w:rsidRPr="00C55E98" w14:paraId="75ACB617" w14:textId="77777777" w:rsidTr="00C55E98">
        <w:trPr>
          <w:trHeight w:val="300"/>
        </w:trPr>
        <w:tc>
          <w:tcPr>
            <w:tcW w:w="4268" w:type="dxa"/>
            <w:tcBorders>
              <w:top w:val="nil"/>
              <w:left w:val="nil"/>
              <w:bottom w:val="nil"/>
              <w:right w:val="nil"/>
            </w:tcBorders>
            <w:shd w:val="clear" w:color="auto" w:fill="auto"/>
            <w:noWrap/>
            <w:vAlign w:val="bottom"/>
            <w:hideMark/>
          </w:tcPr>
          <w:p w14:paraId="0D4D9DD5"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Mareesh</w:t>
            </w:r>
            <w:proofErr w:type="spellEnd"/>
            <w:r w:rsidRPr="00C55E98">
              <w:rPr>
                <w:rFonts w:ascii="Calibri" w:eastAsia="Times New Roman" w:hAnsi="Calibri" w:cs="Calibri"/>
                <w:color w:val="000000"/>
                <w:kern w:val="0"/>
                <w14:ligatures w14:val="none"/>
              </w:rPr>
              <w:t xml:space="preserve"> / ZEG</w:t>
            </w:r>
          </w:p>
        </w:tc>
      </w:tr>
      <w:tr w:rsidR="00C55E98" w:rsidRPr="00C55E98" w14:paraId="0DF89E0D" w14:textId="77777777" w:rsidTr="00C55E98">
        <w:trPr>
          <w:trHeight w:val="300"/>
        </w:trPr>
        <w:tc>
          <w:tcPr>
            <w:tcW w:w="4268" w:type="dxa"/>
            <w:tcBorders>
              <w:top w:val="nil"/>
              <w:left w:val="nil"/>
              <w:bottom w:val="nil"/>
              <w:right w:val="nil"/>
            </w:tcBorders>
            <w:shd w:val="clear" w:color="auto" w:fill="auto"/>
            <w:noWrap/>
            <w:vAlign w:val="bottom"/>
            <w:hideMark/>
          </w:tcPr>
          <w:p w14:paraId="7DD275A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Maribel Khayat</w:t>
            </w:r>
          </w:p>
        </w:tc>
      </w:tr>
      <w:tr w:rsidR="00C55E98" w:rsidRPr="00C55E98" w14:paraId="06152D79" w14:textId="77777777" w:rsidTr="00C55E98">
        <w:trPr>
          <w:trHeight w:val="300"/>
        </w:trPr>
        <w:tc>
          <w:tcPr>
            <w:tcW w:w="4268" w:type="dxa"/>
            <w:tcBorders>
              <w:top w:val="nil"/>
              <w:left w:val="nil"/>
              <w:bottom w:val="nil"/>
              <w:right w:val="nil"/>
            </w:tcBorders>
            <w:shd w:val="clear" w:color="auto" w:fill="auto"/>
            <w:noWrap/>
            <w:vAlign w:val="bottom"/>
            <w:hideMark/>
          </w:tcPr>
          <w:p w14:paraId="15D421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Martha Henson - Oncor</w:t>
            </w:r>
          </w:p>
        </w:tc>
      </w:tr>
      <w:tr w:rsidR="00C55E98" w:rsidRPr="00C55E98" w14:paraId="078B4A30" w14:textId="77777777" w:rsidTr="00C55E98">
        <w:trPr>
          <w:trHeight w:val="300"/>
        </w:trPr>
        <w:tc>
          <w:tcPr>
            <w:tcW w:w="4268" w:type="dxa"/>
            <w:tcBorders>
              <w:top w:val="nil"/>
              <w:left w:val="nil"/>
              <w:bottom w:val="nil"/>
              <w:right w:val="nil"/>
            </w:tcBorders>
            <w:shd w:val="clear" w:color="auto" w:fill="auto"/>
            <w:noWrap/>
            <w:vAlign w:val="bottom"/>
            <w:hideMark/>
          </w:tcPr>
          <w:p w14:paraId="757E40D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Marty Downey / Luminant Corporation</w:t>
            </w:r>
          </w:p>
        </w:tc>
      </w:tr>
      <w:tr w:rsidR="00C55E98" w:rsidRPr="00C55E98" w14:paraId="5ABCEDA6" w14:textId="77777777" w:rsidTr="00C55E98">
        <w:trPr>
          <w:trHeight w:val="300"/>
        </w:trPr>
        <w:tc>
          <w:tcPr>
            <w:tcW w:w="4268" w:type="dxa"/>
            <w:tcBorders>
              <w:top w:val="nil"/>
              <w:left w:val="nil"/>
              <w:bottom w:val="nil"/>
              <w:right w:val="nil"/>
            </w:tcBorders>
            <w:shd w:val="clear" w:color="auto" w:fill="auto"/>
            <w:noWrap/>
            <w:vAlign w:val="bottom"/>
            <w:hideMark/>
          </w:tcPr>
          <w:p w14:paraId="05A9B62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Matthew Hall</w:t>
            </w:r>
          </w:p>
        </w:tc>
      </w:tr>
      <w:tr w:rsidR="00C55E98" w:rsidRPr="00C55E98" w14:paraId="1DFCC0C1" w14:textId="77777777" w:rsidTr="00C55E98">
        <w:trPr>
          <w:trHeight w:val="300"/>
        </w:trPr>
        <w:tc>
          <w:tcPr>
            <w:tcW w:w="4268" w:type="dxa"/>
            <w:tcBorders>
              <w:top w:val="nil"/>
              <w:left w:val="nil"/>
              <w:bottom w:val="nil"/>
              <w:right w:val="nil"/>
            </w:tcBorders>
            <w:shd w:val="clear" w:color="auto" w:fill="auto"/>
            <w:noWrap/>
            <w:vAlign w:val="bottom"/>
            <w:hideMark/>
          </w:tcPr>
          <w:p w14:paraId="1CF5D51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Melvin Joseph - Black &amp; Veatch</w:t>
            </w:r>
          </w:p>
        </w:tc>
      </w:tr>
      <w:tr w:rsidR="00C55E98" w:rsidRPr="00C55E98" w14:paraId="0D2E6899" w14:textId="77777777" w:rsidTr="00C55E98">
        <w:trPr>
          <w:trHeight w:val="300"/>
        </w:trPr>
        <w:tc>
          <w:tcPr>
            <w:tcW w:w="4268" w:type="dxa"/>
            <w:tcBorders>
              <w:top w:val="nil"/>
              <w:left w:val="nil"/>
              <w:bottom w:val="nil"/>
              <w:right w:val="nil"/>
            </w:tcBorders>
            <w:shd w:val="clear" w:color="auto" w:fill="auto"/>
            <w:noWrap/>
            <w:vAlign w:val="bottom"/>
            <w:hideMark/>
          </w:tcPr>
          <w:p w14:paraId="047B671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Mike Tabrizi/Zero-Emission Grid, LLC</w:t>
            </w:r>
          </w:p>
        </w:tc>
      </w:tr>
      <w:tr w:rsidR="00C55E98" w:rsidRPr="00C55E98" w14:paraId="768865D3" w14:textId="77777777" w:rsidTr="00C55E98">
        <w:trPr>
          <w:trHeight w:val="300"/>
        </w:trPr>
        <w:tc>
          <w:tcPr>
            <w:tcW w:w="4268" w:type="dxa"/>
            <w:tcBorders>
              <w:top w:val="nil"/>
              <w:left w:val="nil"/>
              <w:bottom w:val="nil"/>
              <w:right w:val="nil"/>
            </w:tcBorders>
            <w:shd w:val="clear" w:color="auto" w:fill="auto"/>
            <w:noWrap/>
            <w:vAlign w:val="bottom"/>
            <w:hideMark/>
          </w:tcPr>
          <w:p w14:paraId="486F728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Mina Y Turner</w:t>
            </w:r>
          </w:p>
        </w:tc>
      </w:tr>
      <w:tr w:rsidR="00C55E98" w:rsidRPr="00C55E98" w14:paraId="355A7A85" w14:textId="77777777" w:rsidTr="00C55E98">
        <w:trPr>
          <w:trHeight w:val="300"/>
        </w:trPr>
        <w:tc>
          <w:tcPr>
            <w:tcW w:w="4268" w:type="dxa"/>
            <w:tcBorders>
              <w:top w:val="nil"/>
              <w:left w:val="nil"/>
              <w:bottom w:val="nil"/>
              <w:right w:val="nil"/>
            </w:tcBorders>
            <w:shd w:val="clear" w:color="auto" w:fill="auto"/>
            <w:noWrap/>
            <w:vAlign w:val="bottom"/>
            <w:hideMark/>
          </w:tcPr>
          <w:p w14:paraId="69B73AD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Murillo, Maribel</w:t>
            </w:r>
          </w:p>
        </w:tc>
      </w:tr>
      <w:tr w:rsidR="00C55E98" w:rsidRPr="00C55E98" w14:paraId="057493FF" w14:textId="77777777" w:rsidTr="00C55E98">
        <w:trPr>
          <w:trHeight w:val="300"/>
        </w:trPr>
        <w:tc>
          <w:tcPr>
            <w:tcW w:w="4268" w:type="dxa"/>
            <w:tcBorders>
              <w:top w:val="nil"/>
              <w:left w:val="nil"/>
              <w:bottom w:val="nil"/>
              <w:right w:val="nil"/>
            </w:tcBorders>
            <w:shd w:val="clear" w:color="auto" w:fill="auto"/>
            <w:noWrap/>
            <w:vAlign w:val="bottom"/>
            <w:hideMark/>
          </w:tcPr>
          <w:p w14:paraId="6B1AFD4E"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Nabaraj</w:t>
            </w:r>
            <w:proofErr w:type="spellEnd"/>
            <w:r w:rsidRPr="00C55E98">
              <w:rPr>
                <w:rFonts w:ascii="Calibri" w:eastAsia="Times New Roman" w:hAnsi="Calibri" w:cs="Calibri"/>
                <w:color w:val="000000"/>
                <w:kern w:val="0"/>
                <w14:ligatures w14:val="none"/>
              </w:rPr>
              <w:t xml:space="preserve"> Pokharel</w:t>
            </w:r>
          </w:p>
        </w:tc>
      </w:tr>
      <w:tr w:rsidR="00C55E98" w:rsidRPr="00C55E98" w14:paraId="135A4031" w14:textId="77777777" w:rsidTr="00C55E98">
        <w:trPr>
          <w:trHeight w:val="300"/>
        </w:trPr>
        <w:tc>
          <w:tcPr>
            <w:tcW w:w="4268" w:type="dxa"/>
            <w:tcBorders>
              <w:top w:val="nil"/>
              <w:left w:val="nil"/>
              <w:bottom w:val="nil"/>
              <w:right w:val="nil"/>
            </w:tcBorders>
            <w:shd w:val="clear" w:color="auto" w:fill="auto"/>
            <w:noWrap/>
            <w:vAlign w:val="bottom"/>
            <w:hideMark/>
          </w:tcPr>
          <w:p w14:paraId="645E5E7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Nashawati, Eithar</w:t>
            </w:r>
          </w:p>
        </w:tc>
      </w:tr>
      <w:tr w:rsidR="00C55E98" w:rsidRPr="00C55E98" w14:paraId="7D5A3D41" w14:textId="77777777" w:rsidTr="00C55E98">
        <w:trPr>
          <w:trHeight w:val="300"/>
        </w:trPr>
        <w:tc>
          <w:tcPr>
            <w:tcW w:w="4268" w:type="dxa"/>
            <w:tcBorders>
              <w:top w:val="nil"/>
              <w:left w:val="nil"/>
              <w:bottom w:val="nil"/>
              <w:right w:val="nil"/>
            </w:tcBorders>
            <w:shd w:val="clear" w:color="auto" w:fill="auto"/>
            <w:noWrap/>
            <w:vAlign w:val="bottom"/>
            <w:hideMark/>
          </w:tcPr>
          <w:p w14:paraId="085D462F"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Neeraj Vijay </w:t>
            </w:r>
            <w:proofErr w:type="spellStart"/>
            <w:r w:rsidRPr="00C55E98">
              <w:rPr>
                <w:rFonts w:ascii="Calibri" w:eastAsia="Times New Roman" w:hAnsi="Calibri" w:cs="Calibri"/>
                <w:color w:val="000000"/>
                <w:kern w:val="0"/>
                <w14:ligatures w14:val="none"/>
              </w:rPr>
              <w:t>Bedmutha</w:t>
            </w:r>
            <w:proofErr w:type="spellEnd"/>
          </w:p>
        </w:tc>
      </w:tr>
      <w:tr w:rsidR="00C55E98" w:rsidRPr="00C55E98" w14:paraId="620EDE46" w14:textId="77777777" w:rsidTr="00C55E98">
        <w:trPr>
          <w:trHeight w:val="300"/>
        </w:trPr>
        <w:tc>
          <w:tcPr>
            <w:tcW w:w="4268" w:type="dxa"/>
            <w:tcBorders>
              <w:top w:val="nil"/>
              <w:left w:val="nil"/>
              <w:bottom w:val="nil"/>
              <w:right w:val="nil"/>
            </w:tcBorders>
            <w:shd w:val="clear" w:color="auto" w:fill="auto"/>
            <w:noWrap/>
            <w:vAlign w:val="bottom"/>
            <w:hideMark/>
          </w:tcPr>
          <w:p w14:paraId="09ECF20F"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Neeraja</w:t>
            </w:r>
            <w:proofErr w:type="spellEnd"/>
            <w:r w:rsidRPr="00C55E98">
              <w:rPr>
                <w:rFonts w:ascii="Calibri" w:eastAsia="Times New Roman" w:hAnsi="Calibri" w:cs="Calibri"/>
                <w:color w:val="000000"/>
                <w:kern w:val="0"/>
                <w14:ligatures w14:val="none"/>
              </w:rPr>
              <w:t xml:space="preserve"> </w:t>
            </w:r>
            <w:proofErr w:type="spellStart"/>
            <w:r w:rsidRPr="00C55E98">
              <w:rPr>
                <w:rFonts w:ascii="Calibri" w:eastAsia="Times New Roman" w:hAnsi="Calibri" w:cs="Calibri"/>
                <w:color w:val="000000"/>
                <w:kern w:val="0"/>
                <w14:ligatures w14:val="none"/>
              </w:rPr>
              <w:t>Dharme</w:t>
            </w:r>
            <w:proofErr w:type="spellEnd"/>
            <w:r w:rsidRPr="00C55E98">
              <w:rPr>
                <w:rFonts w:ascii="Calibri" w:eastAsia="Times New Roman" w:hAnsi="Calibri" w:cs="Calibri"/>
                <w:color w:val="000000"/>
                <w:kern w:val="0"/>
                <w14:ligatures w14:val="none"/>
              </w:rPr>
              <w:t xml:space="preserve"> - EDFT</w:t>
            </w:r>
          </w:p>
        </w:tc>
      </w:tr>
      <w:tr w:rsidR="00C55E98" w:rsidRPr="00C55E98" w14:paraId="03616DFE" w14:textId="77777777" w:rsidTr="00C55E98">
        <w:trPr>
          <w:trHeight w:val="300"/>
        </w:trPr>
        <w:tc>
          <w:tcPr>
            <w:tcW w:w="4268" w:type="dxa"/>
            <w:tcBorders>
              <w:top w:val="nil"/>
              <w:left w:val="nil"/>
              <w:bottom w:val="nil"/>
              <w:right w:val="nil"/>
            </w:tcBorders>
            <w:shd w:val="clear" w:color="auto" w:fill="auto"/>
            <w:noWrap/>
            <w:vAlign w:val="bottom"/>
            <w:hideMark/>
          </w:tcPr>
          <w:p w14:paraId="6F71FF70"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Olawunmi</w:t>
            </w:r>
            <w:proofErr w:type="spellEnd"/>
            <w:r w:rsidRPr="00C55E98">
              <w:rPr>
                <w:rFonts w:ascii="Calibri" w:eastAsia="Times New Roman" w:hAnsi="Calibri" w:cs="Calibri"/>
                <w:color w:val="000000"/>
                <w:kern w:val="0"/>
                <w14:ligatures w14:val="none"/>
              </w:rPr>
              <w:t>, Ola</w:t>
            </w:r>
          </w:p>
        </w:tc>
      </w:tr>
      <w:tr w:rsidR="00C55E98" w:rsidRPr="00C55E98" w14:paraId="6CCC0BB2" w14:textId="77777777" w:rsidTr="00C55E98">
        <w:trPr>
          <w:trHeight w:val="300"/>
        </w:trPr>
        <w:tc>
          <w:tcPr>
            <w:tcW w:w="4268" w:type="dxa"/>
            <w:tcBorders>
              <w:top w:val="nil"/>
              <w:left w:val="nil"/>
              <w:bottom w:val="nil"/>
              <w:right w:val="nil"/>
            </w:tcBorders>
            <w:shd w:val="clear" w:color="auto" w:fill="auto"/>
            <w:noWrap/>
            <w:vAlign w:val="bottom"/>
            <w:hideMark/>
          </w:tcPr>
          <w:p w14:paraId="4BC557F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Oncor - Sirius Ahn</w:t>
            </w:r>
          </w:p>
        </w:tc>
      </w:tr>
      <w:tr w:rsidR="00C55E98" w:rsidRPr="00C55E98" w14:paraId="20A9FE73" w14:textId="77777777" w:rsidTr="00C55E98">
        <w:trPr>
          <w:trHeight w:val="300"/>
        </w:trPr>
        <w:tc>
          <w:tcPr>
            <w:tcW w:w="4268" w:type="dxa"/>
            <w:tcBorders>
              <w:top w:val="nil"/>
              <w:left w:val="nil"/>
              <w:bottom w:val="nil"/>
              <w:right w:val="nil"/>
            </w:tcBorders>
            <w:shd w:val="clear" w:color="auto" w:fill="auto"/>
            <w:noWrap/>
            <w:vAlign w:val="bottom"/>
            <w:hideMark/>
          </w:tcPr>
          <w:p w14:paraId="6AE9A69E"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Parvathaneni</w:t>
            </w:r>
            <w:proofErr w:type="spellEnd"/>
            <w:r w:rsidRPr="00C55E98">
              <w:rPr>
                <w:rFonts w:ascii="Calibri" w:eastAsia="Times New Roman" w:hAnsi="Calibri" w:cs="Calibri"/>
                <w:color w:val="000000"/>
                <w:kern w:val="0"/>
                <w14:ligatures w14:val="none"/>
              </w:rPr>
              <w:t>, Sirisha</w:t>
            </w:r>
          </w:p>
        </w:tc>
      </w:tr>
      <w:tr w:rsidR="00C55E98" w:rsidRPr="00C55E98" w14:paraId="12686282" w14:textId="77777777" w:rsidTr="00C55E98">
        <w:trPr>
          <w:trHeight w:val="300"/>
        </w:trPr>
        <w:tc>
          <w:tcPr>
            <w:tcW w:w="4268" w:type="dxa"/>
            <w:tcBorders>
              <w:top w:val="nil"/>
              <w:left w:val="nil"/>
              <w:bottom w:val="nil"/>
              <w:right w:val="nil"/>
            </w:tcBorders>
            <w:shd w:val="clear" w:color="auto" w:fill="auto"/>
            <w:noWrap/>
            <w:vAlign w:val="bottom"/>
            <w:hideMark/>
          </w:tcPr>
          <w:p w14:paraId="34934FC7"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Pranil</w:t>
            </w:r>
            <w:proofErr w:type="spellEnd"/>
            <w:r w:rsidRPr="00C55E98">
              <w:rPr>
                <w:rFonts w:ascii="Calibri" w:eastAsia="Times New Roman" w:hAnsi="Calibri" w:cs="Calibri"/>
                <w:color w:val="000000"/>
                <w:kern w:val="0"/>
                <w14:ligatures w14:val="none"/>
              </w:rPr>
              <w:t xml:space="preserve"> </w:t>
            </w:r>
            <w:proofErr w:type="spellStart"/>
            <w:r w:rsidRPr="00C55E98">
              <w:rPr>
                <w:rFonts w:ascii="Calibri" w:eastAsia="Times New Roman" w:hAnsi="Calibri" w:cs="Calibri"/>
                <w:color w:val="000000"/>
                <w:kern w:val="0"/>
                <w14:ligatures w14:val="none"/>
              </w:rPr>
              <w:t>Walke</w:t>
            </w:r>
            <w:proofErr w:type="spellEnd"/>
            <w:r w:rsidRPr="00C55E98">
              <w:rPr>
                <w:rFonts w:ascii="Calibri" w:eastAsia="Times New Roman" w:hAnsi="Calibri" w:cs="Calibri"/>
                <w:color w:val="000000"/>
                <w:kern w:val="0"/>
                <w14:ligatures w14:val="none"/>
              </w:rPr>
              <w:t xml:space="preserve"> Calpine</w:t>
            </w:r>
          </w:p>
        </w:tc>
      </w:tr>
      <w:tr w:rsidR="00C55E98" w:rsidRPr="00C55E98" w14:paraId="5EC1F5A6" w14:textId="77777777" w:rsidTr="00C55E98">
        <w:trPr>
          <w:trHeight w:val="300"/>
        </w:trPr>
        <w:tc>
          <w:tcPr>
            <w:tcW w:w="4268" w:type="dxa"/>
            <w:tcBorders>
              <w:top w:val="nil"/>
              <w:left w:val="nil"/>
              <w:bottom w:val="nil"/>
              <w:right w:val="nil"/>
            </w:tcBorders>
            <w:shd w:val="clear" w:color="auto" w:fill="auto"/>
            <w:noWrap/>
            <w:vAlign w:val="bottom"/>
            <w:hideMark/>
          </w:tcPr>
          <w:p w14:paraId="4997C73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Raja Kakarla CNP</w:t>
            </w:r>
          </w:p>
        </w:tc>
      </w:tr>
      <w:tr w:rsidR="00C55E98" w:rsidRPr="00C55E98" w14:paraId="7556830F" w14:textId="77777777" w:rsidTr="00C55E98">
        <w:trPr>
          <w:trHeight w:val="300"/>
        </w:trPr>
        <w:tc>
          <w:tcPr>
            <w:tcW w:w="4268" w:type="dxa"/>
            <w:tcBorders>
              <w:top w:val="nil"/>
              <w:left w:val="nil"/>
              <w:bottom w:val="nil"/>
              <w:right w:val="nil"/>
            </w:tcBorders>
            <w:shd w:val="clear" w:color="auto" w:fill="auto"/>
            <w:noWrap/>
            <w:vAlign w:val="bottom"/>
            <w:hideMark/>
          </w:tcPr>
          <w:p w14:paraId="51F9C06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Regan Fink</w:t>
            </w:r>
          </w:p>
        </w:tc>
      </w:tr>
      <w:tr w:rsidR="00C55E98" w:rsidRPr="00C55E98" w14:paraId="6C9FB997" w14:textId="77777777" w:rsidTr="00C55E98">
        <w:trPr>
          <w:trHeight w:val="300"/>
        </w:trPr>
        <w:tc>
          <w:tcPr>
            <w:tcW w:w="4268" w:type="dxa"/>
            <w:tcBorders>
              <w:top w:val="nil"/>
              <w:left w:val="nil"/>
              <w:bottom w:val="nil"/>
              <w:right w:val="nil"/>
            </w:tcBorders>
            <w:shd w:val="clear" w:color="auto" w:fill="auto"/>
            <w:noWrap/>
            <w:vAlign w:val="bottom"/>
            <w:hideMark/>
          </w:tcPr>
          <w:p w14:paraId="12EEC24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Ryan Aldridge - AB Power</w:t>
            </w:r>
          </w:p>
        </w:tc>
      </w:tr>
      <w:tr w:rsidR="00C55E98" w:rsidRPr="00C55E98" w14:paraId="796017BF" w14:textId="77777777" w:rsidTr="00C55E98">
        <w:trPr>
          <w:trHeight w:val="300"/>
        </w:trPr>
        <w:tc>
          <w:tcPr>
            <w:tcW w:w="4268" w:type="dxa"/>
            <w:tcBorders>
              <w:top w:val="nil"/>
              <w:left w:val="nil"/>
              <w:bottom w:val="nil"/>
              <w:right w:val="nil"/>
            </w:tcBorders>
            <w:shd w:val="clear" w:color="auto" w:fill="auto"/>
            <w:noWrap/>
            <w:vAlign w:val="bottom"/>
            <w:hideMark/>
          </w:tcPr>
          <w:p w14:paraId="469FBE9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SPC - Joshua Garner</w:t>
            </w:r>
          </w:p>
        </w:tc>
      </w:tr>
      <w:tr w:rsidR="00C55E98" w:rsidRPr="00C55E98" w14:paraId="0D23E65D" w14:textId="77777777" w:rsidTr="00C55E98">
        <w:trPr>
          <w:trHeight w:val="300"/>
        </w:trPr>
        <w:tc>
          <w:tcPr>
            <w:tcW w:w="4268" w:type="dxa"/>
            <w:tcBorders>
              <w:top w:val="nil"/>
              <w:left w:val="nil"/>
              <w:bottom w:val="nil"/>
              <w:right w:val="nil"/>
            </w:tcBorders>
            <w:shd w:val="clear" w:color="auto" w:fill="auto"/>
            <w:noWrap/>
            <w:vAlign w:val="bottom"/>
            <w:hideMark/>
          </w:tcPr>
          <w:p w14:paraId="767BF99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Sam Senanayake</w:t>
            </w:r>
          </w:p>
        </w:tc>
      </w:tr>
      <w:tr w:rsidR="00C55E98" w:rsidRPr="00C55E98" w14:paraId="5283B991" w14:textId="77777777" w:rsidTr="00C55E98">
        <w:trPr>
          <w:trHeight w:val="300"/>
        </w:trPr>
        <w:tc>
          <w:tcPr>
            <w:tcW w:w="4268" w:type="dxa"/>
            <w:tcBorders>
              <w:top w:val="nil"/>
              <w:left w:val="nil"/>
              <w:bottom w:val="nil"/>
              <w:right w:val="nil"/>
            </w:tcBorders>
            <w:shd w:val="clear" w:color="auto" w:fill="auto"/>
            <w:noWrap/>
            <w:vAlign w:val="bottom"/>
            <w:hideMark/>
          </w:tcPr>
          <w:p w14:paraId="354927A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Sandeep Borkar - LCRA TSC</w:t>
            </w:r>
          </w:p>
        </w:tc>
      </w:tr>
      <w:tr w:rsidR="00C55E98" w:rsidRPr="00C55E98" w14:paraId="27286FF5" w14:textId="77777777" w:rsidTr="00C55E98">
        <w:trPr>
          <w:trHeight w:val="300"/>
        </w:trPr>
        <w:tc>
          <w:tcPr>
            <w:tcW w:w="4268" w:type="dxa"/>
            <w:tcBorders>
              <w:top w:val="nil"/>
              <w:left w:val="nil"/>
              <w:bottom w:val="nil"/>
              <w:right w:val="nil"/>
            </w:tcBorders>
            <w:shd w:val="clear" w:color="auto" w:fill="auto"/>
            <w:noWrap/>
            <w:vAlign w:val="bottom"/>
            <w:hideMark/>
          </w:tcPr>
          <w:p w14:paraId="2272BF7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Sandra Morris</w:t>
            </w:r>
          </w:p>
        </w:tc>
      </w:tr>
      <w:tr w:rsidR="00C55E98" w:rsidRPr="00C55E98" w14:paraId="3DB45002" w14:textId="77777777" w:rsidTr="00C55E98">
        <w:trPr>
          <w:trHeight w:val="300"/>
        </w:trPr>
        <w:tc>
          <w:tcPr>
            <w:tcW w:w="4268" w:type="dxa"/>
            <w:tcBorders>
              <w:top w:val="nil"/>
              <w:left w:val="nil"/>
              <w:bottom w:val="nil"/>
              <w:right w:val="nil"/>
            </w:tcBorders>
            <w:shd w:val="clear" w:color="auto" w:fill="auto"/>
            <w:noWrap/>
            <w:vAlign w:val="bottom"/>
            <w:hideMark/>
          </w:tcPr>
          <w:p w14:paraId="555BCC2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Seth Cochran / DC Energy</w:t>
            </w:r>
          </w:p>
        </w:tc>
      </w:tr>
      <w:tr w:rsidR="00C55E98" w:rsidRPr="00C55E98" w14:paraId="23CE6EBF" w14:textId="77777777" w:rsidTr="00C55E98">
        <w:trPr>
          <w:trHeight w:val="300"/>
        </w:trPr>
        <w:tc>
          <w:tcPr>
            <w:tcW w:w="4268" w:type="dxa"/>
            <w:tcBorders>
              <w:top w:val="nil"/>
              <w:left w:val="nil"/>
              <w:bottom w:val="nil"/>
              <w:right w:val="nil"/>
            </w:tcBorders>
            <w:shd w:val="clear" w:color="auto" w:fill="auto"/>
            <w:noWrap/>
            <w:vAlign w:val="bottom"/>
            <w:hideMark/>
          </w:tcPr>
          <w:p w14:paraId="496E340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Shams Siddiqi - Crescent Power Consulting</w:t>
            </w:r>
          </w:p>
        </w:tc>
      </w:tr>
      <w:tr w:rsidR="00C55E98" w:rsidRPr="00C55E98" w14:paraId="3555ED8A" w14:textId="77777777" w:rsidTr="00C55E98">
        <w:trPr>
          <w:trHeight w:val="300"/>
        </w:trPr>
        <w:tc>
          <w:tcPr>
            <w:tcW w:w="4268" w:type="dxa"/>
            <w:tcBorders>
              <w:top w:val="nil"/>
              <w:left w:val="nil"/>
              <w:bottom w:val="nil"/>
              <w:right w:val="nil"/>
            </w:tcBorders>
            <w:shd w:val="clear" w:color="auto" w:fill="auto"/>
            <w:noWrap/>
            <w:vAlign w:val="bottom"/>
            <w:hideMark/>
          </w:tcPr>
          <w:p w14:paraId="417B6170"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Sidart</w:t>
            </w:r>
            <w:proofErr w:type="spellEnd"/>
            <w:r w:rsidRPr="00C55E98">
              <w:rPr>
                <w:rFonts w:ascii="Calibri" w:eastAsia="Times New Roman" w:hAnsi="Calibri" w:cs="Calibri"/>
                <w:color w:val="000000"/>
                <w:kern w:val="0"/>
                <w14:ligatures w14:val="none"/>
              </w:rPr>
              <w:t xml:space="preserve"> Deb - LCG Consulting</w:t>
            </w:r>
          </w:p>
        </w:tc>
      </w:tr>
      <w:tr w:rsidR="00C55E98" w:rsidRPr="00C55E98" w14:paraId="1270126D" w14:textId="77777777" w:rsidTr="00C55E98">
        <w:trPr>
          <w:trHeight w:val="300"/>
        </w:trPr>
        <w:tc>
          <w:tcPr>
            <w:tcW w:w="4268" w:type="dxa"/>
            <w:tcBorders>
              <w:top w:val="nil"/>
              <w:left w:val="nil"/>
              <w:bottom w:val="nil"/>
              <w:right w:val="nil"/>
            </w:tcBorders>
            <w:shd w:val="clear" w:color="auto" w:fill="auto"/>
            <w:noWrap/>
            <w:vAlign w:val="bottom"/>
            <w:hideMark/>
          </w:tcPr>
          <w:p w14:paraId="3C86978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Sony Dhaliwal</w:t>
            </w:r>
          </w:p>
        </w:tc>
      </w:tr>
      <w:tr w:rsidR="00C55E98" w:rsidRPr="00C55E98" w14:paraId="6C3C6EEA" w14:textId="77777777" w:rsidTr="00C55E98">
        <w:trPr>
          <w:trHeight w:val="300"/>
        </w:trPr>
        <w:tc>
          <w:tcPr>
            <w:tcW w:w="4268" w:type="dxa"/>
            <w:tcBorders>
              <w:top w:val="nil"/>
              <w:left w:val="nil"/>
              <w:bottom w:val="nil"/>
              <w:right w:val="nil"/>
            </w:tcBorders>
            <w:shd w:val="clear" w:color="auto" w:fill="auto"/>
            <w:noWrap/>
            <w:vAlign w:val="bottom"/>
            <w:hideMark/>
          </w:tcPr>
          <w:p w14:paraId="707FA72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Steven </w:t>
            </w:r>
            <w:proofErr w:type="spellStart"/>
            <w:r w:rsidRPr="00C55E98">
              <w:rPr>
                <w:rFonts w:ascii="Calibri" w:eastAsia="Times New Roman" w:hAnsi="Calibri" w:cs="Calibri"/>
                <w:color w:val="000000"/>
                <w:kern w:val="0"/>
                <w14:ligatures w14:val="none"/>
              </w:rPr>
              <w:t>Havemann</w:t>
            </w:r>
            <w:proofErr w:type="spellEnd"/>
          </w:p>
        </w:tc>
      </w:tr>
      <w:tr w:rsidR="00C55E98" w:rsidRPr="00C55E98" w14:paraId="4424A921" w14:textId="77777777" w:rsidTr="00C55E98">
        <w:trPr>
          <w:trHeight w:val="300"/>
        </w:trPr>
        <w:tc>
          <w:tcPr>
            <w:tcW w:w="4268" w:type="dxa"/>
            <w:tcBorders>
              <w:top w:val="nil"/>
              <w:left w:val="nil"/>
              <w:bottom w:val="nil"/>
              <w:right w:val="nil"/>
            </w:tcBorders>
            <w:shd w:val="clear" w:color="auto" w:fill="auto"/>
            <w:noWrap/>
            <w:vAlign w:val="bottom"/>
            <w:hideMark/>
          </w:tcPr>
          <w:p w14:paraId="6577E8A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Suzi McClellan</w:t>
            </w:r>
          </w:p>
        </w:tc>
      </w:tr>
      <w:tr w:rsidR="00C55E98" w:rsidRPr="00C55E98" w14:paraId="3D5026D1" w14:textId="77777777" w:rsidTr="00C55E98">
        <w:trPr>
          <w:trHeight w:val="300"/>
        </w:trPr>
        <w:tc>
          <w:tcPr>
            <w:tcW w:w="4268" w:type="dxa"/>
            <w:tcBorders>
              <w:top w:val="nil"/>
              <w:left w:val="nil"/>
              <w:bottom w:val="nil"/>
              <w:right w:val="nil"/>
            </w:tcBorders>
            <w:shd w:val="clear" w:color="auto" w:fill="auto"/>
            <w:noWrap/>
            <w:vAlign w:val="bottom"/>
            <w:hideMark/>
          </w:tcPr>
          <w:p w14:paraId="4D7930C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Teddi Flessner- STEC</w:t>
            </w:r>
          </w:p>
        </w:tc>
      </w:tr>
      <w:tr w:rsidR="00C55E98" w:rsidRPr="00C55E98" w14:paraId="33207F8A" w14:textId="77777777" w:rsidTr="00C55E98">
        <w:trPr>
          <w:trHeight w:val="300"/>
        </w:trPr>
        <w:tc>
          <w:tcPr>
            <w:tcW w:w="4268" w:type="dxa"/>
            <w:tcBorders>
              <w:top w:val="nil"/>
              <w:left w:val="nil"/>
              <w:bottom w:val="nil"/>
              <w:right w:val="nil"/>
            </w:tcBorders>
            <w:shd w:val="clear" w:color="auto" w:fill="auto"/>
            <w:noWrap/>
            <w:vAlign w:val="bottom"/>
            <w:hideMark/>
          </w:tcPr>
          <w:p w14:paraId="46EDFD7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Terrazas Marcos</w:t>
            </w:r>
          </w:p>
        </w:tc>
      </w:tr>
      <w:tr w:rsidR="00C55E98" w:rsidRPr="00C55E98" w14:paraId="521B965D" w14:textId="77777777" w:rsidTr="00C55E98">
        <w:trPr>
          <w:trHeight w:val="300"/>
        </w:trPr>
        <w:tc>
          <w:tcPr>
            <w:tcW w:w="4268" w:type="dxa"/>
            <w:tcBorders>
              <w:top w:val="nil"/>
              <w:left w:val="nil"/>
              <w:bottom w:val="nil"/>
              <w:right w:val="nil"/>
            </w:tcBorders>
            <w:shd w:val="clear" w:color="auto" w:fill="auto"/>
            <w:noWrap/>
            <w:vAlign w:val="bottom"/>
            <w:hideMark/>
          </w:tcPr>
          <w:p w14:paraId="00C9A06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Thuy Huynh</w:t>
            </w:r>
          </w:p>
        </w:tc>
      </w:tr>
      <w:tr w:rsidR="00C55E98" w:rsidRPr="00C55E98" w14:paraId="2DE2F957" w14:textId="77777777" w:rsidTr="00C55E98">
        <w:trPr>
          <w:trHeight w:val="300"/>
        </w:trPr>
        <w:tc>
          <w:tcPr>
            <w:tcW w:w="4268" w:type="dxa"/>
            <w:tcBorders>
              <w:top w:val="nil"/>
              <w:left w:val="nil"/>
              <w:bottom w:val="nil"/>
              <w:right w:val="nil"/>
            </w:tcBorders>
            <w:shd w:val="clear" w:color="auto" w:fill="auto"/>
            <w:noWrap/>
            <w:vAlign w:val="bottom"/>
            <w:hideMark/>
          </w:tcPr>
          <w:p w14:paraId="07644CC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Todd Chwialkowski EDF</w:t>
            </w:r>
          </w:p>
        </w:tc>
      </w:tr>
      <w:tr w:rsidR="00C55E98" w:rsidRPr="00C55E98" w14:paraId="279E88FD" w14:textId="77777777" w:rsidTr="00C55E98">
        <w:trPr>
          <w:trHeight w:val="300"/>
        </w:trPr>
        <w:tc>
          <w:tcPr>
            <w:tcW w:w="4268" w:type="dxa"/>
            <w:tcBorders>
              <w:top w:val="nil"/>
              <w:left w:val="nil"/>
              <w:bottom w:val="nil"/>
              <w:right w:val="nil"/>
            </w:tcBorders>
            <w:shd w:val="clear" w:color="auto" w:fill="auto"/>
            <w:noWrap/>
            <w:vAlign w:val="bottom"/>
            <w:hideMark/>
          </w:tcPr>
          <w:p w14:paraId="7784402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Tong Wang</w:t>
            </w:r>
          </w:p>
        </w:tc>
      </w:tr>
      <w:tr w:rsidR="00C55E98" w:rsidRPr="00C55E98" w14:paraId="224243E0" w14:textId="77777777" w:rsidTr="00C55E98">
        <w:trPr>
          <w:trHeight w:val="300"/>
        </w:trPr>
        <w:tc>
          <w:tcPr>
            <w:tcW w:w="4268" w:type="dxa"/>
            <w:tcBorders>
              <w:top w:val="nil"/>
              <w:left w:val="nil"/>
              <w:bottom w:val="nil"/>
              <w:right w:val="nil"/>
            </w:tcBorders>
            <w:shd w:val="clear" w:color="auto" w:fill="auto"/>
            <w:noWrap/>
            <w:vAlign w:val="bottom"/>
            <w:hideMark/>
          </w:tcPr>
          <w:p w14:paraId="07FA23F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Travis Leverett - WETT</w:t>
            </w:r>
          </w:p>
        </w:tc>
      </w:tr>
      <w:tr w:rsidR="00C55E98" w:rsidRPr="00C55E98" w14:paraId="287D8144" w14:textId="77777777" w:rsidTr="00C55E98">
        <w:trPr>
          <w:trHeight w:val="300"/>
        </w:trPr>
        <w:tc>
          <w:tcPr>
            <w:tcW w:w="4268" w:type="dxa"/>
            <w:tcBorders>
              <w:top w:val="nil"/>
              <w:left w:val="nil"/>
              <w:bottom w:val="nil"/>
              <w:right w:val="nil"/>
            </w:tcBorders>
            <w:shd w:val="clear" w:color="auto" w:fill="auto"/>
            <w:noWrap/>
            <w:vAlign w:val="bottom"/>
            <w:hideMark/>
          </w:tcPr>
          <w:p w14:paraId="6332A1F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Varsha </w:t>
            </w:r>
            <w:proofErr w:type="spellStart"/>
            <w:r w:rsidRPr="00C55E98">
              <w:rPr>
                <w:rFonts w:ascii="Calibri" w:eastAsia="Times New Roman" w:hAnsi="Calibri" w:cs="Calibri"/>
                <w:color w:val="000000"/>
                <w:kern w:val="0"/>
                <w14:ligatures w14:val="none"/>
              </w:rPr>
              <w:t>Chatlani</w:t>
            </w:r>
            <w:proofErr w:type="spellEnd"/>
            <w:r w:rsidRPr="00C55E98">
              <w:rPr>
                <w:rFonts w:ascii="Calibri" w:eastAsia="Times New Roman" w:hAnsi="Calibri" w:cs="Calibri"/>
                <w:color w:val="000000"/>
                <w:kern w:val="0"/>
                <w14:ligatures w14:val="none"/>
              </w:rPr>
              <w:t>, BETM</w:t>
            </w:r>
          </w:p>
        </w:tc>
      </w:tr>
      <w:tr w:rsidR="00C55E98" w:rsidRPr="00C55E98" w14:paraId="0B0C477D" w14:textId="77777777" w:rsidTr="00C55E98">
        <w:trPr>
          <w:trHeight w:val="300"/>
        </w:trPr>
        <w:tc>
          <w:tcPr>
            <w:tcW w:w="4268" w:type="dxa"/>
            <w:tcBorders>
              <w:top w:val="nil"/>
              <w:left w:val="nil"/>
              <w:bottom w:val="nil"/>
              <w:right w:val="nil"/>
            </w:tcBorders>
            <w:shd w:val="clear" w:color="auto" w:fill="auto"/>
            <w:noWrap/>
            <w:vAlign w:val="bottom"/>
            <w:hideMark/>
          </w:tcPr>
          <w:p w14:paraId="71D4C81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Velasquez, Ivan</w:t>
            </w:r>
          </w:p>
        </w:tc>
      </w:tr>
      <w:tr w:rsidR="00C55E98" w:rsidRPr="00C55E98" w14:paraId="569D83E5" w14:textId="77777777" w:rsidTr="00C55E98">
        <w:trPr>
          <w:trHeight w:val="300"/>
        </w:trPr>
        <w:tc>
          <w:tcPr>
            <w:tcW w:w="4268" w:type="dxa"/>
            <w:tcBorders>
              <w:top w:val="nil"/>
              <w:left w:val="nil"/>
              <w:bottom w:val="nil"/>
              <w:right w:val="nil"/>
            </w:tcBorders>
            <w:shd w:val="clear" w:color="auto" w:fill="auto"/>
            <w:noWrap/>
            <w:vAlign w:val="bottom"/>
            <w:hideMark/>
          </w:tcPr>
          <w:p w14:paraId="711F3E1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Viraj</w:t>
            </w:r>
          </w:p>
        </w:tc>
      </w:tr>
      <w:tr w:rsidR="00C55E98" w:rsidRPr="00C55E98" w14:paraId="03D30022" w14:textId="77777777" w:rsidTr="00C55E98">
        <w:trPr>
          <w:trHeight w:val="300"/>
        </w:trPr>
        <w:tc>
          <w:tcPr>
            <w:tcW w:w="4268" w:type="dxa"/>
            <w:tcBorders>
              <w:top w:val="nil"/>
              <w:left w:val="nil"/>
              <w:bottom w:val="nil"/>
              <w:right w:val="nil"/>
            </w:tcBorders>
            <w:shd w:val="clear" w:color="auto" w:fill="auto"/>
            <w:noWrap/>
            <w:vAlign w:val="bottom"/>
            <w:hideMark/>
          </w:tcPr>
          <w:p w14:paraId="73D9C12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Walker, Zachary</w:t>
            </w:r>
          </w:p>
        </w:tc>
      </w:tr>
      <w:tr w:rsidR="00C55E98" w:rsidRPr="00C55E98" w14:paraId="5E0E4310" w14:textId="77777777" w:rsidTr="00C55E98">
        <w:trPr>
          <w:trHeight w:val="300"/>
        </w:trPr>
        <w:tc>
          <w:tcPr>
            <w:tcW w:w="4268" w:type="dxa"/>
            <w:tcBorders>
              <w:top w:val="nil"/>
              <w:left w:val="nil"/>
              <w:bottom w:val="nil"/>
              <w:right w:val="nil"/>
            </w:tcBorders>
            <w:shd w:val="clear" w:color="auto" w:fill="auto"/>
            <w:noWrap/>
            <w:vAlign w:val="bottom"/>
            <w:hideMark/>
          </w:tcPr>
          <w:p w14:paraId="50B8D69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Ward Jablonski MEPPI</w:t>
            </w:r>
          </w:p>
        </w:tc>
      </w:tr>
      <w:tr w:rsidR="00C55E98" w:rsidRPr="00C55E98" w14:paraId="13AFF3F1" w14:textId="77777777" w:rsidTr="00C55E98">
        <w:trPr>
          <w:trHeight w:val="300"/>
        </w:trPr>
        <w:tc>
          <w:tcPr>
            <w:tcW w:w="4268" w:type="dxa"/>
            <w:tcBorders>
              <w:top w:val="nil"/>
              <w:left w:val="nil"/>
              <w:bottom w:val="nil"/>
              <w:right w:val="nil"/>
            </w:tcBorders>
            <w:shd w:val="clear" w:color="auto" w:fill="auto"/>
            <w:noWrap/>
            <w:vAlign w:val="bottom"/>
            <w:hideMark/>
          </w:tcPr>
          <w:p w14:paraId="642FAA9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Wes Woitt</w:t>
            </w:r>
          </w:p>
        </w:tc>
      </w:tr>
      <w:tr w:rsidR="00C55E98" w:rsidRPr="00C55E98" w14:paraId="65BDFACC" w14:textId="77777777" w:rsidTr="00C55E98">
        <w:trPr>
          <w:trHeight w:val="300"/>
        </w:trPr>
        <w:tc>
          <w:tcPr>
            <w:tcW w:w="4268" w:type="dxa"/>
            <w:tcBorders>
              <w:top w:val="nil"/>
              <w:left w:val="nil"/>
              <w:bottom w:val="nil"/>
              <w:right w:val="nil"/>
            </w:tcBorders>
            <w:shd w:val="clear" w:color="auto" w:fill="auto"/>
            <w:noWrap/>
            <w:vAlign w:val="bottom"/>
            <w:hideMark/>
          </w:tcPr>
          <w:p w14:paraId="602E27E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Xia, Tao</w:t>
            </w:r>
          </w:p>
        </w:tc>
      </w:tr>
      <w:tr w:rsidR="00C55E98" w:rsidRPr="00C55E98" w14:paraId="16D096BA" w14:textId="77777777" w:rsidTr="00C55E98">
        <w:trPr>
          <w:trHeight w:val="300"/>
        </w:trPr>
        <w:tc>
          <w:tcPr>
            <w:tcW w:w="4268" w:type="dxa"/>
            <w:tcBorders>
              <w:top w:val="nil"/>
              <w:left w:val="nil"/>
              <w:bottom w:val="nil"/>
              <w:right w:val="nil"/>
            </w:tcBorders>
            <w:shd w:val="clear" w:color="auto" w:fill="auto"/>
            <w:noWrap/>
            <w:vAlign w:val="bottom"/>
            <w:hideMark/>
          </w:tcPr>
          <w:p w14:paraId="444B4631"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Xiaojie</w:t>
            </w:r>
            <w:proofErr w:type="spellEnd"/>
            <w:r w:rsidRPr="00C55E98">
              <w:rPr>
                <w:rFonts w:ascii="Calibri" w:eastAsia="Times New Roman" w:hAnsi="Calibri" w:cs="Calibri"/>
                <w:color w:val="000000"/>
                <w:kern w:val="0"/>
                <w14:ligatures w14:val="none"/>
              </w:rPr>
              <w:t xml:space="preserve"> Zhou</w:t>
            </w:r>
          </w:p>
        </w:tc>
      </w:tr>
      <w:tr w:rsidR="00C55E98" w:rsidRPr="00C55E98" w14:paraId="521EBFA6" w14:textId="77777777" w:rsidTr="00C55E98">
        <w:trPr>
          <w:trHeight w:val="300"/>
        </w:trPr>
        <w:tc>
          <w:tcPr>
            <w:tcW w:w="4268" w:type="dxa"/>
            <w:tcBorders>
              <w:top w:val="nil"/>
              <w:left w:val="nil"/>
              <w:bottom w:val="nil"/>
              <w:right w:val="nil"/>
            </w:tcBorders>
            <w:shd w:val="clear" w:color="auto" w:fill="auto"/>
            <w:noWrap/>
            <w:vAlign w:val="bottom"/>
            <w:hideMark/>
          </w:tcPr>
          <w:p w14:paraId="5B3317A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Yong Cheng</w:t>
            </w:r>
          </w:p>
        </w:tc>
      </w:tr>
      <w:tr w:rsidR="00C55E98" w:rsidRPr="00C55E98" w14:paraId="429D82AE" w14:textId="77777777" w:rsidTr="00C55E98">
        <w:trPr>
          <w:trHeight w:val="300"/>
        </w:trPr>
        <w:tc>
          <w:tcPr>
            <w:tcW w:w="4268" w:type="dxa"/>
            <w:tcBorders>
              <w:top w:val="nil"/>
              <w:left w:val="nil"/>
              <w:bottom w:val="nil"/>
              <w:right w:val="nil"/>
            </w:tcBorders>
            <w:shd w:val="clear" w:color="auto" w:fill="auto"/>
            <w:noWrap/>
            <w:vAlign w:val="bottom"/>
            <w:hideMark/>
          </w:tcPr>
          <w:p w14:paraId="00AB31A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Zane </w:t>
            </w:r>
            <w:proofErr w:type="spellStart"/>
            <w:r w:rsidRPr="00C55E98">
              <w:rPr>
                <w:rFonts w:ascii="Calibri" w:eastAsia="Times New Roman" w:hAnsi="Calibri" w:cs="Calibri"/>
                <w:color w:val="000000"/>
                <w:kern w:val="0"/>
                <w14:ligatures w14:val="none"/>
              </w:rPr>
              <w:t>Zwanenburg</w:t>
            </w:r>
            <w:proofErr w:type="spellEnd"/>
            <w:r w:rsidRPr="00C55E98">
              <w:rPr>
                <w:rFonts w:ascii="Calibri" w:eastAsia="Times New Roman" w:hAnsi="Calibri" w:cs="Calibri"/>
                <w:color w:val="000000"/>
                <w:kern w:val="0"/>
                <w14:ligatures w14:val="none"/>
              </w:rPr>
              <w:t xml:space="preserve"> - ERCOT</w:t>
            </w:r>
          </w:p>
        </w:tc>
      </w:tr>
      <w:tr w:rsidR="00C55E98" w:rsidRPr="00C55E98" w14:paraId="51769858" w14:textId="77777777" w:rsidTr="00C55E98">
        <w:trPr>
          <w:trHeight w:val="300"/>
        </w:trPr>
        <w:tc>
          <w:tcPr>
            <w:tcW w:w="4268" w:type="dxa"/>
            <w:tcBorders>
              <w:top w:val="nil"/>
              <w:left w:val="nil"/>
              <w:bottom w:val="nil"/>
              <w:right w:val="nil"/>
            </w:tcBorders>
            <w:shd w:val="clear" w:color="auto" w:fill="auto"/>
            <w:noWrap/>
            <w:vAlign w:val="bottom"/>
            <w:hideMark/>
          </w:tcPr>
          <w:p w14:paraId="2FAB15F8"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Zhi Qu</w:t>
            </w:r>
          </w:p>
        </w:tc>
      </w:tr>
      <w:tr w:rsidR="00C55E98" w:rsidRPr="00C55E98" w14:paraId="3EDC01E5" w14:textId="77777777" w:rsidTr="00C55E98">
        <w:trPr>
          <w:trHeight w:val="300"/>
        </w:trPr>
        <w:tc>
          <w:tcPr>
            <w:tcW w:w="4268" w:type="dxa"/>
            <w:tcBorders>
              <w:top w:val="nil"/>
              <w:left w:val="nil"/>
              <w:bottom w:val="nil"/>
              <w:right w:val="nil"/>
            </w:tcBorders>
            <w:shd w:val="clear" w:color="auto" w:fill="auto"/>
            <w:noWrap/>
            <w:vAlign w:val="bottom"/>
            <w:hideMark/>
          </w:tcPr>
          <w:p w14:paraId="4DBF4C39"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orijit</w:t>
            </w:r>
            <w:proofErr w:type="spellEnd"/>
            <w:r w:rsidRPr="00C55E98">
              <w:rPr>
                <w:rFonts w:ascii="Calibri" w:eastAsia="Times New Roman" w:hAnsi="Calibri" w:cs="Calibri"/>
                <w:color w:val="000000"/>
                <w:kern w:val="0"/>
                <w14:ligatures w14:val="none"/>
              </w:rPr>
              <w:t xml:space="preserve"> </w:t>
            </w:r>
            <w:proofErr w:type="spellStart"/>
            <w:r w:rsidRPr="00C55E98">
              <w:rPr>
                <w:rFonts w:ascii="Calibri" w:eastAsia="Times New Roman" w:hAnsi="Calibri" w:cs="Calibri"/>
                <w:color w:val="000000"/>
                <w:kern w:val="0"/>
                <w14:ligatures w14:val="none"/>
              </w:rPr>
              <w:t>ghoshal</w:t>
            </w:r>
            <w:proofErr w:type="spellEnd"/>
            <w:r w:rsidRPr="00C55E98">
              <w:rPr>
                <w:rFonts w:ascii="Calibri" w:eastAsia="Times New Roman" w:hAnsi="Calibri" w:cs="Calibri"/>
                <w:color w:val="000000"/>
                <w:kern w:val="0"/>
                <w14:ligatures w14:val="none"/>
              </w:rPr>
              <w:t xml:space="preserve">, </w:t>
            </w:r>
            <w:proofErr w:type="spellStart"/>
            <w:r w:rsidRPr="00C55E98">
              <w:rPr>
                <w:rFonts w:ascii="Calibri" w:eastAsia="Times New Roman" w:hAnsi="Calibri" w:cs="Calibri"/>
                <w:color w:val="000000"/>
                <w:kern w:val="0"/>
                <w14:ligatures w14:val="none"/>
              </w:rPr>
              <w:t>esVolta</w:t>
            </w:r>
            <w:proofErr w:type="spellEnd"/>
          </w:p>
        </w:tc>
      </w:tr>
      <w:tr w:rsidR="00C55E98" w:rsidRPr="00C55E98" w14:paraId="025FC8D5" w14:textId="77777777" w:rsidTr="00C55E98">
        <w:trPr>
          <w:trHeight w:val="300"/>
        </w:trPr>
        <w:tc>
          <w:tcPr>
            <w:tcW w:w="4268" w:type="dxa"/>
            <w:tcBorders>
              <w:top w:val="nil"/>
              <w:left w:val="nil"/>
              <w:bottom w:val="nil"/>
              <w:right w:val="nil"/>
            </w:tcBorders>
            <w:shd w:val="clear" w:color="auto" w:fill="auto"/>
            <w:noWrap/>
            <w:vAlign w:val="bottom"/>
            <w:hideMark/>
          </w:tcPr>
          <w:p w14:paraId="19418A3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yang </w:t>
            </w:r>
            <w:proofErr w:type="spellStart"/>
            <w:r w:rsidRPr="00C55E98">
              <w:rPr>
                <w:rFonts w:ascii="Calibri" w:eastAsia="Times New Roman" w:hAnsi="Calibri" w:cs="Calibri"/>
                <w:color w:val="000000"/>
                <w:kern w:val="0"/>
                <w14:ligatures w14:val="none"/>
              </w:rPr>
              <w:t>zhang</w:t>
            </w:r>
            <w:proofErr w:type="spellEnd"/>
          </w:p>
        </w:tc>
      </w:tr>
    </w:tbl>
    <w:p w14:paraId="4A9BA58E" w14:textId="42F522ED" w:rsidR="000B17E9" w:rsidRPr="000B17E9" w:rsidRDefault="000B17E9" w:rsidP="00675532">
      <w:pPr>
        <w:spacing w:after="0"/>
        <w:rPr>
          <w:rFonts w:ascii="Arial" w:hAnsi="Arial" w:cs="Arial"/>
          <w:kern w:val="0"/>
          <w14:ligatures w14:val="none"/>
        </w:rPr>
      </w:pPr>
    </w:p>
    <w:sectPr w:rsidR="000B17E9" w:rsidRPr="000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99"/>
    <w:multiLevelType w:val="hybridMultilevel"/>
    <w:tmpl w:val="A8C4DC9A"/>
    <w:lvl w:ilvl="0" w:tplc="83143526">
      <w:start w:val="1"/>
      <w:numFmt w:val="decimal"/>
      <w:lvlText w:val="%1."/>
      <w:lvlJc w:val="left"/>
      <w:pPr>
        <w:ind w:left="720" w:hanging="360"/>
      </w:pPr>
      <w:rPr>
        <w:b/>
        <w:bCs/>
      </w:rPr>
    </w:lvl>
    <w:lvl w:ilvl="1" w:tplc="73FE4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EA059A"/>
    <w:multiLevelType w:val="hybridMultilevel"/>
    <w:tmpl w:val="7010A2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24007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353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7"/>
    <w:rsid w:val="000723EC"/>
    <w:rsid w:val="000B17E9"/>
    <w:rsid w:val="00391C50"/>
    <w:rsid w:val="004152AB"/>
    <w:rsid w:val="00477D41"/>
    <w:rsid w:val="00551E59"/>
    <w:rsid w:val="00557631"/>
    <w:rsid w:val="005756EE"/>
    <w:rsid w:val="005A18CB"/>
    <w:rsid w:val="00632A5A"/>
    <w:rsid w:val="006573B9"/>
    <w:rsid w:val="00675532"/>
    <w:rsid w:val="006C0F0E"/>
    <w:rsid w:val="008D7326"/>
    <w:rsid w:val="0090049D"/>
    <w:rsid w:val="00920502"/>
    <w:rsid w:val="009363FD"/>
    <w:rsid w:val="009D4B3B"/>
    <w:rsid w:val="00A44BB5"/>
    <w:rsid w:val="00A955D8"/>
    <w:rsid w:val="00C55E98"/>
    <w:rsid w:val="00CD3A3F"/>
    <w:rsid w:val="00CD511A"/>
    <w:rsid w:val="00D55287"/>
    <w:rsid w:val="00E16285"/>
    <w:rsid w:val="00E52DA4"/>
    <w:rsid w:val="00F36864"/>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EF9"/>
  <w15:docId w15:val="{8E906F51-25B1-4918-BF80-97046FD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287"/>
    <w:rPr>
      <w:color w:val="0563C1"/>
      <w:u w:val="single"/>
    </w:rPr>
  </w:style>
  <w:style w:type="paragraph" w:styleId="PlainText">
    <w:name w:val="Plain Text"/>
    <w:basedOn w:val="Normal"/>
    <w:link w:val="PlainTextChar"/>
    <w:uiPriority w:val="99"/>
    <w:unhideWhenUsed/>
    <w:rsid w:val="00D55287"/>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rsid w:val="00D55287"/>
    <w:rPr>
      <w:rFonts w:ascii="Arial" w:hAnsi="Arial" w:cs="Arial"/>
      <w:kern w:val="0"/>
      <w14:ligatures w14:val="none"/>
    </w:rPr>
  </w:style>
  <w:style w:type="paragraph" w:styleId="ListParagraph">
    <w:name w:val="List Paragraph"/>
    <w:basedOn w:val="Normal"/>
    <w:uiPriority w:val="34"/>
    <w:qFormat/>
    <w:rsid w:val="00D55287"/>
    <w:pPr>
      <w:spacing w:after="0" w:line="240" w:lineRule="auto"/>
      <w:ind w:left="720"/>
    </w:pPr>
    <w:rPr>
      <w:rFonts w:ascii="Calibri" w:hAnsi="Calibri" w:cs="Calibri"/>
      <w:kern w:val="0"/>
      <w14:ligatures w14:val="none"/>
    </w:rPr>
  </w:style>
  <w:style w:type="character" w:styleId="FollowedHyperlink">
    <w:name w:val="FollowedHyperlink"/>
    <w:basedOn w:val="DefaultParagraphFont"/>
    <w:uiPriority w:val="99"/>
    <w:semiHidden/>
    <w:unhideWhenUsed/>
    <w:rsid w:val="00072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45">
      <w:bodyDiv w:val="1"/>
      <w:marLeft w:val="0"/>
      <w:marRight w:val="0"/>
      <w:marTop w:val="0"/>
      <w:marBottom w:val="0"/>
      <w:divBdr>
        <w:top w:val="none" w:sz="0" w:space="0" w:color="auto"/>
        <w:left w:val="none" w:sz="0" w:space="0" w:color="auto"/>
        <w:bottom w:val="none" w:sz="0" w:space="0" w:color="auto"/>
        <w:right w:val="none" w:sz="0" w:space="0" w:color="auto"/>
      </w:divBdr>
    </w:div>
    <w:div w:id="198470714">
      <w:bodyDiv w:val="1"/>
      <w:marLeft w:val="0"/>
      <w:marRight w:val="0"/>
      <w:marTop w:val="0"/>
      <w:marBottom w:val="0"/>
      <w:divBdr>
        <w:top w:val="none" w:sz="0" w:space="0" w:color="auto"/>
        <w:left w:val="none" w:sz="0" w:space="0" w:color="auto"/>
        <w:bottom w:val="none" w:sz="0" w:space="0" w:color="auto"/>
        <w:right w:val="none" w:sz="0" w:space="0" w:color="auto"/>
      </w:divBdr>
    </w:div>
    <w:div w:id="257174964">
      <w:bodyDiv w:val="1"/>
      <w:marLeft w:val="0"/>
      <w:marRight w:val="0"/>
      <w:marTop w:val="0"/>
      <w:marBottom w:val="0"/>
      <w:divBdr>
        <w:top w:val="none" w:sz="0" w:space="0" w:color="auto"/>
        <w:left w:val="none" w:sz="0" w:space="0" w:color="auto"/>
        <w:bottom w:val="none" w:sz="0" w:space="0" w:color="auto"/>
        <w:right w:val="none" w:sz="0" w:space="0" w:color="auto"/>
      </w:divBdr>
    </w:div>
    <w:div w:id="555044073">
      <w:bodyDiv w:val="1"/>
      <w:marLeft w:val="0"/>
      <w:marRight w:val="0"/>
      <w:marTop w:val="0"/>
      <w:marBottom w:val="0"/>
      <w:divBdr>
        <w:top w:val="none" w:sz="0" w:space="0" w:color="auto"/>
        <w:left w:val="none" w:sz="0" w:space="0" w:color="auto"/>
        <w:bottom w:val="none" w:sz="0" w:space="0" w:color="auto"/>
        <w:right w:val="none" w:sz="0" w:space="0" w:color="auto"/>
      </w:divBdr>
    </w:div>
    <w:div w:id="609749076">
      <w:bodyDiv w:val="1"/>
      <w:marLeft w:val="0"/>
      <w:marRight w:val="0"/>
      <w:marTop w:val="0"/>
      <w:marBottom w:val="0"/>
      <w:divBdr>
        <w:top w:val="none" w:sz="0" w:space="0" w:color="auto"/>
        <w:left w:val="none" w:sz="0" w:space="0" w:color="auto"/>
        <w:bottom w:val="none" w:sz="0" w:space="0" w:color="auto"/>
        <w:right w:val="none" w:sz="0" w:space="0" w:color="auto"/>
      </w:divBdr>
    </w:div>
    <w:div w:id="919294892">
      <w:bodyDiv w:val="1"/>
      <w:marLeft w:val="0"/>
      <w:marRight w:val="0"/>
      <w:marTop w:val="0"/>
      <w:marBottom w:val="0"/>
      <w:divBdr>
        <w:top w:val="none" w:sz="0" w:space="0" w:color="auto"/>
        <w:left w:val="none" w:sz="0" w:space="0" w:color="auto"/>
        <w:bottom w:val="none" w:sz="0" w:space="0" w:color="auto"/>
        <w:right w:val="none" w:sz="0" w:space="0" w:color="auto"/>
      </w:divBdr>
    </w:div>
    <w:div w:id="983506448">
      <w:bodyDiv w:val="1"/>
      <w:marLeft w:val="0"/>
      <w:marRight w:val="0"/>
      <w:marTop w:val="0"/>
      <w:marBottom w:val="0"/>
      <w:divBdr>
        <w:top w:val="none" w:sz="0" w:space="0" w:color="auto"/>
        <w:left w:val="none" w:sz="0" w:space="0" w:color="auto"/>
        <w:bottom w:val="none" w:sz="0" w:space="0" w:color="auto"/>
        <w:right w:val="none" w:sz="0" w:space="0" w:color="auto"/>
      </w:divBdr>
    </w:div>
    <w:div w:id="1037004643">
      <w:bodyDiv w:val="1"/>
      <w:marLeft w:val="0"/>
      <w:marRight w:val="0"/>
      <w:marTop w:val="0"/>
      <w:marBottom w:val="0"/>
      <w:divBdr>
        <w:top w:val="none" w:sz="0" w:space="0" w:color="auto"/>
        <w:left w:val="none" w:sz="0" w:space="0" w:color="auto"/>
        <w:bottom w:val="none" w:sz="0" w:space="0" w:color="auto"/>
        <w:right w:val="none" w:sz="0" w:space="0" w:color="auto"/>
      </w:divBdr>
    </w:div>
    <w:div w:id="1168717814">
      <w:bodyDiv w:val="1"/>
      <w:marLeft w:val="0"/>
      <w:marRight w:val="0"/>
      <w:marTop w:val="0"/>
      <w:marBottom w:val="0"/>
      <w:divBdr>
        <w:top w:val="none" w:sz="0" w:space="0" w:color="auto"/>
        <w:left w:val="none" w:sz="0" w:space="0" w:color="auto"/>
        <w:bottom w:val="none" w:sz="0" w:space="0" w:color="auto"/>
        <w:right w:val="none" w:sz="0" w:space="0" w:color="auto"/>
      </w:divBdr>
    </w:div>
    <w:div w:id="1213887901">
      <w:bodyDiv w:val="1"/>
      <w:marLeft w:val="0"/>
      <w:marRight w:val="0"/>
      <w:marTop w:val="0"/>
      <w:marBottom w:val="0"/>
      <w:divBdr>
        <w:top w:val="none" w:sz="0" w:space="0" w:color="auto"/>
        <w:left w:val="none" w:sz="0" w:space="0" w:color="auto"/>
        <w:bottom w:val="none" w:sz="0" w:space="0" w:color="auto"/>
        <w:right w:val="none" w:sz="0" w:space="0" w:color="auto"/>
      </w:divBdr>
    </w:div>
    <w:div w:id="1715302825">
      <w:bodyDiv w:val="1"/>
      <w:marLeft w:val="0"/>
      <w:marRight w:val="0"/>
      <w:marTop w:val="0"/>
      <w:marBottom w:val="0"/>
      <w:divBdr>
        <w:top w:val="none" w:sz="0" w:space="0" w:color="auto"/>
        <w:left w:val="none" w:sz="0" w:space="0" w:color="auto"/>
        <w:bottom w:val="none" w:sz="0" w:space="0" w:color="auto"/>
        <w:right w:val="none" w:sz="0" w:space="0" w:color="auto"/>
      </w:divBdr>
    </w:div>
    <w:div w:id="1931310380">
      <w:bodyDiv w:val="1"/>
      <w:marLeft w:val="0"/>
      <w:marRight w:val="0"/>
      <w:marTop w:val="0"/>
      <w:marBottom w:val="0"/>
      <w:divBdr>
        <w:top w:val="none" w:sz="0" w:space="0" w:color="auto"/>
        <w:left w:val="none" w:sz="0" w:space="0" w:color="auto"/>
        <w:bottom w:val="none" w:sz="0" w:space="0" w:color="auto"/>
        <w:right w:val="none" w:sz="0" w:space="0" w:color="auto"/>
      </w:divBdr>
    </w:div>
    <w:div w:id="2009089754">
      <w:bodyDiv w:val="1"/>
      <w:marLeft w:val="0"/>
      <w:marRight w:val="0"/>
      <w:marTop w:val="0"/>
      <w:marBottom w:val="0"/>
      <w:divBdr>
        <w:top w:val="none" w:sz="0" w:space="0" w:color="auto"/>
        <w:left w:val="none" w:sz="0" w:space="0" w:color="auto"/>
        <w:bottom w:val="none" w:sz="0" w:space="0" w:color="auto"/>
        <w:right w:val="none" w:sz="0" w:space="0" w:color="auto"/>
      </w:divBdr>
    </w:div>
    <w:div w:id="205222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3/11/07/109PGRR-08%20ERCOT%20Comments%20110723.docx" TargetMode="External"/><Relationship Id="rId13" Type="http://schemas.openxmlformats.org/officeDocument/2006/relationships/hyperlink" Target="https://www.ercot.com/mktrules/issues/NPRR1070" TargetMode="External"/><Relationship Id="rId3" Type="http://schemas.openxmlformats.org/officeDocument/2006/relationships/settings" Target="settings.xml"/><Relationship Id="rId7" Type="http://schemas.openxmlformats.org/officeDocument/2006/relationships/hyperlink" Target="https://www.ercot.com/files/docs/2023/10/17/109PGRR-07%20Joint%20Commenters%20Comments%20101723.docx" TargetMode="External"/><Relationship Id="rId12" Type="http://schemas.openxmlformats.org/officeDocument/2006/relationships/hyperlink" Target="https://www.ercot.com/mktrules/issues/PGRR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cot.com/mktrules/issues/PGRR109" TargetMode="External"/><Relationship Id="rId11" Type="http://schemas.openxmlformats.org/officeDocument/2006/relationships/hyperlink" Target="https://www.ercot.com/mktrules/issues/PGRR112" TargetMode="External"/><Relationship Id="rId5" Type="http://schemas.openxmlformats.org/officeDocument/2006/relationships/hyperlink" Target="https://www.ercot.com/files/docs/2023/11/07/5%20-%20SSWG%20Assumptions%20Input.docx" TargetMode="External"/><Relationship Id="rId15" Type="http://schemas.openxmlformats.org/officeDocument/2006/relationships/theme" Target="theme/theme1.xml"/><Relationship Id="rId10" Type="http://schemas.openxmlformats.org/officeDocument/2006/relationships/hyperlink" Target="https://www.ercot.com/files/docs/2023/11/17/109PGRR-09%20ERCOT%20Comments%20111723.docx" TargetMode="External"/><Relationship Id="rId4" Type="http://schemas.openxmlformats.org/officeDocument/2006/relationships/webSettings" Target="webSettings.xml"/><Relationship Id="rId9" Type="http://schemas.openxmlformats.org/officeDocument/2006/relationships/hyperlink" Target="https://www.ercot.com/files/docs/2023/11/10/PGRR%20109_ERCOT_Response_PLWG_111420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Preas</dc:creator>
  <cp:keywords/>
  <dc:description/>
  <cp:lastModifiedBy>Kelm, Kasey</cp:lastModifiedBy>
  <cp:revision>2</cp:revision>
  <dcterms:created xsi:type="dcterms:W3CDTF">2024-01-26T20:10:00Z</dcterms:created>
  <dcterms:modified xsi:type="dcterms:W3CDTF">2024-01-26T20:10:00Z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2023-08-21T15:34:30Z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3051d845-6948-4032-b854-927953f169bb</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2024-01-26T20:10:52Z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14dcc9f3-46d1-476a-b5da-bfcd5ce510fb</vt:lpwstr>
  </property>
  <property fmtid="{D5CDD505-2E9C-101B-9397-08002B2CF9AE}" pid="15" name="MSIP_Label_7084cbda-52b8-46fb-a7b7-cb5bd465ed85_ContentBits">
    <vt:lpwstr>0</vt:lpwstr>
  </property>
</Properties>
</file>