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:rsidRPr="009032A4" w14:paraId="56871E1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E4249" w14:textId="77777777" w:rsidR="00152993" w:rsidRPr="009032A4" w:rsidRDefault="00D825C5">
            <w:pPr>
              <w:pStyle w:val="Header"/>
              <w:rPr>
                <w:rFonts w:cs="Arial"/>
                <w:sz w:val="22"/>
              </w:rPr>
            </w:pPr>
            <w:r w:rsidRPr="009032A4">
              <w:rPr>
                <w:rFonts w:cs="Arial"/>
              </w:rPr>
              <w:t>NOG</w:t>
            </w:r>
            <w:r w:rsidR="00C158EE" w:rsidRPr="009032A4">
              <w:rPr>
                <w:rFonts w:cs="Arial"/>
              </w:rPr>
              <w:t xml:space="preserve">RR </w:t>
            </w:r>
            <w:r w:rsidR="00152993" w:rsidRPr="009032A4">
              <w:rPr>
                <w:rFonts w:cs="Arial"/>
              </w:rPr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1B740" w14:textId="77777777" w:rsidR="00152993" w:rsidRPr="009032A4" w:rsidRDefault="00022577">
            <w:pPr>
              <w:pStyle w:val="Header"/>
              <w:rPr>
                <w:rFonts w:cs="Arial"/>
              </w:rPr>
            </w:pPr>
            <w:hyperlink r:id="rId8" w:history="1">
              <w:r w:rsidR="00693B7A" w:rsidRPr="009032A4">
                <w:rPr>
                  <w:rStyle w:val="Hyperlink"/>
                  <w:rFonts w:cs="Arial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FC5B9" w14:textId="77777777" w:rsidR="00152993" w:rsidRPr="009032A4" w:rsidRDefault="00D825C5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NOG</w:t>
            </w:r>
            <w:r w:rsidR="00C158EE" w:rsidRPr="009032A4">
              <w:rPr>
                <w:rFonts w:cs="Arial"/>
              </w:rPr>
              <w:t xml:space="preserve">RR </w:t>
            </w:r>
            <w:r w:rsidR="00152993" w:rsidRPr="009032A4">
              <w:rPr>
                <w:rFonts w:cs="Arial"/>
              </w:rP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F1423F" w14:textId="77777777" w:rsidR="00152993" w:rsidRPr="009032A4" w:rsidRDefault="005F11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  <w:b w:val="0"/>
                <w:bCs w:val="0"/>
              </w:rPr>
              <w:t>Inverter-Based Resource (IBR) Ride-Through Requirements</w:t>
            </w:r>
          </w:p>
        </w:tc>
      </w:tr>
    </w:tbl>
    <w:p w14:paraId="189927FA" w14:textId="77777777" w:rsidR="002771E6" w:rsidRPr="009032A4" w:rsidRDefault="002771E6">
      <w:pPr>
        <w:rPr>
          <w:rFonts w:ascii="Arial" w:hAnsi="Arial" w:cs="Arial"/>
        </w:rPr>
      </w:pPr>
    </w:p>
    <w:p w14:paraId="469F6555" w14:textId="77777777" w:rsidR="002771E6" w:rsidRPr="009032A4" w:rsidRDefault="002771E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:rsidRPr="009032A4" w14:paraId="515C518D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A9A" w14:textId="77777777" w:rsidR="00152993" w:rsidRPr="009032A4" w:rsidRDefault="0015299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2626" w14:textId="085113F8" w:rsidR="00152993" w:rsidRPr="009032A4" w:rsidRDefault="00571C6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January 2</w:t>
            </w:r>
            <w:r w:rsidR="00AF41A0">
              <w:rPr>
                <w:rFonts w:cs="Arial"/>
              </w:rPr>
              <w:t>3</w:t>
            </w:r>
            <w:r>
              <w:rPr>
                <w:rFonts w:cs="Arial"/>
              </w:rPr>
              <w:t>, 2024</w:t>
            </w:r>
          </w:p>
        </w:tc>
      </w:tr>
    </w:tbl>
    <w:p w14:paraId="5DB16E94" w14:textId="77777777" w:rsidR="002771E6" w:rsidRPr="009032A4" w:rsidRDefault="002771E6">
      <w:pPr>
        <w:rPr>
          <w:rFonts w:ascii="Arial" w:hAnsi="Arial" w:cs="Arial"/>
        </w:rPr>
      </w:pPr>
    </w:p>
    <w:p w14:paraId="7AEC143B" w14:textId="77777777" w:rsidR="002771E6" w:rsidRPr="009032A4" w:rsidRDefault="002771E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:rsidRPr="009032A4" w14:paraId="6810058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10DEC" w14:textId="77777777" w:rsidR="00152993" w:rsidRPr="009032A4" w:rsidRDefault="00152993">
            <w:pPr>
              <w:pStyle w:val="Header"/>
              <w:jc w:val="center"/>
              <w:rPr>
                <w:rFonts w:cs="Arial"/>
              </w:rPr>
            </w:pPr>
            <w:r w:rsidRPr="009032A4">
              <w:rPr>
                <w:rFonts w:cs="Arial"/>
              </w:rPr>
              <w:t>Submitter’s Information</w:t>
            </w:r>
          </w:p>
        </w:tc>
      </w:tr>
      <w:tr w:rsidR="00152993" w:rsidRPr="009032A4" w14:paraId="1B107F4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B1E4DD" w14:textId="77777777" w:rsidR="00152993" w:rsidRPr="009032A4" w:rsidRDefault="00152993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Name</w:t>
            </w:r>
          </w:p>
        </w:tc>
        <w:tc>
          <w:tcPr>
            <w:tcW w:w="7560" w:type="dxa"/>
            <w:vAlign w:val="center"/>
          </w:tcPr>
          <w:p w14:paraId="48A5C8AD" w14:textId="433B2035" w:rsidR="00152993" w:rsidRPr="009032A4" w:rsidRDefault="003B3B66">
            <w:pPr>
              <w:pStyle w:val="NormalArial"/>
              <w:rPr>
                <w:rFonts w:cs="Arial"/>
              </w:rPr>
            </w:pPr>
            <w:r w:rsidRPr="009032A4">
              <w:rPr>
                <w:rFonts w:cs="Arial"/>
              </w:rPr>
              <w:t>Judd Messer</w:t>
            </w:r>
            <w:r w:rsidR="004C56A7" w:rsidRPr="009032A4">
              <w:rPr>
                <w:rFonts w:cs="Arial"/>
              </w:rPr>
              <w:t xml:space="preserve">, </w:t>
            </w:r>
            <w:r w:rsidR="009032A4" w:rsidRPr="009032A4">
              <w:rPr>
                <w:rFonts w:cs="Arial"/>
              </w:rPr>
              <w:t xml:space="preserve">Texas </w:t>
            </w:r>
            <w:r w:rsidR="004C56A7" w:rsidRPr="009032A4">
              <w:rPr>
                <w:rFonts w:cs="Arial"/>
              </w:rPr>
              <w:t>Vice President</w:t>
            </w:r>
          </w:p>
        </w:tc>
      </w:tr>
      <w:tr w:rsidR="00152993" w:rsidRPr="009032A4" w14:paraId="07EA21D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2EE6B07" w14:textId="77777777" w:rsidR="00152993" w:rsidRPr="009032A4" w:rsidRDefault="00152993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F8CCEE5" w14:textId="046AD3EB" w:rsidR="00152993" w:rsidRPr="009032A4" w:rsidRDefault="003B3B66">
            <w:pPr>
              <w:pStyle w:val="NormalArial"/>
              <w:rPr>
                <w:rFonts w:cs="Arial"/>
              </w:rPr>
            </w:pPr>
            <w:r w:rsidRPr="009032A4">
              <w:rPr>
                <w:rFonts w:cs="Arial"/>
              </w:rPr>
              <w:t>Judd.Messer@poweralliance.org</w:t>
            </w:r>
          </w:p>
        </w:tc>
      </w:tr>
      <w:tr w:rsidR="00152993" w:rsidRPr="009032A4" w14:paraId="1AFD237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C216902" w14:textId="77777777" w:rsidR="00152993" w:rsidRPr="009032A4" w:rsidRDefault="00152993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Company</w:t>
            </w:r>
          </w:p>
        </w:tc>
        <w:tc>
          <w:tcPr>
            <w:tcW w:w="7560" w:type="dxa"/>
            <w:vAlign w:val="center"/>
          </w:tcPr>
          <w:p w14:paraId="68C65022" w14:textId="19727F47" w:rsidR="00152993" w:rsidRPr="009032A4" w:rsidRDefault="00DC1EC1">
            <w:pPr>
              <w:pStyle w:val="NormalArial"/>
              <w:rPr>
                <w:rFonts w:cs="Arial"/>
              </w:rPr>
            </w:pPr>
            <w:r w:rsidRPr="009032A4">
              <w:rPr>
                <w:rFonts w:cs="Arial"/>
              </w:rPr>
              <w:t>Advanced Power Alliance</w:t>
            </w:r>
          </w:p>
        </w:tc>
      </w:tr>
      <w:tr w:rsidR="00152993" w:rsidRPr="009032A4" w14:paraId="5992A8A9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62A0C" w14:textId="77777777" w:rsidR="00152993" w:rsidRPr="009032A4" w:rsidRDefault="00152993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C819CD" w14:textId="09C7179E" w:rsidR="00152993" w:rsidRPr="009032A4" w:rsidRDefault="00D03D50">
            <w:pPr>
              <w:pStyle w:val="NormalArial"/>
              <w:rPr>
                <w:rFonts w:cs="Arial"/>
              </w:rPr>
            </w:pPr>
            <w:r w:rsidRPr="009032A4">
              <w:rPr>
                <w:rFonts w:cs="Arial"/>
              </w:rPr>
              <w:t>254-230-0620</w:t>
            </w:r>
          </w:p>
        </w:tc>
      </w:tr>
      <w:tr w:rsidR="00152993" w:rsidRPr="009032A4" w14:paraId="0B0EA3D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A5D3767" w14:textId="77777777" w:rsidR="00152993" w:rsidRPr="009032A4" w:rsidRDefault="00075A94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 xml:space="preserve">Cell </w:t>
            </w:r>
            <w:r w:rsidR="00152993" w:rsidRPr="009032A4">
              <w:rPr>
                <w:rFonts w:cs="Arial"/>
              </w:rPr>
              <w:t>Number</w:t>
            </w:r>
          </w:p>
        </w:tc>
        <w:tc>
          <w:tcPr>
            <w:tcW w:w="7560" w:type="dxa"/>
            <w:vAlign w:val="center"/>
          </w:tcPr>
          <w:p w14:paraId="15236CB9" w14:textId="6C0ADD62" w:rsidR="00152993" w:rsidRPr="009032A4" w:rsidRDefault="00152993">
            <w:pPr>
              <w:pStyle w:val="NormalArial"/>
              <w:rPr>
                <w:rFonts w:cs="Arial"/>
              </w:rPr>
            </w:pPr>
          </w:p>
        </w:tc>
      </w:tr>
      <w:tr w:rsidR="00075A94" w:rsidRPr="009032A4" w14:paraId="671BE1D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F3BA7" w14:textId="77777777" w:rsidR="00075A94" w:rsidRPr="009032A4" w:rsidDel="00075A94" w:rsidRDefault="00075A94" w:rsidP="00EC55B3">
            <w:pPr>
              <w:pStyle w:val="Header"/>
              <w:rPr>
                <w:rFonts w:cs="Arial"/>
              </w:rPr>
            </w:pPr>
            <w:r w:rsidRPr="009032A4">
              <w:rPr>
                <w:rFonts w:cs="Arial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C904E63" w14:textId="77777777" w:rsidR="00075A94" w:rsidRPr="009032A4" w:rsidRDefault="005F11B3">
            <w:pPr>
              <w:pStyle w:val="NormalArial"/>
              <w:rPr>
                <w:rFonts w:cs="Arial"/>
              </w:rPr>
            </w:pPr>
            <w:r w:rsidRPr="009032A4">
              <w:rPr>
                <w:rFonts w:cs="Arial"/>
              </w:rPr>
              <w:t>Independent Generators</w:t>
            </w:r>
          </w:p>
        </w:tc>
      </w:tr>
    </w:tbl>
    <w:p w14:paraId="33B3BF96" w14:textId="77777777" w:rsidR="00152993" w:rsidRPr="009032A4" w:rsidRDefault="00152993">
      <w:pPr>
        <w:pStyle w:val="NormalArial"/>
        <w:rPr>
          <w:rFonts w:cs="Arial"/>
        </w:rPr>
      </w:pPr>
    </w:p>
    <w:p w14:paraId="11C9A61A" w14:textId="77777777" w:rsidR="00075A94" w:rsidRPr="009032A4" w:rsidRDefault="00075A94">
      <w:pPr>
        <w:pStyle w:val="NormalArial"/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9032A4" w14:paraId="17B71CC3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7FF5E74B" w14:textId="77777777" w:rsidR="00075A94" w:rsidRPr="009032A4" w:rsidRDefault="00075A94" w:rsidP="004D37D7">
            <w:pPr>
              <w:pStyle w:val="Header"/>
              <w:jc w:val="center"/>
              <w:rPr>
                <w:rFonts w:cs="Arial"/>
              </w:rPr>
            </w:pPr>
            <w:r w:rsidRPr="009032A4">
              <w:rPr>
                <w:rFonts w:cs="Arial"/>
              </w:rPr>
              <w:t>Comments</w:t>
            </w:r>
          </w:p>
        </w:tc>
      </w:tr>
    </w:tbl>
    <w:p w14:paraId="66D729B2" w14:textId="77777777" w:rsidR="007967F0" w:rsidRPr="009032A4" w:rsidRDefault="007967F0" w:rsidP="005F11B3">
      <w:pPr>
        <w:pStyle w:val="NormalArial"/>
        <w:rPr>
          <w:rFonts w:cs="Arial"/>
        </w:rPr>
      </w:pPr>
    </w:p>
    <w:p w14:paraId="1EB44CF2" w14:textId="48523FBA" w:rsidR="006C1AB3" w:rsidRPr="00976DF0" w:rsidRDefault="006C1AB3" w:rsidP="008762CB">
      <w:pPr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</w:pPr>
      <w:r w:rsidRP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Comments of the Advanced Power Alliance in </w:t>
      </w:r>
      <w:r w:rsid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>s</w:t>
      </w:r>
      <w:r w:rsidRP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>upport of the Reliability and Operations Subcommittee</w:t>
      </w:r>
      <w:r w:rsid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 (ROS)</w:t>
      </w:r>
      <w:r w:rsidRP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 endorsed version of Nodal Operating Guide Revision Request</w:t>
      </w:r>
      <w:r w:rsid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 (NOGRR)</w:t>
      </w:r>
      <w:r w:rsidRPr="00976DF0">
        <w:rPr>
          <w:rFonts w:asciiTheme="minorHAnsi" w:eastAsiaTheme="minorHAnsi" w:hAnsiTheme="minorHAnsi" w:cstheme="minorHAnsi"/>
          <w:b/>
          <w:bCs/>
          <w:kern w:val="2"/>
          <w:u w:val="single"/>
          <w14:ligatures w14:val="standardContextual"/>
        </w:rPr>
        <w:t xml:space="preserve"> 245.</w:t>
      </w:r>
    </w:p>
    <w:p w14:paraId="617CC26B" w14:textId="77777777" w:rsidR="006C1AB3" w:rsidRDefault="006C1AB3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624FAC3A" w14:textId="013619AA" w:rsidR="006C1AB3" w:rsidRDefault="008762CB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8762C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Advanced Power Alliance (APA) and its member companies support efforts to maintain reliability in the Electric Reliability Council of Texas (ERCOT) power region, enhance the ability of 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>Inverter-Based Resources (IBR</w:t>
      </w:r>
      <w:r w:rsidR="006C1AB3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) </w:t>
      </w:r>
      <w:r w:rsidRPr="008762C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to ride-through grid disturbances, and create transparency around the impacts of </w:t>
      </w:r>
      <w:r w:rsidR="00B33486">
        <w:rPr>
          <w:rFonts w:asciiTheme="minorHAnsi" w:eastAsiaTheme="minorHAnsi" w:hAnsiTheme="minorHAnsi" w:cstheme="minorHAnsi"/>
          <w:kern w:val="2"/>
          <w14:ligatures w14:val="standardContextual"/>
        </w:rPr>
        <w:t>NOGRR</w:t>
      </w:r>
      <w:r w:rsidRPr="008762CB">
        <w:rPr>
          <w:rFonts w:asciiTheme="minorHAnsi" w:eastAsiaTheme="minorHAnsi" w:hAnsiTheme="minorHAnsi" w:cstheme="minorHAnsi"/>
          <w:kern w:val="2"/>
          <w14:ligatures w14:val="standardContextual"/>
        </w:rPr>
        <w:t>245.</w:t>
      </w:r>
      <w:r w:rsid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APA 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>appreciates the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considerable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feedback </w:t>
      </w:r>
      <w:r w:rsidR="000F4B4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that ERCOT, 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>stakeholders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and Original Equipment Manufacturers (OEMs) </w:t>
      </w:r>
      <w:r w:rsidR="006C3EE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have 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provided </w:t>
      </w:r>
      <w:r w:rsidR="000F4B4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on NOGRR245 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>through written comments and discussions in various forums.</w:t>
      </w:r>
    </w:p>
    <w:p w14:paraId="3FDCE33E" w14:textId="77777777" w:rsidR="006C1AB3" w:rsidRDefault="006C1AB3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4FFA47D5" w14:textId="0C0F0D8C" w:rsidR="005D3FCA" w:rsidRDefault="000F4B4E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APA continues to support the 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September 14, 2023 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>ROS-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endorsed version of NOGRR245 that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>establishes more robust ride-through requirements for new IBRs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allows legacy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IBRs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use commercially reasonable</w:t>
      </w:r>
      <w:r w:rsidR="00B3348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and technically feasible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efforts to comply with newly proposed frequency and voltage ride-through</w:t>
      </w:r>
      <w:r w:rsidR="00D912A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requirements</w:t>
      </w:r>
      <w:r w:rsidR="0042715F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and</w:t>
      </w:r>
      <w:r w:rsidR="001D55D5" w:rsidRP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utilizes most of </w:t>
      </w:r>
      <w:r w:rsidR="00A17083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>same performance requirements</w:t>
      </w:r>
      <w:r w:rsidR="00A17083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from the ERCOT comments filed January 8, 2024</w:t>
      </w:r>
      <w:r w:rsidR="00240BD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2C1CB0">
        <w:rPr>
          <w:rFonts w:asciiTheme="minorHAnsi" w:eastAsiaTheme="minorHAnsi" w:hAnsiTheme="minorHAnsi" w:cstheme="minorHAnsi"/>
          <w:kern w:val="2"/>
          <w14:ligatures w14:val="standardContextual"/>
        </w:rPr>
        <w:t>APA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remain</w:t>
      </w:r>
      <w:r w:rsidR="002C1CB0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concerned that NOGRR245, as proposed by ERCOT, will 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>have far-reaching impacts from a reliability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perspective, will increase costs for consumers,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and </w:t>
      </w:r>
      <w:r w:rsidR="00054E3B">
        <w:rPr>
          <w:rFonts w:asciiTheme="minorHAnsi" w:eastAsiaTheme="minorHAnsi" w:hAnsiTheme="minorHAnsi" w:cstheme="minorHAnsi"/>
          <w:kern w:val="2"/>
          <w14:ligatures w14:val="standardContextual"/>
        </w:rPr>
        <w:t>will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054E3B">
        <w:rPr>
          <w:rFonts w:asciiTheme="minorHAnsi" w:eastAsiaTheme="minorHAnsi" w:hAnsiTheme="minorHAnsi" w:cstheme="minorHAnsi"/>
          <w:kern w:val="2"/>
          <w14:ligatures w14:val="standardContextual"/>
        </w:rPr>
        <w:t>diverge from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long-standing regulatory precedent</w:t>
      </w:r>
      <w:r w:rsidR="00A17083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B922F2">
        <w:rPr>
          <w:rFonts w:asciiTheme="minorHAnsi" w:eastAsiaTheme="minorHAnsi" w:hAnsiTheme="minorHAnsi" w:cstheme="minorHAnsi"/>
          <w:kern w:val="2"/>
          <w14:ligatures w14:val="standardContextual"/>
        </w:rPr>
        <w:t>creating</w:t>
      </w:r>
      <w:r w:rsidR="00D912A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 chilling effect on new generation capacity investment 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>in the ERCOT region.</w:t>
      </w:r>
    </w:p>
    <w:p w14:paraId="62BC5518" w14:textId="77777777" w:rsidR="00CF5F5C" w:rsidRDefault="00CF5F5C" w:rsidP="00102958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6EF6914B" w14:textId="73872F25" w:rsidR="0058140E" w:rsidRDefault="00054E3B" w:rsidP="00102958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>The ERCOT-sponsored proposal</w:t>
      </w:r>
      <w:r w:rsidR="0048279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differs from the ROS-endorsed version such that ERCOT’s proposal could lead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the expulsion</w:t>
      </w:r>
      <w:r w:rsidR="0058140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from the market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0C0AE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and premature retirements </w:t>
      </w:r>
      <w:r w:rsidR="00DD33A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of legacy IBRs </w:t>
      </w:r>
      <w:r w:rsidR="0058140E">
        <w:rPr>
          <w:rFonts w:asciiTheme="minorHAnsi" w:eastAsiaTheme="minorHAnsi" w:hAnsiTheme="minorHAnsi" w:cstheme="minorHAnsi"/>
          <w:kern w:val="2"/>
          <w14:ligatures w14:val="standardContextual"/>
        </w:rPr>
        <w:t>for failure to comply</w:t>
      </w:r>
      <w:r w:rsidR="006502C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if ERCOT does not provide good cause exceptions</w:t>
      </w:r>
      <w:r w:rsidR="0058140E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="00FD47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>Given</w:t>
      </w:r>
      <w:r w:rsidR="00976DF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ERCOT’s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record-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lastRenderedPageBreak/>
        <w:t xml:space="preserve">breaking demand from consumers for supply, </w:t>
      </w:r>
      <w:r w:rsidR="0042715F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this is an imprudent risk to the overall reliability of the ERCOT system.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Additionally, p</w:t>
      </w:r>
      <w:r w:rsidR="0042715F">
        <w:rPr>
          <w:rFonts w:asciiTheme="minorHAnsi" w:eastAsiaTheme="minorHAnsi" w:hAnsiTheme="minorHAnsi" w:cstheme="minorHAnsi"/>
          <w:kern w:val="2"/>
          <w14:ligatures w14:val="standardContextual"/>
        </w:rPr>
        <w:t>rohibiting IBRs</w:t>
      </w:r>
      <w:r w:rsidR="001D55D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42715F">
        <w:rPr>
          <w:rFonts w:asciiTheme="minorHAnsi" w:eastAsiaTheme="minorHAnsi" w:hAnsiTheme="minorHAnsi" w:cstheme="minorHAnsi"/>
          <w:kern w:val="2"/>
          <w14:ligatures w14:val="standardContextual"/>
        </w:rPr>
        <w:t>from operating in the market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will make ERCOT more reliant on fewer energy resources, removing those</w:t>
      </w:r>
      <w:r w:rsidR="006502CB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generation</w:t>
      </w:r>
      <w:r w:rsidR="0058140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resources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that provide downward pressure on market costs. </w:t>
      </w:r>
      <w:r w:rsidR="006E3EB6">
        <w:rPr>
          <w:rFonts w:asciiTheme="minorHAnsi" w:eastAsiaTheme="minorHAnsi" w:hAnsiTheme="minorHAnsi" w:cstheme="minorHAnsi"/>
          <w:kern w:val="2"/>
          <w14:ligatures w14:val="standardContextual"/>
        </w:rPr>
        <w:t>Moreover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retroactive application of regulatory constructs </w:t>
      </w:r>
      <w:r w:rsidR="00D0729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with unfettered restrictions up to disconnection and premature retirements </w:t>
      </w:r>
      <w:r w:rsidR="0042715F">
        <w:rPr>
          <w:rFonts w:asciiTheme="minorHAnsi" w:eastAsiaTheme="minorHAnsi" w:hAnsiTheme="minorHAnsi" w:cstheme="minorHAnsi"/>
          <w:kern w:val="2"/>
          <w14:ligatures w14:val="standardContextual"/>
        </w:rPr>
        <w:t>will upend contracts such as Power Purchase Agreements, eliminate landowner royalty payments, and negatively impact local taxing authority revenue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9B5B5A">
        <w:rPr>
          <w:rFonts w:asciiTheme="minorHAnsi" w:eastAsiaTheme="minorHAnsi" w:hAnsiTheme="minorHAnsi" w:cstheme="minorHAnsi"/>
          <w:kern w:val="2"/>
          <w14:ligatures w14:val="standardContextual"/>
        </w:rPr>
        <w:t>T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>he</w:t>
      </w:r>
      <w:r w:rsidR="009B5B5A">
        <w:rPr>
          <w:rFonts w:asciiTheme="minorHAnsi" w:eastAsiaTheme="minorHAnsi" w:hAnsiTheme="minorHAnsi" w:cstheme="minorHAnsi"/>
          <w:kern w:val="2"/>
          <w14:ligatures w14:val="standardContextual"/>
        </w:rPr>
        <w:t>se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retroactive 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requirements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will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disincentivize</w:t>
      </w:r>
      <w:r w:rsidR="002F184C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capital investments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required for </w:t>
      </w:r>
      <w:r w:rsidR="002F184C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>repower and retrofits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, as well as creating a chilling effect on investment in new generation</w:t>
      </w:r>
      <w:r w:rsidR="0058140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resources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="002F184C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>Ultimately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2F184C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it creates an environment where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market certainty is called into question </w:t>
      </w:r>
      <w:r w:rsidR="009B5B5A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>because of</w:t>
      </w:r>
      <w:r w:rsidR="002F184C" w:rsidRPr="001D533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post-operational revisions to existing rules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0C0AE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at a time when demand is increasing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and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ERCOT needs every megawatt of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currently available and expected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capacity to </w:t>
      </w:r>
      <w:r w:rsidR="006E3EB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reliably 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serve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Texans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</w:p>
    <w:p w14:paraId="536FE857" w14:textId="77777777" w:rsidR="0058140E" w:rsidRDefault="0058140E" w:rsidP="00102958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3657085F" w14:textId="32330070" w:rsidR="00102958" w:rsidRDefault="0058140E" w:rsidP="00102958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While APA believes ERCOT’s insistence on moving forward with NOGRR245 before the North American Reliability Corporation (NERC) completes its development of standards relating to IBR </w:t>
      </w:r>
      <w:r w:rsidR="00CF5F5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ride-through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requirements is altogether premature, 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>APA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especially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disagrees with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>r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>etroactive application of new regulatory requirements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like these which will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impose </w:t>
      </w:r>
      <w:r w:rsidR="00F51350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>increased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costs,</w:t>
      </w:r>
      <w:r w:rsidR="00C127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restrict operations,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and 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cause 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>premature retirements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Additionally, </w:t>
      </w:r>
      <w:r w:rsidR="006E3EB6">
        <w:rPr>
          <w:rFonts w:asciiTheme="minorHAnsi" w:eastAsiaTheme="minorHAnsi" w:hAnsiTheme="minorHAnsi" w:cstheme="minorHAnsi"/>
          <w:kern w:val="2"/>
          <w14:ligatures w14:val="standardContextual"/>
        </w:rPr>
        <w:t>t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he Texas Constitution prohibits the Legislature from enacting any law impairing the obligations of contracts and, similarly, retroaction application of regulations that impair existing contracts is </w:t>
      </w:r>
      <w:r w:rsidR="00B922F2">
        <w:rPr>
          <w:rFonts w:asciiTheme="minorHAnsi" w:eastAsiaTheme="minorHAnsi" w:hAnsiTheme="minorHAnsi" w:cstheme="minorHAnsi"/>
          <w:kern w:val="2"/>
          <w14:ligatures w14:val="standardContextual"/>
        </w:rPr>
        <w:t>disfavored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B922F2">
        <w:rPr>
          <w:rFonts w:asciiTheme="minorHAnsi" w:eastAsiaTheme="minorHAnsi" w:hAnsiTheme="minorHAnsi" w:cstheme="minorHAnsi"/>
          <w:kern w:val="2"/>
          <w14:ligatures w14:val="standardContextual"/>
        </w:rPr>
        <w:t>Despite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th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is</w:t>
      </w:r>
      <w:r w:rsidR="0010295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precedent, and in the interest of increased reliability and market certainty, APA has supported the ROS-endorsed version of NOGRR245 that imposes retroactive application of most of ERCOT’s performance requirements.</w:t>
      </w:r>
    </w:p>
    <w:p w14:paraId="4DCC39FE" w14:textId="77777777" w:rsidR="00DD6D84" w:rsidRDefault="00DD6D84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26D78FAF" w14:textId="0730A348" w:rsidR="00A74169" w:rsidRDefault="0058140E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>Additionally, there still has been</w:t>
      </w:r>
      <w:r w:rsidR="00A74169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no comprehensive reliability, technical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A74169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or economic study conducted to understand the problem 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ERCOT is trying to solve and whether ERCOT’s version of NOGRR245 is an appropriate remedy. Nor has ERCOT conducted a study that distinguishes the reliability impacts 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of losing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 portion of existing IBR capacity 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due to noncompliance with 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>NOGRR245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as proposed by ERCOT,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compared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ERCOT allowing for a limited number of good cause exceptions for existing IBRs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6B566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as FERC and NERC appear to support.</w:t>
      </w:r>
    </w:p>
    <w:p w14:paraId="1683E1DA" w14:textId="77777777" w:rsidR="00B67768" w:rsidRDefault="00B67768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2F46D94F" w14:textId="1860EC6F" w:rsidR="00B67768" w:rsidRPr="00B67768" w:rsidRDefault="008D1C6D" w:rsidP="00B6776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Moreover</w:t>
      </w:r>
      <w:r w:rsidR="00B67768" w:rsidRPr="00B67768">
        <w:rPr>
          <w:rFonts w:asciiTheme="minorHAnsi" w:hAnsiTheme="minorHAnsi" w:cstheme="minorHAnsi"/>
        </w:rPr>
        <w:t xml:space="preserve">, </w:t>
      </w:r>
      <w:r w:rsidR="00B67768" w:rsidRPr="00A53FF8">
        <w:rPr>
          <w:rFonts w:asciiTheme="minorHAnsi" w:hAnsiTheme="minorHAnsi" w:cstheme="minorHAnsi"/>
        </w:rPr>
        <w:t xml:space="preserve">no consideration has been given to taking a more holistic view of grid stability, </w:t>
      </w:r>
      <w:r w:rsidR="00B67768" w:rsidRPr="00B67768">
        <w:rPr>
          <w:rFonts w:asciiTheme="minorHAnsi" w:hAnsiTheme="minorHAnsi" w:cstheme="minorHAnsi"/>
        </w:rPr>
        <w:t>including transmission and other commercially available and fiscally responsible solutions laid out in public filings. Before implementing a policy that may result in retiring or suspending operations of a significant volume of IBR</w:t>
      </w:r>
      <w:r>
        <w:rPr>
          <w:rFonts w:asciiTheme="minorHAnsi" w:hAnsiTheme="minorHAnsi" w:cstheme="minorHAnsi"/>
        </w:rPr>
        <w:t>s</w:t>
      </w:r>
      <w:r w:rsidR="00B67768" w:rsidRPr="00B67768">
        <w:rPr>
          <w:rFonts w:asciiTheme="minorHAnsi" w:hAnsiTheme="minorHAnsi" w:cstheme="minorHAnsi"/>
        </w:rPr>
        <w:t>, ERCOT should:</w:t>
      </w:r>
    </w:p>
    <w:p w14:paraId="4C0B8863" w14:textId="5D3C5FAE" w:rsidR="00B67768" w:rsidRPr="00B67768" w:rsidRDefault="00B67768" w:rsidP="00B67768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B67768">
        <w:rPr>
          <w:rFonts w:cstheme="minorHAnsi"/>
        </w:rPr>
        <w:t xml:space="preserve">Perform a study identifying the expected IBR megawatts unable to comply with </w:t>
      </w:r>
      <w:r w:rsidR="00FC169E">
        <w:rPr>
          <w:rFonts w:cstheme="minorHAnsi"/>
        </w:rPr>
        <w:t xml:space="preserve">ERCOT’s </w:t>
      </w:r>
      <w:r w:rsidRPr="00B67768">
        <w:rPr>
          <w:rFonts w:cstheme="minorHAnsi"/>
        </w:rPr>
        <w:t xml:space="preserve">NOGRR245’s requirements and model the effects of retiring and/or suspending that </w:t>
      </w:r>
      <w:r w:rsidR="00CF5F5C">
        <w:rPr>
          <w:rFonts w:cstheme="minorHAnsi"/>
        </w:rPr>
        <w:t xml:space="preserve">generation </w:t>
      </w:r>
      <w:r w:rsidRPr="00B67768">
        <w:rPr>
          <w:rFonts w:cstheme="minorHAnsi"/>
        </w:rPr>
        <w:t xml:space="preserve">capacity on resource adequacy and </w:t>
      </w:r>
      <w:r w:rsidR="00FC169E">
        <w:rPr>
          <w:rFonts w:cstheme="minorHAnsi"/>
        </w:rPr>
        <w:t xml:space="preserve">the costs </w:t>
      </w:r>
      <w:r w:rsidRPr="00B67768">
        <w:rPr>
          <w:rFonts w:cstheme="minorHAnsi"/>
        </w:rPr>
        <w:t xml:space="preserve">that </w:t>
      </w:r>
      <w:r w:rsidR="00CF5F5C">
        <w:rPr>
          <w:rFonts w:cstheme="minorHAnsi"/>
        </w:rPr>
        <w:t xml:space="preserve">are </w:t>
      </w:r>
      <w:r w:rsidR="00B922F2" w:rsidRPr="00B67768">
        <w:rPr>
          <w:rFonts w:cstheme="minorHAnsi"/>
        </w:rPr>
        <w:t>borne</w:t>
      </w:r>
      <w:r w:rsidRPr="00B67768">
        <w:rPr>
          <w:rFonts w:cstheme="minorHAnsi"/>
        </w:rPr>
        <w:t xml:space="preserve"> by retail customers.</w:t>
      </w:r>
    </w:p>
    <w:p w14:paraId="17E814C6" w14:textId="77777777" w:rsidR="00B67768" w:rsidRDefault="00B67768" w:rsidP="00B67768">
      <w:pPr>
        <w:pStyle w:val="ListParagraph"/>
        <w:spacing w:after="160" w:line="259" w:lineRule="auto"/>
        <w:rPr>
          <w:rFonts w:cstheme="minorHAnsi"/>
        </w:rPr>
      </w:pPr>
    </w:p>
    <w:p w14:paraId="5D56BCAA" w14:textId="722C6E90" w:rsidR="00B67768" w:rsidRPr="00B67768" w:rsidRDefault="00B67768" w:rsidP="00B67768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B67768">
        <w:rPr>
          <w:rFonts w:cstheme="minorHAnsi"/>
        </w:rPr>
        <w:t xml:space="preserve">Conduct a systemic analysis to determine the most efficient, least detrimental (i.e., narrowly tailored) approach, including using grid-forming inverters, synchronous </w:t>
      </w:r>
      <w:r w:rsidRPr="00B67768">
        <w:rPr>
          <w:rFonts w:cstheme="minorHAnsi"/>
        </w:rPr>
        <w:lastRenderedPageBreak/>
        <w:t>condensers, and other transmission improvements or upgrades. ERCOT’s own recent study results on synchronous condensers and grid-forming inverter-based energy storage resources suggest that these existing technologies could reduce the claimed need for more stringent IBR ride-through requirements for existing IBRs.</w:t>
      </w:r>
    </w:p>
    <w:p w14:paraId="167CA12C" w14:textId="77777777" w:rsidR="006B5668" w:rsidRDefault="006B5668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48C33C52" w14:textId="05FD840A" w:rsidR="00C127B0" w:rsidRDefault="009B5B5A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Original Equipment Manufacturers </w:t>
      </w:r>
      <w:r w:rsidR="00F04866">
        <w:rPr>
          <w:rFonts w:asciiTheme="minorHAnsi" w:eastAsiaTheme="minorHAnsi" w:hAnsiTheme="minorHAnsi" w:cstheme="minorHAnsi"/>
          <w:kern w:val="2"/>
          <w14:ligatures w14:val="standardContextual"/>
        </w:rPr>
        <w:t>have filed comments that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emphasize the importance of </w:t>
      </w:r>
      <w:r w:rsidR="00F51350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>an accepted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testing and verification procedure</w:t>
      </w:r>
      <w:r w:rsidR="00D0729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which </w:t>
      </w:r>
      <w:r w:rsidR="0002691A">
        <w:rPr>
          <w:rFonts w:asciiTheme="minorHAnsi" w:eastAsiaTheme="minorHAnsi" w:hAnsiTheme="minorHAnsi" w:cstheme="minorHAnsi"/>
          <w:kern w:val="2"/>
          <w14:ligatures w14:val="standardContextual"/>
        </w:rPr>
        <w:t>currently</w:t>
      </w:r>
      <w:r w:rsidR="00D0729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does not exist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B4044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Institute of Electrical and Electronics Engineers (IEEE) </w:t>
      </w:r>
      <w:r w:rsidR="00396E1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is currently developing IEEE </w:t>
      </w:r>
      <w:r w:rsidR="00B40445">
        <w:rPr>
          <w:rFonts w:asciiTheme="minorHAnsi" w:eastAsiaTheme="minorHAnsi" w:hAnsiTheme="minorHAnsi" w:cstheme="minorHAnsi"/>
          <w:kern w:val="2"/>
          <w14:ligatures w14:val="standardContextual"/>
        </w:rPr>
        <w:t>2800.2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="00B4044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396E1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which defines recommended practices for test and verification procedures </w:t>
      </w:r>
      <w:r w:rsidR="009372DD">
        <w:rPr>
          <w:rFonts w:asciiTheme="minorHAnsi" w:eastAsiaTheme="minorHAnsi" w:hAnsiTheme="minorHAnsi" w:cstheme="minorHAnsi"/>
          <w:kern w:val="2"/>
          <w14:ligatures w14:val="standardContextual"/>
        </w:rPr>
        <w:t>to confirm plant-level conformance of</w:t>
      </w:r>
      <w:r w:rsidR="00396E1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IBRs</w:t>
      </w:r>
      <w:r w:rsidR="009372DD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interconnected to the bulk power system</w:t>
      </w:r>
      <w:r w:rsidR="00396E17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427D2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 GE Vernova describes in its most recent comments, “readiness of IEEE 2800.2 is of high importance in assessing compatibility </w:t>
      </w:r>
      <w:r w:rsidR="008808D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to IEEE 2200.” 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>Testing ride-through capabilities will produce different results under different conditions and guidance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8D1C6D">
        <w:rPr>
          <w:rFonts w:asciiTheme="minorHAnsi" w:eastAsiaTheme="minorHAnsi" w:hAnsiTheme="minorHAnsi" w:cstheme="minorHAnsi"/>
          <w:kern w:val="2"/>
          <w14:ligatures w14:val="standardContextual"/>
        </w:rPr>
        <w:t>T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>he adoption of IEEE 2800.2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9D20AF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will 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>ensure OEMs can design a universal standard</w:t>
      </w:r>
      <w:r w:rsidR="0044449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that </w:t>
      </w:r>
      <w:r w:rsidR="008808DC">
        <w:rPr>
          <w:rFonts w:asciiTheme="minorHAnsi" w:eastAsiaTheme="minorHAnsi" w:hAnsiTheme="minorHAnsi" w:cstheme="minorHAnsi"/>
          <w:kern w:val="2"/>
          <w14:ligatures w14:val="standardContextual"/>
        </w:rPr>
        <w:t>conform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="008808D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to the IBR ride-through standards that are </w:t>
      </w:r>
      <w:r w:rsidR="00B922F2">
        <w:rPr>
          <w:rFonts w:asciiTheme="minorHAnsi" w:eastAsiaTheme="minorHAnsi" w:hAnsiTheme="minorHAnsi" w:cstheme="minorHAnsi"/>
          <w:kern w:val="2"/>
          <w14:ligatures w14:val="standardContextual"/>
        </w:rPr>
        <w:t>adopted</w:t>
      </w:r>
      <w:r w:rsidR="008808DC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by both NERC and ERCOT</w:t>
      </w:r>
      <w:r w:rsidR="00F04866" w:rsidRPr="00F04866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. </w:t>
      </w:r>
      <w:r w:rsidR="0044449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 Vestas states in its November 1, </w:t>
      </w:r>
      <w:r w:rsidR="0002691A">
        <w:rPr>
          <w:rFonts w:asciiTheme="minorHAnsi" w:eastAsiaTheme="minorHAnsi" w:hAnsiTheme="minorHAnsi" w:cstheme="minorHAnsi"/>
          <w:kern w:val="2"/>
          <w14:ligatures w14:val="standardContextual"/>
        </w:rPr>
        <w:t>2023,</w:t>
      </w:r>
      <w:r w:rsidR="0044449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comments, “discussions on IEEE 2800.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>2</w:t>
      </w:r>
      <w:r w:rsidR="0044449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are still evolving, and the verification process itself may raise difficulties in demonstrating compatibility to certain requirements, which may drive further changes to both requirements and product design.</w:t>
      </w:r>
      <w:r w:rsidR="009D20AF">
        <w:rPr>
          <w:rFonts w:asciiTheme="minorHAnsi" w:eastAsiaTheme="minorHAnsi" w:hAnsiTheme="minorHAnsi" w:cstheme="minorHAnsi"/>
          <w:kern w:val="2"/>
          <w14:ligatures w14:val="standardContextual"/>
        </w:rPr>
        <w:t>”</w:t>
      </w:r>
      <w:r w:rsidR="0044449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Given the 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>need stated by OEMs for standard testing and verification to ensure safe operation and reliable power generation</w:t>
      </w:r>
      <w:r w:rsidR="009D20AF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resources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, </w:t>
      </w:r>
      <w:r w:rsidR="00844584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APA 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believes the adoption of IEEE 2800.2 is </w:t>
      </w:r>
      <w:r w:rsidR="00B922F2">
        <w:rPr>
          <w:rFonts w:asciiTheme="minorHAnsi" w:eastAsiaTheme="minorHAnsi" w:hAnsiTheme="minorHAnsi" w:cstheme="minorHAnsi"/>
          <w:kern w:val="2"/>
          <w14:ligatures w14:val="standardContextual"/>
        </w:rPr>
        <w:t>a crucial step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in the process </w:t>
      </w:r>
      <w:r w:rsidR="00826A7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of 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>ensur</w:t>
      </w:r>
      <w:r w:rsidR="00826A72">
        <w:rPr>
          <w:rFonts w:asciiTheme="minorHAnsi" w:eastAsiaTheme="minorHAnsi" w:hAnsiTheme="minorHAnsi" w:cstheme="minorHAnsi"/>
          <w:kern w:val="2"/>
          <w14:ligatures w14:val="standardContextual"/>
        </w:rPr>
        <w:t>ing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conformance of new ride-through requirements and </w:t>
      </w:r>
      <w:r w:rsidR="00844584">
        <w:rPr>
          <w:rFonts w:asciiTheme="minorHAnsi" w:eastAsiaTheme="minorHAnsi" w:hAnsiTheme="minorHAnsi" w:cstheme="minorHAnsi"/>
          <w:kern w:val="2"/>
          <w14:ligatures w14:val="standardContextual"/>
        </w:rPr>
        <w:t>supports the recommendation of OEMs related to designing a universal standard</w:t>
      </w:r>
      <w:r w:rsidR="00EA569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for IBRs.</w:t>
      </w:r>
      <w:r w:rsidR="009D20AF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APA continues to be concerned that ERCOT’s proposed standards are premised entirely on technologies that have not yet materialized </w:t>
      </w:r>
      <w:r w:rsidR="00E03471">
        <w:rPr>
          <w:rFonts w:asciiTheme="minorHAnsi" w:eastAsiaTheme="minorHAnsi" w:hAnsiTheme="minorHAnsi" w:cstheme="minorHAnsi"/>
          <w:kern w:val="2"/>
          <w14:ligatures w14:val="standardContextual"/>
        </w:rPr>
        <w:t>and that have not yet been demonstrated to be physically or commercially viable as evidenced by OEM comments.</w:t>
      </w:r>
      <w:r w:rsidR="009D20AF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</w:p>
    <w:p w14:paraId="2A10C721" w14:textId="77777777" w:rsidR="000A2125" w:rsidRDefault="000A2125" w:rsidP="000A2125">
      <w:pPr>
        <w:rPr>
          <w:rFonts w:asciiTheme="minorHAnsi" w:hAnsiTheme="minorHAnsi" w:cstheme="minorHAnsi"/>
          <w:b/>
          <w:bCs/>
          <w:u w:val="single"/>
        </w:rPr>
      </w:pPr>
    </w:p>
    <w:p w14:paraId="05A8A93A" w14:textId="3270BD09" w:rsidR="000A2125" w:rsidRDefault="000A2125" w:rsidP="000A2125">
      <w:pPr>
        <w:rPr>
          <w:rFonts w:asciiTheme="minorHAnsi" w:hAnsiTheme="minorHAnsi" w:cstheme="minorHAnsi"/>
          <w:b/>
          <w:bCs/>
          <w:u w:val="single"/>
        </w:rPr>
      </w:pPr>
      <w:r w:rsidRPr="009B5B5A">
        <w:rPr>
          <w:rFonts w:asciiTheme="minorHAnsi" w:hAnsiTheme="minorHAnsi" w:cstheme="minorHAnsi"/>
          <w:b/>
          <w:bCs/>
          <w:u w:val="single"/>
        </w:rPr>
        <w:t>Conclusion.</w:t>
      </w:r>
    </w:p>
    <w:p w14:paraId="53C391B5" w14:textId="1D7CC88D" w:rsidR="00C127B0" w:rsidRDefault="009B5B5A" w:rsidP="008762CB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Advanced Power Alliance </w:t>
      </w:r>
      <w:r w:rsidR="001642C3">
        <w:rPr>
          <w:rFonts w:asciiTheme="minorHAnsi" w:eastAsiaTheme="minorHAnsi" w:hAnsiTheme="minorHAnsi" w:cstheme="minorHAnsi"/>
          <w:kern w:val="2"/>
          <w14:ligatures w14:val="standardContextual"/>
        </w:rPr>
        <w:t>su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>pport</w:t>
      </w:r>
      <w:r w:rsidR="001642C3">
        <w:rPr>
          <w:rFonts w:asciiTheme="minorHAnsi" w:eastAsiaTheme="minorHAnsi" w:hAnsiTheme="minorHAnsi" w:cstheme="minorHAnsi"/>
          <w:kern w:val="2"/>
          <w14:ligatures w14:val="standardContextual"/>
        </w:rPr>
        <w:t>s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well-reasoned voltage ride-through requirements that are non-discriminatory on a prospective basis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or </w:t>
      </w:r>
      <w:r w:rsidR="0021439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that are commercially reasonable and 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>technical</w:t>
      </w:r>
      <w:r w:rsidR="001F4670">
        <w:rPr>
          <w:rFonts w:asciiTheme="minorHAnsi" w:eastAsiaTheme="minorHAnsi" w:hAnsiTheme="minorHAnsi" w:cstheme="minorHAnsi"/>
          <w:kern w:val="2"/>
          <w14:ligatures w14:val="standardContextual"/>
        </w:rPr>
        <w:t>ly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214392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feasible for 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>existing IBRs and W</w:t>
      </w:r>
      <w:r w:rsidR="00AA7543">
        <w:rPr>
          <w:rFonts w:asciiTheme="minorHAnsi" w:eastAsiaTheme="minorHAnsi" w:hAnsiTheme="minorHAnsi" w:cstheme="minorHAnsi"/>
          <w:kern w:val="2"/>
          <w14:ligatures w14:val="standardContextual"/>
        </w:rPr>
        <w:t>GRs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As such, APA believes that 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the adoption of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ERCOT’s January 8, </w:t>
      </w:r>
      <w:r w:rsidR="0002691A">
        <w:rPr>
          <w:rFonts w:asciiTheme="minorHAnsi" w:eastAsiaTheme="minorHAnsi" w:hAnsiTheme="minorHAnsi" w:cstheme="minorHAnsi"/>
          <w:kern w:val="2"/>
          <w14:ligatures w14:val="standardContextual"/>
        </w:rPr>
        <w:t>2024,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NOGRR245 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>would be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unfair, discriminatory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and imprudent because it unreasonably imposes voltage ride-through standards retroactively that may be technically infeasible and/or commercially unreasonable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>,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which could lead to a mass ex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odus of </w:t>
      </w:r>
      <w:r w:rsidR="008348D9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generation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resources</w:t>
      </w:r>
      <w:r w:rsidRPr="009B5B5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from the market.</w:t>
      </w:r>
      <w:r w:rsidR="000A2125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For the reasons stated here and in prior comments, </w:t>
      </w:r>
      <w:r w:rsidR="000A2125">
        <w:rPr>
          <w:rFonts w:asciiTheme="minorHAnsi" w:eastAsiaTheme="minorHAnsi" w:hAnsiTheme="minorHAnsi" w:cstheme="minorHAnsi"/>
          <w:kern w:val="2"/>
          <w14:ligatures w14:val="standardContextual"/>
        </w:rPr>
        <w:t>we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continue to support the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ROS-endorsed 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version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>of NOGRR245 from</w:t>
      </w:r>
      <w:r w:rsidR="002C1CB0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September 14, </w:t>
      </w:r>
      <w:r w:rsidR="001700BE" w:rsidRPr="002C1CB0">
        <w:rPr>
          <w:rFonts w:asciiTheme="minorHAnsi" w:eastAsiaTheme="minorHAnsi" w:hAnsiTheme="minorHAnsi" w:cstheme="minorHAnsi"/>
          <w:kern w:val="2"/>
          <w14:ligatures w14:val="standardContextual"/>
        </w:rPr>
        <w:t>2023</w:t>
      </w:r>
      <w:r w:rsidR="000A2125">
        <w:rPr>
          <w:rFonts w:asciiTheme="minorHAnsi" w:eastAsiaTheme="minorHAnsi" w:hAnsiTheme="minorHAnsi" w:cstheme="minorHAnsi"/>
          <w:kern w:val="2"/>
          <w14:ligatures w14:val="standardContextual"/>
        </w:rPr>
        <w:t>, as well as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changes 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provided by 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Invenergy, NextEra Energy Resources, </w:t>
      </w:r>
      <w:r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and </w:t>
      </w:r>
      <w:r w:rsidR="001700BE" w:rsidRPr="001700BE">
        <w:rPr>
          <w:rFonts w:asciiTheme="minorHAnsi" w:eastAsiaTheme="minorHAnsi" w:hAnsiTheme="minorHAnsi" w:cstheme="minorHAnsi"/>
          <w:kern w:val="2"/>
          <w14:ligatures w14:val="standardContextual"/>
        </w:rPr>
        <w:t>Southern Power Company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on January 2</w:t>
      </w:r>
      <w:r w:rsidR="00844D3E">
        <w:rPr>
          <w:rFonts w:asciiTheme="minorHAnsi" w:eastAsiaTheme="minorHAnsi" w:hAnsiTheme="minorHAnsi" w:cstheme="minorHAnsi"/>
          <w:kern w:val="2"/>
          <w14:ligatures w14:val="standardContextual"/>
        </w:rPr>
        <w:t>3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>, 2024</w:t>
      </w:r>
      <w:r w:rsidR="004C1488">
        <w:rPr>
          <w:rFonts w:asciiTheme="minorHAnsi" w:eastAsiaTheme="minorHAnsi" w:hAnsiTheme="minorHAnsi" w:cstheme="minorHAnsi"/>
          <w:kern w:val="2"/>
          <w14:ligatures w14:val="standardContextual"/>
        </w:rPr>
        <w:t>.</w:t>
      </w:r>
      <w:r w:rsidR="001700B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</w:t>
      </w:r>
    </w:p>
    <w:p w14:paraId="77F7733E" w14:textId="77777777" w:rsidR="003C37B8" w:rsidRPr="007903FD" w:rsidRDefault="003C37B8" w:rsidP="0055032D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:rsidRPr="009032A4" w14:paraId="1D17C291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674D93" w14:textId="77777777" w:rsidR="0055032D" w:rsidRPr="009032A4" w:rsidRDefault="0055032D" w:rsidP="004D37D7">
            <w:pPr>
              <w:pStyle w:val="Header"/>
              <w:jc w:val="center"/>
              <w:rPr>
                <w:rFonts w:cs="Arial"/>
              </w:rPr>
            </w:pPr>
            <w:r w:rsidRPr="009032A4">
              <w:rPr>
                <w:rFonts w:cs="Arial"/>
              </w:rPr>
              <w:t>Revised Cover Page Language</w:t>
            </w:r>
          </w:p>
        </w:tc>
      </w:tr>
    </w:tbl>
    <w:p w14:paraId="338FF710" w14:textId="77777777" w:rsidR="0055032D" w:rsidRPr="009032A4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 w:rsidRPr="009032A4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9032A4" w14:paraId="410BEE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5F81B" w14:textId="77777777" w:rsidR="00152993" w:rsidRPr="009032A4" w:rsidRDefault="00152993">
            <w:pPr>
              <w:pStyle w:val="Header"/>
              <w:jc w:val="center"/>
              <w:rPr>
                <w:rFonts w:cs="Arial"/>
              </w:rPr>
            </w:pPr>
            <w:r w:rsidRPr="009032A4">
              <w:rPr>
                <w:rFonts w:cs="Arial"/>
              </w:rPr>
              <w:t xml:space="preserve">Revised Proposed </w:t>
            </w:r>
            <w:r w:rsidR="00C158EE" w:rsidRPr="009032A4">
              <w:rPr>
                <w:rFonts w:cs="Arial"/>
              </w:rPr>
              <w:t xml:space="preserve">Guide </w:t>
            </w:r>
            <w:r w:rsidRPr="009032A4">
              <w:rPr>
                <w:rFonts w:cs="Arial"/>
              </w:rPr>
              <w:t>Language</w:t>
            </w:r>
          </w:p>
        </w:tc>
      </w:tr>
    </w:tbl>
    <w:p w14:paraId="01D294B7" w14:textId="77777777" w:rsidR="007967F0" w:rsidRPr="009032A4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 w:rsidRPr="009032A4">
        <w:rPr>
          <w:rFonts w:ascii="Arial" w:hAnsi="Arial" w:cs="Arial"/>
          <w:bCs/>
        </w:rPr>
        <w:lastRenderedPageBreak/>
        <w:t>None</w:t>
      </w:r>
    </w:p>
    <w:p w14:paraId="069FF1F9" w14:textId="77777777" w:rsidR="00152993" w:rsidRPr="009032A4" w:rsidRDefault="00152993" w:rsidP="00194801">
      <w:pPr>
        <w:keepNext/>
        <w:tabs>
          <w:tab w:val="left" w:pos="1008"/>
        </w:tabs>
        <w:spacing w:after="240"/>
        <w:ind w:left="720" w:hanging="720"/>
        <w:outlineLvl w:val="2"/>
        <w:rPr>
          <w:rFonts w:ascii="Arial" w:hAnsi="Arial" w:cs="Arial"/>
        </w:rPr>
      </w:pPr>
    </w:p>
    <w:sectPr w:rsidR="00152993" w:rsidRPr="009032A4" w:rsidSect="00A406FF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CE93" w14:textId="77777777" w:rsidR="00A406FF" w:rsidRDefault="00A406FF">
      <w:r>
        <w:separator/>
      </w:r>
    </w:p>
  </w:endnote>
  <w:endnote w:type="continuationSeparator" w:id="0">
    <w:p w14:paraId="0584634D" w14:textId="77777777" w:rsidR="00A406FF" w:rsidRDefault="00A4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C03E" w14:textId="007D969A" w:rsidR="003D0994" w:rsidRPr="003B3B66" w:rsidRDefault="004A747C" w:rsidP="009F003B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 w:rsidR="006C5465">
      <w:rPr>
        <w:rFonts w:ascii="Arial" w:hAnsi="Arial"/>
        <w:sz w:val="18"/>
      </w:rPr>
      <w:t>NOGRR</w:t>
    </w:r>
    <w:r>
      <w:rPr>
        <w:rFonts w:ascii="Arial" w:hAnsi="Arial"/>
        <w:sz w:val="18"/>
      </w:rPr>
      <w:t>-</w:t>
    </w:r>
    <w:r w:rsidR="00022577">
      <w:rPr>
        <w:rFonts w:ascii="Arial" w:hAnsi="Arial"/>
        <w:sz w:val="18"/>
      </w:rPr>
      <w:t>64</w:t>
    </w:r>
    <w:r w:rsidR="003C37B8">
      <w:rPr>
        <w:rFonts w:ascii="Arial" w:hAnsi="Arial"/>
        <w:sz w:val="18"/>
      </w:rPr>
      <w:t xml:space="preserve"> </w:t>
    </w:r>
    <w:r w:rsidR="006C5465">
      <w:rPr>
        <w:rFonts w:ascii="Arial" w:hAnsi="Arial"/>
        <w:sz w:val="18"/>
      </w:rPr>
      <w:t xml:space="preserve">Advanced Power Alliance Comments </w:t>
    </w:r>
    <w:r w:rsidR="00F2532E">
      <w:rPr>
        <w:rFonts w:ascii="Arial" w:hAnsi="Arial"/>
        <w:sz w:val="18"/>
      </w:rPr>
      <w:t>0</w:t>
    </w:r>
    <w:r w:rsidR="008762CB">
      <w:rPr>
        <w:rFonts w:ascii="Arial" w:hAnsi="Arial"/>
        <w:sz w:val="18"/>
      </w:rPr>
      <w:t>12</w:t>
    </w:r>
    <w:r w:rsidR="0002691A">
      <w:rPr>
        <w:rFonts w:ascii="Arial" w:hAnsi="Arial"/>
        <w:sz w:val="18"/>
      </w:rPr>
      <w:t>3</w:t>
    </w:r>
    <w:r w:rsidR="006C5465">
      <w:rPr>
        <w:rFonts w:ascii="Arial" w:hAnsi="Arial"/>
        <w:sz w:val="18"/>
      </w:rPr>
      <w:t>2</w:t>
    </w:r>
    <w:r w:rsidR="00F2532E">
      <w:rPr>
        <w:rFonts w:ascii="Arial" w:hAnsi="Arial"/>
        <w:sz w:val="18"/>
      </w:rPr>
      <w:t>4</w:t>
    </w:r>
    <w:r w:rsidR="009F003B">
      <w:rPr>
        <w:rFonts w:ascii="Arial" w:hAnsi="Arial"/>
        <w:sz w:val="18"/>
      </w:rPr>
      <w:ptab w:relativeTo="margin" w:alignment="right" w:leader="none"/>
    </w:r>
    <w:r w:rsidR="003D0994" w:rsidRPr="003B3B66">
      <w:rPr>
        <w:rFonts w:ascii="Arial" w:hAnsi="Arial"/>
        <w:sz w:val="18"/>
      </w:rPr>
      <w:t xml:space="preserve">Page </w:t>
    </w:r>
    <w:r w:rsidR="003D0994">
      <w:rPr>
        <w:rFonts w:ascii="Arial" w:hAnsi="Arial"/>
        <w:sz w:val="18"/>
      </w:rPr>
      <w:fldChar w:fldCharType="begin"/>
    </w:r>
    <w:r w:rsidR="003D0994" w:rsidRPr="003B3B66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 w:rsidRPr="003B3B66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 w:rsidRPr="003B3B66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 w:rsidRPr="003B3B66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 w:rsidRPr="003B3B66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EA4E99C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5724" w14:textId="77777777" w:rsidR="00A406FF" w:rsidRDefault="00A406FF">
      <w:r>
        <w:separator/>
      </w:r>
    </w:p>
  </w:footnote>
  <w:footnote w:type="continuationSeparator" w:id="0">
    <w:p w14:paraId="2E7E49B3" w14:textId="77777777" w:rsidR="00A406FF" w:rsidRDefault="00A4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9A0" w14:textId="12A31A09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1A3F445A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85A491E"/>
    <w:multiLevelType w:val="hybridMultilevel"/>
    <w:tmpl w:val="9724D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E5F15"/>
    <w:multiLevelType w:val="hybridMultilevel"/>
    <w:tmpl w:val="D532912C"/>
    <w:lvl w:ilvl="0" w:tplc="58D446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443C"/>
    <w:multiLevelType w:val="hybridMultilevel"/>
    <w:tmpl w:val="E0BE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37D"/>
    <w:multiLevelType w:val="hybridMultilevel"/>
    <w:tmpl w:val="F0A0B060"/>
    <w:lvl w:ilvl="0" w:tplc="4C3AA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4907"/>
    <w:multiLevelType w:val="hybridMultilevel"/>
    <w:tmpl w:val="8BB4F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23262"/>
    <w:multiLevelType w:val="hybridMultilevel"/>
    <w:tmpl w:val="FDA2BBD6"/>
    <w:lvl w:ilvl="0" w:tplc="877AF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D0099"/>
    <w:multiLevelType w:val="hybridMultilevel"/>
    <w:tmpl w:val="23E0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322938">
    <w:abstractNumId w:val="0"/>
  </w:num>
  <w:num w:numId="2" w16cid:durableId="1580213736">
    <w:abstractNumId w:val="8"/>
  </w:num>
  <w:num w:numId="3" w16cid:durableId="1650476038">
    <w:abstractNumId w:val="4"/>
  </w:num>
  <w:num w:numId="4" w16cid:durableId="1952200248">
    <w:abstractNumId w:val="1"/>
  </w:num>
  <w:num w:numId="5" w16cid:durableId="256905328">
    <w:abstractNumId w:val="7"/>
  </w:num>
  <w:num w:numId="6" w16cid:durableId="864248590">
    <w:abstractNumId w:val="5"/>
  </w:num>
  <w:num w:numId="7" w16cid:durableId="1093357221">
    <w:abstractNumId w:val="6"/>
  </w:num>
  <w:num w:numId="8" w16cid:durableId="719717441">
    <w:abstractNumId w:val="3"/>
  </w:num>
  <w:num w:numId="9" w16cid:durableId="121322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688C"/>
    <w:rsid w:val="0000730D"/>
    <w:rsid w:val="00012122"/>
    <w:rsid w:val="00020734"/>
    <w:rsid w:val="00022577"/>
    <w:rsid w:val="000258A7"/>
    <w:rsid w:val="000261C3"/>
    <w:rsid w:val="0002691A"/>
    <w:rsid w:val="0003103C"/>
    <w:rsid w:val="00032B51"/>
    <w:rsid w:val="00035277"/>
    <w:rsid w:val="00036C49"/>
    <w:rsid w:val="00037668"/>
    <w:rsid w:val="0004521F"/>
    <w:rsid w:val="00046CD4"/>
    <w:rsid w:val="00051C5B"/>
    <w:rsid w:val="000520F4"/>
    <w:rsid w:val="00054E3B"/>
    <w:rsid w:val="00064EC9"/>
    <w:rsid w:val="00071177"/>
    <w:rsid w:val="0007547C"/>
    <w:rsid w:val="00075A94"/>
    <w:rsid w:val="000839F5"/>
    <w:rsid w:val="00083B95"/>
    <w:rsid w:val="00087658"/>
    <w:rsid w:val="000879AE"/>
    <w:rsid w:val="000934E9"/>
    <w:rsid w:val="000957BE"/>
    <w:rsid w:val="000A0EA4"/>
    <w:rsid w:val="000A2125"/>
    <w:rsid w:val="000A42DF"/>
    <w:rsid w:val="000A50FB"/>
    <w:rsid w:val="000A6F5F"/>
    <w:rsid w:val="000B46FA"/>
    <w:rsid w:val="000B56DA"/>
    <w:rsid w:val="000C073E"/>
    <w:rsid w:val="000C0AE8"/>
    <w:rsid w:val="000C5F58"/>
    <w:rsid w:val="000C65E0"/>
    <w:rsid w:val="000D15A7"/>
    <w:rsid w:val="000E18E3"/>
    <w:rsid w:val="000E28E3"/>
    <w:rsid w:val="000E5E9A"/>
    <w:rsid w:val="000F02AC"/>
    <w:rsid w:val="000F3FE8"/>
    <w:rsid w:val="000F4B4E"/>
    <w:rsid w:val="00102958"/>
    <w:rsid w:val="00102C4B"/>
    <w:rsid w:val="00103DE9"/>
    <w:rsid w:val="00104A24"/>
    <w:rsid w:val="001120F7"/>
    <w:rsid w:val="001147B8"/>
    <w:rsid w:val="00120283"/>
    <w:rsid w:val="00126A3E"/>
    <w:rsid w:val="0013021E"/>
    <w:rsid w:val="00132855"/>
    <w:rsid w:val="00152993"/>
    <w:rsid w:val="0015646A"/>
    <w:rsid w:val="00162BCA"/>
    <w:rsid w:val="001642C3"/>
    <w:rsid w:val="001700BE"/>
    <w:rsid w:val="00170297"/>
    <w:rsid w:val="001705F0"/>
    <w:rsid w:val="001738D9"/>
    <w:rsid w:val="001748A7"/>
    <w:rsid w:val="00185C0C"/>
    <w:rsid w:val="00191FA3"/>
    <w:rsid w:val="0019454A"/>
    <w:rsid w:val="00194801"/>
    <w:rsid w:val="00195E54"/>
    <w:rsid w:val="001A1C71"/>
    <w:rsid w:val="001A1D0F"/>
    <w:rsid w:val="001A227D"/>
    <w:rsid w:val="001A2F2E"/>
    <w:rsid w:val="001A7372"/>
    <w:rsid w:val="001B26F4"/>
    <w:rsid w:val="001B3548"/>
    <w:rsid w:val="001B554E"/>
    <w:rsid w:val="001C5BAE"/>
    <w:rsid w:val="001C5C47"/>
    <w:rsid w:val="001D5330"/>
    <w:rsid w:val="001D55D5"/>
    <w:rsid w:val="001E2032"/>
    <w:rsid w:val="001E409D"/>
    <w:rsid w:val="001E4512"/>
    <w:rsid w:val="001F11D1"/>
    <w:rsid w:val="001F1A49"/>
    <w:rsid w:val="001F4670"/>
    <w:rsid w:val="00207937"/>
    <w:rsid w:val="002115FB"/>
    <w:rsid w:val="00214392"/>
    <w:rsid w:val="00217CF9"/>
    <w:rsid w:val="00221B3E"/>
    <w:rsid w:val="00223593"/>
    <w:rsid w:val="0022434C"/>
    <w:rsid w:val="00225E8D"/>
    <w:rsid w:val="002261D6"/>
    <w:rsid w:val="00226C9D"/>
    <w:rsid w:val="002324D9"/>
    <w:rsid w:val="00235BE6"/>
    <w:rsid w:val="00237F13"/>
    <w:rsid w:val="00240BD8"/>
    <w:rsid w:val="002436E1"/>
    <w:rsid w:val="00245B42"/>
    <w:rsid w:val="00252673"/>
    <w:rsid w:val="002545A6"/>
    <w:rsid w:val="00257266"/>
    <w:rsid w:val="00260ADE"/>
    <w:rsid w:val="002617BA"/>
    <w:rsid w:val="00261AF5"/>
    <w:rsid w:val="00261EB9"/>
    <w:rsid w:val="002642F7"/>
    <w:rsid w:val="00265ED4"/>
    <w:rsid w:val="00267DF8"/>
    <w:rsid w:val="00272304"/>
    <w:rsid w:val="00273B82"/>
    <w:rsid w:val="00273F44"/>
    <w:rsid w:val="00273F5A"/>
    <w:rsid w:val="00274180"/>
    <w:rsid w:val="0027498A"/>
    <w:rsid w:val="002771E6"/>
    <w:rsid w:val="0028220B"/>
    <w:rsid w:val="00283129"/>
    <w:rsid w:val="0028597D"/>
    <w:rsid w:val="00285D95"/>
    <w:rsid w:val="00286126"/>
    <w:rsid w:val="002A0CED"/>
    <w:rsid w:val="002A2E04"/>
    <w:rsid w:val="002B1C8C"/>
    <w:rsid w:val="002B69D0"/>
    <w:rsid w:val="002C0055"/>
    <w:rsid w:val="002C1903"/>
    <w:rsid w:val="002C1CB0"/>
    <w:rsid w:val="002D33C1"/>
    <w:rsid w:val="002D3B90"/>
    <w:rsid w:val="002D3F3E"/>
    <w:rsid w:val="002E713D"/>
    <w:rsid w:val="002F184C"/>
    <w:rsid w:val="002F1AEB"/>
    <w:rsid w:val="002F660A"/>
    <w:rsid w:val="002F7CCA"/>
    <w:rsid w:val="00300220"/>
    <w:rsid w:val="003010C0"/>
    <w:rsid w:val="00301895"/>
    <w:rsid w:val="00301A66"/>
    <w:rsid w:val="00305883"/>
    <w:rsid w:val="0031063B"/>
    <w:rsid w:val="0032428B"/>
    <w:rsid w:val="00325ECF"/>
    <w:rsid w:val="00331F13"/>
    <w:rsid w:val="00332A97"/>
    <w:rsid w:val="003351F1"/>
    <w:rsid w:val="003359FF"/>
    <w:rsid w:val="00341ECC"/>
    <w:rsid w:val="00343092"/>
    <w:rsid w:val="00350C00"/>
    <w:rsid w:val="00362D36"/>
    <w:rsid w:val="003635DE"/>
    <w:rsid w:val="0036547D"/>
    <w:rsid w:val="00365DBB"/>
    <w:rsid w:val="00366113"/>
    <w:rsid w:val="003713CE"/>
    <w:rsid w:val="00373235"/>
    <w:rsid w:val="00377AB8"/>
    <w:rsid w:val="0039025C"/>
    <w:rsid w:val="00390F9F"/>
    <w:rsid w:val="00391C9A"/>
    <w:rsid w:val="00396E17"/>
    <w:rsid w:val="003A269A"/>
    <w:rsid w:val="003A4F81"/>
    <w:rsid w:val="003A52EA"/>
    <w:rsid w:val="003A69B0"/>
    <w:rsid w:val="003B0923"/>
    <w:rsid w:val="003B3B66"/>
    <w:rsid w:val="003B79DE"/>
    <w:rsid w:val="003B7D47"/>
    <w:rsid w:val="003C270C"/>
    <w:rsid w:val="003C37B8"/>
    <w:rsid w:val="003C405A"/>
    <w:rsid w:val="003C5B2F"/>
    <w:rsid w:val="003D0994"/>
    <w:rsid w:val="003D1A59"/>
    <w:rsid w:val="003D294E"/>
    <w:rsid w:val="003D41DE"/>
    <w:rsid w:val="003E009E"/>
    <w:rsid w:val="003E3581"/>
    <w:rsid w:val="003E51B2"/>
    <w:rsid w:val="003E6BEB"/>
    <w:rsid w:val="003E7D74"/>
    <w:rsid w:val="003F0431"/>
    <w:rsid w:val="003F1034"/>
    <w:rsid w:val="003F2279"/>
    <w:rsid w:val="003F2421"/>
    <w:rsid w:val="003F4FAE"/>
    <w:rsid w:val="003F59EF"/>
    <w:rsid w:val="003F6A2F"/>
    <w:rsid w:val="004046C4"/>
    <w:rsid w:val="00406E72"/>
    <w:rsid w:val="004114EA"/>
    <w:rsid w:val="004115CA"/>
    <w:rsid w:val="00411AF5"/>
    <w:rsid w:val="00411C9E"/>
    <w:rsid w:val="00412459"/>
    <w:rsid w:val="004125DE"/>
    <w:rsid w:val="00412A82"/>
    <w:rsid w:val="004167E7"/>
    <w:rsid w:val="00423824"/>
    <w:rsid w:val="0042715F"/>
    <w:rsid w:val="00427D2C"/>
    <w:rsid w:val="0043567D"/>
    <w:rsid w:val="00444494"/>
    <w:rsid w:val="00444EBF"/>
    <w:rsid w:val="00450CDF"/>
    <w:rsid w:val="00451862"/>
    <w:rsid w:val="00453940"/>
    <w:rsid w:val="004710D4"/>
    <w:rsid w:val="00471528"/>
    <w:rsid w:val="004755C2"/>
    <w:rsid w:val="0047789B"/>
    <w:rsid w:val="0048016A"/>
    <w:rsid w:val="00481FBC"/>
    <w:rsid w:val="0048279B"/>
    <w:rsid w:val="004843CA"/>
    <w:rsid w:val="0048742E"/>
    <w:rsid w:val="00496297"/>
    <w:rsid w:val="004A09F1"/>
    <w:rsid w:val="004A6956"/>
    <w:rsid w:val="004A747C"/>
    <w:rsid w:val="004B0BA6"/>
    <w:rsid w:val="004B7B90"/>
    <w:rsid w:val="004B7EFE"/>
    <w:rsid w:val="004C1488"/>
    <w:rsid w:val="004C1AB6"/>
    <w:rsid w:val="004C2123"/>
    <w:rsid w:val="004C2590"/>
    <w:rsid w:val="004C3106"/>
    <w:rsid w:val="004C3B13"/>
    <w:rsid w:val="004C56A7"/>
    <w:rsid w:val="004C617B"/>
    <w:rsid w:val="004C6602"/>
    <w:rsid w:val="004D37D7"/>
    <w:rsid w:val="004E0B88"/>
    <w:rsid w:val="004E2C19"/>
    <w:rsid w:val="004E7648"/>
    <w:rsid w:val="004F0FFF"/>
    <w:rsid w:val="004F16CC"/>
    <w:rsid w:val="004F2116"/>
    <w:rsid w:val="004F5DFF"/>
    <w:rsid w:val="00500CFF"/>
    <w:rsid w:val="00500F64"/>
    <w:rsid w:val="0050326C"/>
    <w:rsid w:val="005038D5"/>
    <w:rsid w:val="005073FF"/>
    <w:rsid w:val="00507FF4"/>
    <w:rsid w:val="00511268"/>
    <w:rsid w:val="00514A74"/>
    <w:rsid w:val="00515AC4"/>
    <w:rsid w:val="00517D85"/>
    <w:rsid w:val="00520837"/>
    <w:rsid w:val="005271F3"/>
    <w:rsid w:val="00530B33"/>
    <w:rsid w:val="00532F2B"/>
    <w:rsid w:val="00536030"/>
    <w:rsid w:val="0053743D"/>
    <w:rsid w:val="005409D5"/>
    <w:rsid w:val="0055032D"/>
    <w:rsid w:val="005536A9"/>
    <w:rsid w:val="00553E89"/>
    <w:rsid w:val="00557C1B"/>
    <w:rsid w:val="00563A94"/>
    <w:rsid w:val="0056457F"/>
    <w:rsid w:val="00571C6F"/>
    <w:rsid w:val="00575EC1"/>
    <w:rsid w:val="005802A5"/>
    <w:rsid w:val="0058140E"/>
    <w:rsid w:val="005905CB"/>
    <w:rsid w:val="00594C34"/>
    <w:rsid w:val="00595BB5"/>
    <w:rsid w:val="005A077E"/>
    <w:rsid w:val="005A246A"/>
    <w:rsid w:val="005A3807"/>
    <w:rsid w:val="005B378E"/>
    <w:rsid w:val="005B6FAE"/>
    <w:rsid w:val="005B7492"/>
    <w:rsid w:val="005C055E"/>
    <w:rsid w:val="005C0A3B"/>
    <w:rsid w:val="005D1CD6"/>
    <w:rsid w:val="005D284C"/>
    <w:rsid w:val="005D3FCA"/>
    <w:rsid w:val="005E08B9"/>
    <w:rsid w:val="005E67A2"/>
    <w:rsid w:val="005E7C99"/>
    <w:rsid w:val="005F11B3"/>
    <w:rsid w:val="005F13EC"/>
    <w:rsid w:val="005F2402"/>
    <w:rsid w:val="005F5C0A"/>
    <w:rsid w:val="00600A7C"/>
    <w:rsid w:val="00600F2C"/>
    <w:rsid w:val="00601C8D"/>
    <w:rsid w:val="00607F24"/>
    <w:rsid w:val="006159DC"/>
    <w:rsid w:val="0062470F"/>
    <w:rsid w:val="0062493C"/>
    <w:rsid w:val="0062542C"/>
    <w:rsid w:val="006262D3"/>
    <w:rsid w:val="00633E23"/>
    <w:rsid w:val="00641B64"/>
    <w:rsid w:val="006437DF"/>
    <w:rsid w:val="006502CB"/>
    <w:rsid w:val="006526BC"/>
    <w:rsid w:val="00655CD9"/>
    <w:rsid w:val="00657C89"/>
    <w:rsid w:val="00664255"/>
    <w:rsid w:val="0066789B"/>
    <w:rsid w:val="00673B94"/>
    <w:rsid w:val="00675C2C"/>
    <w:rsid w:val="00680AC6"/>
    <w:rsid w:val="006835D8"/>
    <w:rsid w:val="00693B7A"/>
    <w:rsid w:val="006A1059"/>
    <w:rsid w:val="006A5751"/>
    <w:rsid w:val="006B5668"/>
    <w:rsid w:val="006C1AB3"/>
    <w:rsid w:val="006C316E"/>
    <w:rsid w:val="006C3EE4"/>
    <w:rsid w:val="006C5465"/>
    <w:rsid w:val="006C58A3"/>
    <w:rsid w:val="006C78D9"/>
    <w:rsid w:val="006D00BD"/>
    <w:rsid w:val="006D0F7C"/>
    <w:rsid w:val="006D12CB"/>
    <w:rsid w:val="006D640F"/>
    <w:rsid w:val="006D6596"/>
    <w:rsid w:val="006E3CE3"/>
    <w:rsid w:val="006E3EB6"/>
    <w:rsid w:val="006F11B3"/>
    <w:rsid w:val="006F1859"/>
    <w:rsid w:val="007113C6"/>
    <w:rsid w:val="007134CA"/>
    <w:rsid w:val="00720A36"/>
    <w:rsid w:val="00720D84"/>
    <w:rsid w:val="00722A33"/>
    <w:rsid w:val="00722B98"/>
    <w:rsid w:val="007238F6"/>
    <w:rsid w:val="007255D2"/>
    <w:rsid w:val="007269C4"/>
    <w:rsid w:val="00731B89"/>
    <w:rsid w:val="0073248D"/>
    <w:rsid w:val="00732B0F"/>
    <w:rsid w:val="00734EAF"/>
    <w:rsid w:val="0073512F"/>
    <w:rsid w:val="0074209E"/>
    <w:rsid w:val="00752A1B"/>
    <w:rsid w:val="00757377"/>
    <w:rsid w:val="00760FA6"/>
    <w:rsid w:val="007709B5"/>
    <w:rsid w:val="00770A76"/>
    <w:rsid w:val="007813F4"/>
    <w:rsid w:val="00783911"/>
    <w:rsid w:val="00785D4A"/>
    <w:rsid w:val="00786604"/>
    <w:rsid w:val="00786ECE"/>
    <w:rsid w:val="007903FD"/>
    <w:rsid w:val="007948D8"/>
    <w:rsid w:val="00795416"/>
    <w:rsid w:val="00796528"/>
    <w:rsid w:val="007967F0"/>
    <w:rsid w:val="00797787"/>
    <w:rsid w:val="007A78D2"/>
    <w:rsid w:val="007B045B"/>
    <w:rsid w:val="007B2250"/>
    <w:rsid w:val="007B4BAA"/>
    <w:rsid w:val="007C02F6"/>
    <w:rsid w:val="007C0CA2"/>
    <w:rsid w:val="007C1AB5"/>
    <w:rsid w:val="007C4F8C"/>
    <w:rsid w:val="007C5618"/>
    <w:rsid w:val="007D37AF"/>
    <w:rsid w:val="007D5F8C"/>
    <w:rsid w:val="007D7376"/>
    <w:rsid w:val="007E0EDF"/>
    <w:rsid w:val="007E1B52"/>
    <w:rsid w:val="007E307C"/>
    <w:rsid w:val="007E6790"/>
    <w:rsid w:val="007E69ED"/>
    <w:rsid w:val="007F0BA0"/>
    <w:rsid w:val="007F2CA8"/>
    <w:rsid w:val="007F4D61"/>
    <w:rsid w:val="007F680C"/>
    <w:rsid w:val="007F7161"/>
    <w:rsid w:val="00807C5B"/>
    <w:rsid w:val="0081007A"/>
    <w:rsid w:val="00810862"/>
    <w:rsid w:val="008241E5"/>
    <w:rsid w:val="008248D8"/>
    <w:rsid w:val="008261DA"/>
    <w:rsid w:val="00826A72"/>
    <w:rsid w:val="008274FB"/>
    <w:rsid w:val="00833020"/>
    <w:rsid w:val="008348D9"/>
    <w:rsid w:val="008379E5"/>
    <w:rsid w:val="008424E8"/>
    <w:rsid w:val="00844584"/>
    <w:rsid w:val="00844D3E"/>
    <w:rsid w:val="008456E1"/>
    <w:rsid w:val="00845ACA"/>
    <w:rsid w:val="008528F8"/>
    <w:rsid w:val="0085559E"/>
    <w:rsid w:val="00857A33"/>
    <w:rsid w:val="00864106"/>
    <w:rsid w:val="00864F92"/>
    <w:rsid w:val="0087031A"/>
    <w:rsid w:val="008762CB"/>
    <w:rsid w:val="008808DC"/>
    <w:rsid w:val="00884829"/>
    <w:rsid w:val="00887488"/>
    <w:rsid w:val="00894B0F"/>
    <w:rsid w:val="00896B1B"/>
    <w:rsid w:val="00897BAE"/>
    <w:rsid w:val="008A266F"/>
    <w:rsid w:val="008B3286"/>
    <w:rsid w:val="008B4127"/>
    <w:rsid w:val="008B5775"/>
    <w:rsid w:val="008B6A2A"/>
    <w:rsid w:val="008C3CB6"/>
    <w:rsid w:val="008C7719"/>
    <w:rsid w:val="008D1C6D"/>
    <w:rsid w:val="008D4849"/>
    <w:rsid w:val="008E1629"/>
    <w:rsid w:val="008E2A07"/>
    <w:rsid w:val="008E4273"/>
    <w:rsid w:val="008E559E"/>
    <w:rsid w:val="008E5B98"/>
    <w:rsid w:val="008E6895"/>
    <w:rsid w:val="008F61AC"/>
    <w:rsid w:val="00900957"/>
    <w:rsid w:val="009032A4"/>
    <w:rsid w:val="00913B7E"/>
    <w:rsid w:val="0091431F"/>
    <w:rsid w:val="00916080"/>
    <w:rsid w:val="00921A68"/>
    <w:rsid w:val="00926AC7"/>
    <w:rsid w:val="009274ED"/>
    <w:rsid w:val="009300E4"/>
    <w:rsid w:val="009372DD"/>
    <w:rsid w:val="0094291D"/>
    <w:rsid w:val="00954012"/>
    <w:rsid w:val="00960706"/>
    <w:rsid w:val="00961D0F"/>
    <w:rsid w:val="00967BBC"/>
    <w:rsid w:val="00973FF6"/>
    <w:rsid w:val="00976DE6"/>
    <w:rsid w:val="00976DF0"/>
    <w:rsid w:val="009841A4"/>
    <w:rsid w:val="00986A1A"/>
    <w:rsid w:val="00991585"/>
    <w:rsid w:val="009922E2"/>
    <w:rsid w:val="009956B2"/>
    <w:rsid w:val="009A06F0"/>
    <w:rsid w:val="009B103C"/>
    <w:rsid w:val="009B5B5A"/>
    <w:rsid w:val="009B7C6B"/>
    <w:rsid w:val="009C7C20"/>
    <w:rsid w:val="009D0510"/>
    <w:rsid w:val="009D20AF"/>
    <w:rsid w:val="009D28BD"/>
    <w:rsid w:val="009D5766"/>
    <w:rsid w:val="009E1941"/>
    <w:rsid w:val="009E35E4"/>
    <w:rsid w:val="009E6534"/>
    <w:rsid w:val="009F003B"/>
    <w:rsid w:val="009F13A6"/>
    <w:rsid w:val="009F1B4C"/>
    <w:rsid w:val="009F5665"/>
    <w:rsid w:val="00A015C4"/>
    <w:rsid w:val="00A06643"/>
    <w:rsid w:val="00A06751"/>
    <w:rsid w:val="00A101EF"/>
    <w:rsid w:val="00A1052B"/>
    <w:rsid w:val="00A1164F"/>
    <w:rsid w:val="00A13D46"/>
    <w:rsid w:val="00A14D9C"/>
    <w:rsid w:val="00A15172"/>
    <w:rsid w:val="00A17083"/>
    <w:rsid w:val="00A216B0"/>
    <w:rsid w:val="00A21935"/>
    <w:rsid w:val="00A36F38"/>
    <w:rsid w:val="00A406FF"/>
    <w:rsid w:val="00A4155C"/>
    <w:rsid w:val="00A41CF6"/>
    <w:rsid w:val="00A42462"/>
    <w:rsid w:val="00A42F4A"/>
    <w:rsid w:val="00A45E1B"/>
    <w:rsid w:val="00A51D26"/>
    <w:rsid w:val="00A53D54"/>
    <w:rsid w:val="00A53FF8"/>
    <w:rsid w:val="00A5662D"/>
    <w:rsid w:val="00A60964"/>
    <w:rsid w:val="00A67963"/>
    <w:rsid w:val="00A7151E"/>
    <w:rsid w:val="00A72975"/>
    <w:rsid w:val="00A74169"/>
    <w:rsid w:val="00A768DD"/>
    <w:rsid w:val="00A81D06"/>
    <w:rsid w:val="00A82254"/>
    <w:rsid w:val="00A86656"/>
    <w:rsid w:val="00A87DF0"/>
    <w:rsid w:val="00A94535"/>
    <w:rsid w:val="00AA115D"/>
    <w:rsid w:val="00AA4187"/>
    <w:rsid w:val="00AA5ABB"/>
    <w:rsid w:val="00AA7543"/>
    <w:rsid w:val="00AA78AC"/>
    <w:rsid w:val="00AB15BE"/>
    <w:rsid w:val="00AB4F47"/>
    <w:rsid w:val="00AB7561"/>
    <w:rsid w:val="00AC2A68"/>
    <w:rsid w:val="00AD0108"/>
    <w:rsid w:val="00AD2A83"/>
    <w:rsid w:val="00AD4472"/>
    <w:rsid w:val="00AD4B5B"/>
    <w:rsid w:val="00AE4329"/>
    <w:rsid w:val="00AE4688"/>
    <w:rsid w:val="00AF3DCD"/>
    <w:rsid w:val="00AF41A0"/>
    <w:rsid w:val="00AF5AEC"/>
    <w:rsid w:val="00AF71D9"/>
    <w:rsid w:val="00B01F5E"/>
    <w:rsid w:val="00B0617F"/>
    <w:rsid w:val="00B07251"/>
    <w:rsid w:val="00B10365"/>
    <w:rsid w:val="00B145F9"/>
    <w:rsid w:val="00B265C4"/>
    <w:rsid w:val="00B31BBB"/>
    <w:rsid w:val="00B32AE2"/>
    <w:rsid w:val="00B33486"/>
    <w:rsid w:val="00B40445"/>
    <w:rsid w:val="00B4338F"/>
    <w:rsid w:val="00B44E02"/>
    <w:rsid w:val="00B45BAD"/>
    <w:rsid w:val="00B55E9A"/>
    <w:rsid w:val="00B67768"/>
    <w:rsid w:val="00B7350C"/>
    <w:rsid w:val="00B81D8E"/>
    <w:rsid w:val="00B82805"/>
    <w:rsid w:val="00B91DFC"/>
    <w:rsid w:val="00B922F2"/>
    <w:rsid w:val="00B93B9C"/>
    <w:rsid w:val="00B94AC6"/>
    <w:rsid w:val="00B94BD9"/>
    <w:rsid w:val="00B95C8E"/>
    <w:rsid w:val="00B96183"/>
    <w:rsid w:val="00BA450D"/>
    <w:rsid w:val="00BA72B8"/>
    <w:rsid w:val="00BB26B8"/>
    <w:rsid w:val="00BB33B8"/>
    <w:rsid w:val="00BD12BE"/>
    <w:rsid w:val="00BD5B03"/>
    <w:rsid w:val="00BE5B65"/>
    <w:rsid w:val="00BF517C"/>
    <w:rsid w:val="00BF5C32"/>
    <w:rsid w:val="00BF79C2"/>
    <w:rsid w:val="00C00F34"/>
    <w:rsid w:val="00C01D5E"/>
    <w:rsid w:val="00C0598D"/>
    <w:rsid w:val="00C069B9"/>
    <w:rsid w:val="00C10A18"/>
    <w:rsid w:val="00C10B1F"/>
    <w:rsid w:val="00C11956"/>
    <w:rsid w:val="00C127B0"/>
    <w:rsid w:val="00C140BC"/>
    <w:rsid w:val="00C158EE"/>
    <w:rsid w:val="00C1771C"/>
    <w:rsid w:val="00C3044C"/>
    <w:rsid w:val="00C315A7"/>
    <w:rsid w:val="00C34EE6"/>
    <w:rsid w:val="00C35908"/>
    <w:rsid w:val="00C4785C"/>
    <w:rsid w:val="00C510C1"/>
    <w:rsid w:val="00C513F0"/>
    <w:rsid w:val="00C53A41"/>
    <w:rsid w:val="00C602E5"/>
    <w:rsid w:val="00C609E6"/>
    <w:rsid w:val="00C71B42"/>
    <w:rsid w:val="00C748FD"/>
    <w:rsid w:val="00C83530"/>
    <w:rsid w:val="00C83AD1"/>
    <w:rsid w:val="00C85F24"/>
    <w:rsid w:val="00C878DA"/>
    <w:rsid w:val="00CA1CAF"/>
    <w:rsid w:val="00CA2638"/>
    <w:rsid w:val="00CB1AA3"/>
    <w:rsid w:val="00CB3B37"/>
    <w:rsid w:val="00CB68C0"/>
    <w:rsid w:val="00CB6AD1"/>
    <w:rsid w:val="00CB6B03"/>
    <w:rsid w:val="00CB6F45"/>
    <w:rsid w:val="00CC0BF5"/>
    <w:rsid w:val="00CD7829"/>
    <w:rsid w:val="00CE2EF0"/>
    <w:rsid w:val="00CE4039"/>
    <w:rsid w:val="00CF53AD"/>
    <w:rsid w:val="00CF5F5C"/>
    <w:rsid w:val="00D03D50"/>
    <w:rsid w:val="00D07297"/>
    <w:rsid w:val="00D07E54"/>
    <w:rsid w:val="00D13266"/>
    <w:rsid w:val="00D132CF"/>
    <w:rsid w:val="00D15639"/>
    <w:rsid w:val="00D17838"/>
    <w:rsid w:val="00D24B81"/>
    <w:rsid w:val="00D24DCF"/>
    <w:rsid w:val="00D26048"/>
    <w:rsid w:val="00D34243"/>
    <w:rsid w:val="00D35DB2"/>
    <w:rsid w:val="00D3661C"/>
    <w:rsid w:val="00D36C53"/>
    <w:rsid w:val="00D402FA"/>
    <w:rsid w:val="00D4046E"/>
    <w:rsid w:val="00D40A93"/>
    <w:rsid w:val="00D50236"/>
    <w:rsid w:val="00D50741"/>
    <w:rsid w:val="00D50F72"/>
    <w:rsid w:val="00D5259F"/>
    <w:rsid w:val="00D54E94"/>
    <w:rsid w:val="00D5702C"/>
    <w:rsid w:val="00D628E4"/>
    <w:rsid w:val="00D62FA0"/>
    <w:rsid w:val="00D74D87"/>
    <w:rsid w:val="00D77019"/>
    <w:rsid w:val="00D825C5"/>
    <w:rsid w:val="00D85E9A"/>
    <w:rsid w:val="00D912A0"/>
    <w:rsid w:val="00DB4521"/>
    <w:rsid w:val="00DB5A30"/>
    <w:rsid w:val="00DB60F9"/>
    <w:rsid w:val="00DB6186"/>
    <w:rsid w:val="00DC0C47"/>
    <w:rsid w:val="00DC1EC1"/>
    <w:rsid w:val="00DC47FE"/>
    <w:rsid w:val="00DC4A4E"/>
    <w:rsid w:val="00DD33A6"/>
    <w:rsid w:val="00DD4263"/>
    <w:rsid w:val="00DD4739"/>
    <w:rsid w:val="00DD51A0"/>
    <w:rsid w:val="00DD633C"/>
    <w:rsid w:val="00DD6D84"/>
    <w:rsid w:val="00DE3CF0"/>
    <w:rsid w:val="00DE5F33"/>
    <w:rsid w:val="00DE7153"/>
    <w:rsid w:val="00DE7724"/>
    <w:rsid w:val="00DF5082"/>
    <w:rsid w:val="00E0094A"/>
    <w:rsid w:val="00E01432"/>
    <w:rsid w:val="00E03471"/>
    <w:rsid w:val="00E036AC"/>
    <w:rsid w:val="00E043D9"/>
    <w:rsid w:val="00E04F48"/>
    <w:rsid w:val="00E07B54"/>
    <w:rsid w:val="00E11F78"/>
    <w:rsid w:val="00E11FFC"/>
    <w:rsid w:val="00E14065"/>
    <w:rsid w:val="00E25927"/>
    <w:rsid w:val="00E27C3A"/>
    <w:rsid w:val="00E33492"/>
    <w:rsid w:val="00E357C3"/>
    <w:rsid w:val="00E40E23"/>
    <w:rsid w:val="00E42650"/>
    <w:rsid w:val="00E433AC"/>
    <w:rsid w:val="00E43A3F"/>
    <w:rsid w:val="00E45FC1"/>
    <w:rsid w:val="00E50936"/>
    <w:rsid w:val="00E520CE"/>
    <w:rsid w:val="00E53982"/>
    <w:rsid w:val="00E578D3"/>
    <w:rsid w:val="00E61CEC"/>
    <w:rsid w:val="00E621E1"/>
    <w:rsid w:val="00E7022E"/>
    <w:rsid w:val="00E70F4B"/>
    <w:rsid w:val="00E733BB"/>
    <w:rsid w:val="00E74638"/>
    <w:rsid w:val="00E76BC2"/>
    <w:rsid w:val="00E8105B"/>
    <w:rsid w:val="00E81864"/>
    <w:rsid w:val="00E82620"/>
    <w:rsid w:val="00E9011C"/>
    <w:rsid w:val="00E93C36"/>
    <w:rsid w:val="00EA5690"/>
    <w:rsid w:val="00EB2D03"/>
    <w:rsid w:val="00EB3341"/>
    <w:rsid w:val="00EB5B7A"/>
    <w:rsid w:val="00EC55B3"/>
    <w:rsid w:val="00EE0CFE"/>
    <w:rsid w:val="00EE178C"/>
    <w:rsid w:val="00EE35C4"/>
    <w:rsid w:val="00EF0DE3"/>
    <w:rsid w:val="00EF3E07"/>
    <w:rsid w:val="00F004ED"/>
    <w:rsid w:val="00F01BD2"/>
    <w:rsid w:val="00F03355"/>
    <w:rsid w:val="00F04394"/>
    <w:rsid w:val="00F04866"/>
    <w:rsid w:val="00F05C54"/>
    <w:rsid w:val="00F075E1"/>
    <w:rsid w:val="00F16C5B"/>
    <w:rsid w:val="00F17B95"/>
    <w:rsid w:val="00F2450E"/>
    <w:rsid w:val="00F2532E"/>
    <w:rsid w:val="00F26F75"/>
    <w:rsid w:val="00F31742"/>
    <w:rsid w:val="00F37D05"/>
    <w:rsid w:val="00F43F19"/>
    <w:rsid w:val="00F51350"/>
    <w:rsid w:val="00F53D1E"/>
    <w:rsid w:val="00F6006C"/>
    <w:rsid w:val="00F60C79"/>
    <w:rsid w:val="00F60D05"/>
    <w:rsid w:val="00F6161E"/>
    <w:rsid w:val="00F6257B"/>
    <w:rsid w:val="00F63C73"/>
    <w:rsid w:val="00F646FD"/>
    <w:rsid w:val="00F64AC7"/>
    <w:rsid w:val="00F64E6A"/>
    <w:rsid w:val="00F66699"/>
    <w:rsid w:val="00F6745E"/>
    <w:rsid w:val="00F70A81"/>
    <w:rsid w:val="00F714F9"/>
    <w:rsid w:val="00F73188"/>
    <w:rsid w:val="00F745C1"/>
    <w:rsid w:val="00F76AA9"/>
    <w:rsid w:val="00F94F7D"/>
    <w:rsid w:val="00F96FB2"/>
    <w:rsid w:val="00FA2837"/>
    <w:rsid w:val="00FA7BA3"/>
    <w:rsid w:val="00FB51D8"/>
    <w:rsid w:val="00FB5828"/>
    <w:rsid w:val="00FC169E"/>
    <w:rsid w:val="00FC1E77"/>
    <w:rsid w:val="00FC58BE"/>
    <w:rsid w:val="00FC762E"/>
    <w:rsid w:val="00FD08E8"/>
    <w:rsid w:val="00FD3605"/>
    <w:rsid w:val="00FD43BF"/>
    <w:rsid w:val="00FD47FE"/>
    <w:rsid w:val="00FD4C7C"/>
    <w:rsid w:val="00FD71A8"/>
    <w:rsid w:val="00FD71E4"/>
    <w:rsid w:val="00FE5B3D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0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5F11B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locked/>
    <w:rsid w:val="005F11B3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729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56E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FootnoteText">
    <w:name w:val="footnote text"/>
    <w:basedOn w:val="Normal"/>
    <w:link w:val="FootnoteTextChar"/>
    <w:rsid w:val="002F1A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1AEB"/>
  </w:style>
  <w:style w:type="character" w:styleId="FootnoteReference">
    <w:name w:val="footnote reference"/>
    <w:basedOn w:val="DefaultParagraphFont"/>
    <w:uiPriority w:val="99"/>
    <w:rsid w:val="002F1AE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24B81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F0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D23A-AA28-4796-8807-597EC94B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Links>
    <vt:vector size="12" baseType="variant"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mailto:Thomas.burke@rwe.com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2024-01-23T19:33:00Z</dcterms:created>
  <dcterms:modified xsi:type="dcterms:W3CDTF">2024-01-23T19:34:00Z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2024-01-23T19:33:56Z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959f2c02-34d0-4879-9cb2-05db93aab003</vt:lpwstr>
  </property>
  <property fmtid="{D5CDD505-2E9C-101B-9397-08002B2CF9AE}" pid="8" name="MSIP_Label_7084cbda-52b8-46fb-a7b7-cb5bd465ed85_ContentBits">
    <vt:lpwstr>0</vt:lpwstr>
  </property>
</Properties>
</file>