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0792F3" w14:textId="77777777" w:rsidR="00910542" w:rsidRDefault="00910542" w:rsidP="006A291D">
      <w:pPr>
        <w:jc w:val="right"/>
      </w:pPr>
    </w:p>
    <w:p w14:paraId="259D38C4" w14:textId="77777777" w:rsidR="006A291D" w:rsidRDefault="006A291D" w:rsidP="006A291D">
      <w:pPr>
        <w:jc w:val="right"/>
      </w:pPr>
    </w:p>
    <w:p w14:paraId="1B976B6E" w14:textId="77777777" w:rsidR="006A291D" w:rsidRDefault="006A291D" w:rsidP="006A291D">
      <w:pPr>
        <w:jc w:val="right"/>
      </w:pPr>
    </w:p>
    <w:p w14:paraId="1B012598" w14:textId="77777777" w:rsidR="006A291D" w:rsidRDefault="006A291D" w:rsidP="006A291D">
      <w:pPr>
        <w:jc w:val="right"/>
      </w:pPr>
    </w:p>
    <w:p w14:paraId="160BE867" w14:textId="2F714FDD" w:rsidR="006A291D" w:rsidRDefault="00767A2C" w:rsidP="006A291D">
      <w:pPr>
        <w:jc w:val="right"/>
      </w:pPr>
      <w:r>
        <w:rPr>
          <w:noProof/>
        </w:rPr>
        <w:drawing>
          <wp:inline distT="0" distB="0" distL="0" distR="0" wp14:anchorId="29119865" wp14:editId="44104089">
            <wp:extent cx="1024128" cy="48463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dark-241x114.png"/>
                    <pic:cNvPicPr/>
                  </pic:nvPicPr>
                  <pic:blipFill>
                    <a:blip r:embed="rId8">
                      <a:extLst>
                        <a:ext uri="{28A0092B-C50C-407E-A947-70E740481C1C}">
                          <a14:useLocalDpi xmlns:a14="http://schemas.microsoft.com/office/drawing/2010/main" val="0"/>
                        </a:ext>
                      </a:extLst>
                    </a:blip>
                    <a:stretch>
                      <a:fillRect/>
                    </a:stretch>
                  </pic:blipFill>
                  <pic:spPr>
                    <a:xfrm>
                      <a:off x="0" y="0"/>
                      <a:ext cx="1024128" cy="484632"/>
                    </a:xfrm>
                    <a:prstGeom prst="rect">
                      <a:avLst/>
                    </a:prstGeom>
                  </pic:spPr>
                </pic:pic>
              </a:graphicData>
            </a:graphic>
          </wp:inline>
        </w:drawing>
      </w:r>
    </w:p>
    <w:p w14:paraId="61DF6306" w14:textId="7BD7975A" w:rsidR="006A291D" w:rsidRPr="005E55EC" w:rsidRDefault="00EC1261" w:rsidP="006A291D">
      <w:pPr>
        <w:pStyle w:val="spacer"/>
        <w:spacing w:before="8000"/>
        <w:jc w:val="right"/>
        <w:rPr>
          <w:rFonts w:ascii="Times New Roman" w:hAnsi="Times New Roman" w:cs="Times New Roman"/>
          <w:b/>
          <w:sz w:val="20"/>
          <w:szCs w:val="20"/>
        </w:rPr>
      </w:pPr>
      <w:r>
        <w:rPr>
          <w:b/>
          <w:sz w:val="36"/>
          <w:szCs w:val="36"/>
        </w:rPr>
        <w:tab/>
      </w:r>
      <w:r>
        <w:rPr>
          <w:b/>
          <w:sz w:val="36"/>
          <w:szCs w:val="36"/>
        </w:rPr>
        <w:tab/>
      </w:r>
      <w:r w:rsidR="00EE6B4C">
        <w:rPr>
          <w:rFonts w:ascii="Times New Roman" w:hAnsi="Times New Roman" w:cs="Times New Roman"/>
          <w:b/>
          <w:sz w:val="36"/>
          <w:szCs w:val="36"/>
        </w:rPr>
        <w:t>202</w:t>
      </w:r>
      <w:r w:rsidR="00934F8F">
        <w:rPr>
          <w:rFonts w:ascii="Times New Roman" w:hAnsi="Times New Roman" w:cs="Times New Roman"/>
          <w:b/>
          <w:sz w:val="36"/>
          <w:szCs w:val="36"/>
        </w:rPr>
        <w:t>4</w:t>
      </w:r>
      <w:r w:rsidR="006A291D" w:rsidRPr="005E55EC">
        <w:rPr>
          <w:rFonts w:ascii="Times New Roman" w:hAnsi="Times New Roman" w:cs="Times New Roman"/>
          <w:b/>
          <w:sz w:val="36"/>
          <w:szCs w:val="36"/>
        </w:rPr>
        <w:t xml:space="preserve"> ERCOT </w:t>
      </w:r>
      <w:r w:rsidR="009A0382">
        <w:rPr>
          <w:rFonts w:ascii="Times New Roman" w:hAnsi="Times New Roman" w:cs="Times New Roman"/>
          <w:b/>
          <w:sz w:val="36"/>
          <w:szCs w:val="36"/>
        </w:rPr>
        <w:t xml:space="preserve">System </w:t>
      </w:r>
      <w:r w:rsidR="006A291D" w:rsidRPr="005E55EC">
        <w:rPr>
          <w:rFonts w:ascii="Times New Roman" w:hAnsi="Times New Roman" w:cs="Times New Roman"/>
          <w:b/>
          <w:sz w:val="36"/>
          <w:szCs w:val="36"/>
        </w:rPr>
        <w:t>Planning</w:t>
      </w:r>
      <w:r w:rsidR="006A291D" w:rsidRPr="005E55EC">
        <w:rPr>
          <w:rFonts w:ascii="Times New Roman" w:hAnsi="Times New Roman" w:cs="Times New Roman"/>
          <w:b/>
          <w:sz w:val="36"/>
          <w:szCs w:val="36"/>
        </w:rPr>
        <w:br/>
      </w:r>
    </w:p>
    <w:p w14:paraId="51E6D271" w14:textId="3E21D8E9" w:rsidR="006A291D" w:rsidRPr="005E55EC" w:rsidRDefault="006A291D" w:rsidP="006A291D">
      <w:pPr>
        <w:widowControl w:val="0"/>
        <w:jc w:val="right"/>
        <w:rPr>
          <w:b/>
          <w:sz w:val="36"/>
          <w:szCs w:val="36"/>
        </w:rPr>
      </w:pPr>
      <w:r w:rsidRPr="005E55EC">
        <w:rPr>
          <w:b/>
          <w:sz w:val="36"/>
          <w:szCs w:val="36"/>
        </w:rPr>
        <w:t>Long-Term Hourly Peak Demand and Energy Forecast</w:t>
      </w:r>
      <w:r w:rsidR="00084016">
        <w:rPr>
          <w:b/>
          <w:sz w:val="36"/>
          <w:szCs w:val="36"/>
        </w:rPr>
        <w:t xml:space="preserve"> Mid-Year Update</w:t>
      </w:r>
    </w:p>
    <w:p w14:paraId="1F241D28" w14:textId="7F9E31CA" w:rsidR="006A291D" w:rsidRPr="005E55EC" w:rsidRDefault="00C6138A" w:rsidP="006A291D">
      <w:pPr>
        <w:pStyle w:val="spacer"/>
        <w:widowControl w:val="0"/>
        <w:spacing w:before="240"/>
        <w:jc w:val="right"/>
        <w:rPr>
          <w:rFonts w:ascii="Times New Roman" w:hAnsi="Times New Roman" w:cs="Times New Roman"/>
          <w:b/>
          <w:sz w:val="28"/>
          <w:szCs w:val="28"/>
        </w:rPr>
      </w:pPr>
      <w:r>
        <w:rPr>
          <w:rFonts w:ascii="Times New Roman" w:hAnsi="Times New Roman" w:cs="Times New Roman"/>
          <w:b/>
          <w:sz w:val="28"/>
          <w:szCs w:val="28"/>
        </w:rPr>
        <w:t>J</w:t>
      </w:r>
      <w:r w:rsidR="009E4A83">
        <w:rPr>
          <w:rFonts w:ascii="Times New Roman" w:hAnsi="Times New Roman" w:cs="Times New Roman"/>
          <w:b/>
          <w:sz w:val="28"/>
          <w:szCs w:val="28"/>
        </w:rPr>
        <w:t>uly</w:t>
      </w:r>
      <w:r w:rsidR="009B37A9" w:rsidRPr="009B37A9">
        <w:rPr>
          <w:rFonts w:ascii="Times New Roman" w:hAnsi="Times New Roman" w:cs="Times New Roman"/>
          <w:b/>
          <w:sz w:val="28"/>
          <w:szCs w:val="28"/>
        </w:rPr>
        <w:t xml:space="preserve"> </w:t>
      </w:r>
      <w:r>
        <w:rPr>
          <w:rFonts w:ascii="Times New Roman" w:hAnsi="Times New Roman" w:cs="Times New Roman"/>
          <w:b/>
          <w:sz w:val="28"/>
          <w:szCs w:val="28"/>
        </w:rPr>
        <w:t>1</w:t>
      </w:r>
      <w:r w:rsidR="009E4A83">
        <w:rPr>
          <w:rFonts w:ascii="Times New Roman" w:hAnsi="Times New Roman" w:cs="Times New Roman"/>
          <w:b/>
          <w:sz w:val="28"/>
          <w:szCs w:val="28"/>
        </w:rPr>
        <w:t>8</w:t>
      </w:r>
      <w:r w:rsidR="009B37A9" w:rsidRPr="009B37A9">
        <w:rPr>
          <w:rFonts w:ascii="Times New Roman" w:hAnsi="Times New Roman" w:cs="Times New Roman"/>
          <w:b/>
          <w:sz w:val="28"/>
          <w:szCs w:val="28"/>
        </w:rPr>
        <w:t>, 202</w:t>
      </w:r>
      <w:r>
        <w:rPr>
          <w:rFonts w:ascii="Times New Roman" w:hAnsi="Times New Roman" w:cs="Times New Roman"/>
          <w:b/>
          <w:sz w:val="28"/>
          <w:szCs w:val="28"/>
        </w:rPr>
        <w:t>4</w:t>
      </w:r>
    </w:p>
    <w:p w14:paraId="477F54C8" w14:textId="77777777" w:rsidR="006A291D" w:rsidRPr="00AE70F7" w:rsidRDefault="007A21C4" w:rsidP="006A291D">
      <w:pPr>
        <w:pStyle w:val="spacer"/>
        <w:widowControl w:val="0"/>
        <w:spacing w:before="240"/>
        <w:jc w:val="right"/>
        <w:rPr>
          <w:sz w:val="24"/>
          <w:szCs w:val="24"/>
        </w:rPr>
      </w:pPr>
      <w:r>
        <w:rPr>
          <w:sz w:val="24"/>
          <w:szCs w:val="24"/>
        </w:rPr>
        <w:t xml:space="preserve"> </w:t>
      </w:r>
    </w:p>
    <w:p w14:paraId="7AE460E8" w14:textId="77777777" w:rsidR="006A291D" w:rsidRPr="00C7592F" w:rsidRDefault="006A291D" w:rsidP="006A291D">
      <w:pPr>
        <w:pStyle w:val="body2"/>
      </w:pPr>
    </w:p>
    <w:p w14:paraId="2666A5D6" w14:textId="77777777" w:rsidR="00010EB9" w:rsidRDefault="001F0137" w:rsidP="00512C40">
      <w:pPr>
        <w:spacing w:line="276" w:lineRule="auto"/>
        <w:jc w:val="center"/>
        <w:rPr>
          <w:b/>
          <w:sz w:val="36"/>
          <w:szCs w:val="36"/>
        </w:rPr>
      </w:pPr>
      <w:r>
        <w:rPr>
          <w:b/>
          <w:sz w:val="36"/>
          <w:szCs w:val="36"/>
        </w:rPr>
        <w:br w:type="page"/>
      </w:r>
    </w:p>
    <w:p w14:paraId="52131BD3" w14:textId="77777777" w:rsidR="00A90607" w:rsidRDefault="00A90607" w:rsidP="00512C40">
      <w:pPr>
        <w:spacing w:line="276" w:lineRule="auto"/>
        <w:jc w:val="center"/>
        <w:rPr>
          <w:b/>
          <w:u w:val="single"/>
        </w:rPr>
      </w:pPr>
    </w:p>
    <w:p w14:paraId="29559023" w14:textId="69D95808" w:rsidR="00575663" w:rsidRPr="0066626C" w:rsidRDefault="00575663" w:rsidP="00512C40">
      <w:pPr>
        <w:spacing w:line="276" w:lineRule="auto"/>
        <w:jc w:val="center"/>
        <w:rPr>
          <w:b/>
          <w:u w:val="single"/>
        </w:rPr>
      </w:pPr>
      <w:r w:rsidRPr="0066626C">
        <w:rPr>
          <w:b/>
          <w:u w:val="single"/>
        </w:rPr>
        <w:t>Executive Summary</w:t>
      </w:r>
    </w:p>
    <w:p w14:paraId="52875F90" w14:textId="77777777" w:rsidR="00575663" w:rsidRPr="0066626C" w:rsidRDefault="00575663" w:rsidP="006812D4">
      <w:pPr>
        <w:pStyle w:val="StyleLinespacingMultiple115li"/>
        <w:rPr>
          <w:szCs w:val="24"/>
        </w:rPr>
      </w:pPr>
    </w:p>
    <w:p w14:paraId="2E69F0C7" w14:textId="69ADAFEC" w:rsidR="003839C0" w:rsidRDefault="003F7EBE" w:rsidP="006812D4">
      <w:pPr>
        <w:pStyle w:val="StyleLinespacingMultiple115li"/>
      </w:pPr>
      <w:bookmarkStart w:id="0" w:name="OLE_LINK3"/>
      <w:bookmarkStart w:id="1" w:name="OLE_LINK4"/>
      <w:r>
        <w:rPr>
          <w:szCs w:val="24"/>
        </w:rPr>
        <w:t>The 202</w:t>
      </w:r>
      <w:r w:rsidR="00934F8F">
        <w:rPr>
          <w:szCs w:val="24"/>
        </w:rPr>
        <w:t>4</w:t>
      </w:r>
      <w:r w:rsidR="00320C0F" w:rsidRPr="0066626C">
        <w:rPr>
          <w:szCs w:val="24"/>
        </w:rPr>
        <w:t xml:space="preserve"> Long-Term Demand and Energy</w:t>
      </w:r>
      <w:r w:rsidR="00320C0F" w:rsidRPr="00512C40">
        <w:t xml:space="preserve"> Forecast (LTDEF) for the ERCOT region</w:t>
      </w:r>
      <w:r w:rsidR="00C146BB">
        <w:t xml:space="preserve"> </w:t>
      </w:r>
      <w:r w:rsidR="00084016">
        <w:t xml:space="preserve">was published in January 2024. ERCOT updated this forecast by including contracted loads and officer letter loads that are projected to account for significant growth to ERCOT demand. This updated forecast </w:t>
      </w:r>
      <w:r w:rsidR="00320C0F" w:rsidRPr="00512C40">
        <w:t>is</w:t>
      </w:r>
      <w:r w:rsidR="00C146BB">
        <w:t xml:space="preserve"> </w:t>
      </w:r>
      <w:r w:rsidR="00320C0F" w:rsidRPr="00512C40">
        <w:t xml:space="preserve">presented in this report, </w:t>
      </w:r>
      <w:r w:rsidR="00403C9B">
        <w:t>which</w:t>
      </w:r>
      <w:r w:rsidR="00C146BB">
        <w:t xml:space="preserve"> includes</w:t>
      </w:r>
      <w:r w:rsidR="00403C9B">
        <w:t xml:space="preserve"> information about</w:t>
      </w:r>
      <w:r w:rsidR="00C146BB">
        <w:t xml:space="preserve"> </w:t>
      </w:r>
      <w:r w:rsidR="00320C0F" w:rsidRPr="00512C40">
        <w:t>the methodology, assumptions, and data used</w:t>
      </w:r>
      <w:r w:rsidR="00C146BB">
        <w:t xml:space="preserve"> to</w:t>
      </w:r>
      <w:r w:rsidR="00320C0F" w:rsidRPr="00512C40">
        <w:t xml:space="preserve"> creat</w:t>
      </w:r>
      <w:r w:rsidR="00C146BB">
        <w:t>e</w:t>
      </w:r>
      <w:r w:rsidR="00320C0F" w:rsidRPr="00512C40">
        <w:t xml:space="preserve"> th</w:t>
      </w:r>
      <w:r w:rsidR="007E0019">
        <w:t>e</w:t>
      </w:r>
      <w:r w:rsidR="00320C0F" w:rsidRPr="00512C40">
        <w:t xml:space="preserve"> forecast</w:t>
      </w:r>
      <w:r w:rsidR="00C87A00">
        <w:t xml:space="preserve">. </w:t>
      </w:r>
      <w:r w:rsidR="00320C0F" w:rsidRPr="00512C40">
        <w:t xml:space="preserve">This forecast is based on </w:t>
      </w:r>
      <w:r w:rsidR="00DA1FDD">
        <w:t xml:space="preserve">a set of econometric </w:t>
      </w:r>
      <w:r w:rsidR="00320C0F" w:rsidRPr="00512C40">
        <w:t xml:space="preserve">models describing the hourly load in the region as a function of </w:t>
      </w:r>
      <w:r w:rsidR="00FB4C27">
        <w:t>the number of premises in various customer classes (</w:t>
      </w:r>
      <w:r w:rsidR="00856BA7" w:rsidRPr="00512C40">
        <w:t xml:space="preserve">e.g., </w:t>
      </w:r>
      <w:r w:rsidR="00FB4C27">
        <w:t xml:space="preserve">residential, </w:t>
      </w:r>
      <w:r w:rsidR="00FB4C27" w:rsidRPr="00720A7F">
        <w:t>business,</w:t>
      </w:r>
      <w:r w:rsidR="00FB4C27">
        <w:t xml:space="preserve"> and industrial), </w:t>
      </w:r>
      <w:r w:rsidR="00320C0F" w:rsidRPr="00512C40">
        <w:t xml:space="preserve">weather variables (e.g., </w:t>
      </w:r>
      <w:r w:rsidR="00777DCE">
        <w:t xml:space="preserve">various </w:t>
      </w:r>
      <w:r w:rsidR="00FB4C27">
        <w:t>temperature</w:t>
      </w:r>
      <w:r w:rsidR="00777DCE">
        <w:t xml:space="preserve"> values</w:t>
      </w:r>
      <w:r w:rsidR="00320C0F" w:rsidRPr="00512C40">
        <w:t>)</w:t>
      </w:r>
      <w:r w:rsidR="00403C9B">
        <w:t>,</w:t>
      </w:r>
      <w:r w:rsidR="00FB4C27">
        <w:t xml:space="preserve"> and calendar variables (</w:t>
      </w:r>
      <w:r w:rsidR="00856BA7" w:rsidRPr="00512C40">
        <w:t xml:space="preserve">e.g., </w:t>
      </w:r>
      <w:r w:rsidR="00B21E34">
        <w:t>day of week and</w:t>
      </w:r>
      <w:r w:rsidR="00FB4C27">
        <w:t xml:space="preserve"> holiday</w:t>
      </w:r>
      <w:r w:rsidR="00B21E34">
        <w:t>s</w:t>
      </w:r>
      <w:r w:rsidR="00FB4C27">
        <w:t>)</w:t>
      </w:r>
      <w:r w:rsidR="00C87A00">
        <w:t xml:space="preserve">. </w:t>
      </w:r>
      <w:r w:rsidR="000F4683">
        <w:t>The p</w:t>
      </w:r>
      <w:r w:rsidR="00FB4C27">
        <w:t xml:space="preserve">remise forecasts </w:t>
      </w:r>
      <w:r w:rsidR="000F4683">
        <w:t xml:space="preserve">that drive growth in the LTDEF </w:t>
      </w:r>
      <w:r w:rsidR="00FB4C27">
        <w:t xml:space="preserve">are </w:t>
      </w:r>
      <w:r w:rsidR="000F4683">
        <w:t xml:space="preserve">created using </w:t>
      </w:r>
      <w:r w:rsidR="00FB4C27">
        <w:t xml:space="preserve">a set of econometric autoregressive models (AR1) and are based on </w:t>
      </w:r>
      <w:r w:rsidR="00FB4C27" w:rsidRPr="00512C40">
        <w:t>certain economic (e.g., non</w:t>
      </w:r>
      <w:r w:rsidR="00856BA7">
        <w:t>-</w:t>
      </w:r>
      <w:r w:rsidR="00FB4C27" w:rsidRPr="00512C40">
        <w:t>farm payroll employment</w:t>
      </w:r>
      <w:r w:rsidR="00FB4C27">
        <w:t>, housing stock,</w:t>
      </w:r>
      <w:r w:rsidR="00B21E34">
        <w:t xml:space="preserve"> and</w:t>
      </w:r>
      <w:r w:rsidR="00FB4C27">
        <w:t xml:space="preserve"> population</w:t>
      </w:r>
      <w:r w:rsidR="00FB4C27" w:rsidRPr="00512C40">
        <w:t>)</w:t>
      </w:r>
      <w:r w:rsidR="00FB4C27">
        <w:t xml:space="preserve"> data</w:t>
      </w:r>
      <w:r w:rsidR="00C87A00">
        <w:t xml:space="preserve">. </w:t>
      </w:r>
      <w:r w:rsidR="00DA1FDD">
        <w:t>A county</w:t>
      </w:r>
      <w:r w:rsidR="00856BA7">
        <w:t>-</w:t>
      </w:r>
      <w:r w:rsidR="00DA1FDD">
        <w:t>level forecast of e</w:t>
      </w:r>
      <w:r w:rsidR="00320C0F" w:rsidRPr="00512C40">
        <w:t xml:space="preserve">conomic and demographic data </w:t>
      </w:r>
      <w:r w:rsidR="00DA1FDD">
        <w:t>was</w:t>
      </w:r>
      <w:r w:rsidR="00320C0F" w:rsidRPr="00512C40">
        <w:t xml:space="preserve"> obtained </w:t>
      </w:r>
      <w:r w:rsidR="00DA1FDD">
        <w:t>from</w:t>
      </w:r>
      <w:r w:rsidR="0051263F">
        <w:t xml:space="preserve"> Moody’s</w:t>
      </w:r>
      <w:r w:rsidR="00C87A00">
        <w:t>.</w:t>
      </w:r>
      <w:bookmarkEnd w:id="0"/>
      <w:bookmarkEnd w:id="1"/>
      <w:r w:rsidR="00507E77">
        <w:t xml:space="preserve"> This</w:t>
      </w:r>
      <w:r w:rsidR="00507E77" w:rsidRPr="00507E77">
        <w:t xml:space="preserve"> forecast </w:t>
      </w:r>
      <w:r w:rsidR="003F2825">
        <w:t xml:space="preserve">is the sum of the </w:t>
      </w:r>
      <w:r w:rsidR="00507E77" w:rsidRPr="00507E77">
        <w:t xml:space="preserve">base </w:t>
      </w:r>
      <w:r w:rsidR="00507E77">
        <w:t xml:space="preserve">economic </w:t>
      </w:r>
      <w:r w:rsidR="00507E77" w:rsidRPr="00507E77">
        <w:t>load growth</w:t>
      </w:r>
      <w:r w:rsidR="003F2825">
        <w:t xml:space="preserve">, electric vehicle forecast, large flexible load forecast, signed contracts and officer letter projections provided by TSPs that account for significant large industrial growth and the subtraction of </w:t>
      </w:r>
      <w:r w:rsidR="00773ED7">
        <w:t>the</w:t>
      </w:r>
      <w:r w:rsidR="003F2825">
        <w:t xml:space="preserve"> solar PV forecast.</w:t>
      </w:r>
      <w:r w:rsidR="00507E77" w:rsidRPr="00507E77">
        <w:t xml:space="preserve"> </w:t>
      </w:r>
    </w:p>
    <w:p w14:paraId="4CF9899F" w14:textId="77777777" w:rsidR="00B32550" w:rsidRDefault="00B32550" w:rsidP="006812D4">
      <w:pPr>
        <w:pStyle w:val="StyleLinespacingMultiple115li"/>
      </w:pPr>
    </w:p>
    <w:p w14:paraId="69B101F6" w14:textId="3CDAAD04" w:rsidR="006C7518" w:rsidRDefault="003F7EBE" w:rsidP="00B32550">
      <w:pPr>
        <w:pStyle w:val="StyleLinespacingMultiple115li"/>
      </w:pPr>
      <w:r>
        <w:t>As shown in Figure 1, the 202</w:t>
      </w:r>
      <w:r w:rsidR="001D1732">
        <w:t>4</w:t>
      </w:r>
      <w:r w:rsidR="00B32550" w:rsidRPr="00512C40">
        <w:t xml:space="preserve"> LTDEF depicts </w:t>
      </w:r>
      <w:r w:rsidR="00B32550">
        <w:t>system</w:t>
      </w:r>
      <w:r w:rsidR="00084016">
        <w:t xml:space="preserve"> summer</w:t>
      </w:r>
      <w:r w:rsidR="00B32550">
        <w:t xml:space="preserve"> peak demand increasing at an average annual growth r</w:t>
      </w:r>
      <w:r w:rsidR="008A6CE0">
        <w:t xml:space="preserve">ate (AAGR) of approximately </w:t>
      </w:r>
      <w:r w:rsidR="006B428B">
        <w:t>6</w:t>
      </w:r>
      <w:r w:rsidR="008A6CE0">
        <w:t>.</w:t>
      </w:r>
      <w:r w:rsidR="006B428B">
        <w:t>8</w:t>
      </w:r>
      <w:r w:rsidR="008A6CE0">
        <w:t>% from 202</w:t>
      </w:r>
      <w:r w:rsidR="00DF5847">
        <w:t>4</w:t>
      </w:r>
      <w:r w:rsidR="008A6CE0">
        <w:t>-203</w:t>
      </w:r>
      <w:r w:rsidR="00DF5847">
        <w:t>3</w:t>
      </w:r>
      <w:r w:rsidR="00D87C3C">
        <w:t>. This forecast assumes</w:t>
      </w:r>
      <w:r w:rsidR="00084016">
        <w:t xml:space="preserve"> average summer weather conditions and also</w:t>
      </w:r>
      <w:r w:rsidR="007058A2">
        <w:t xml:space="preserve"> that</w:t>
      </w:r>
      <w:r w:rsidR="00084016">
        <w:t xml:space="preserve"> existing and planned</w:t>
      </w:r>
      <w:r w:rsidR="00DF5847">
        <w:t xml:space="preserve"> </w:t>
      </w:r>
      <w:r w:rsidR="00D87C3C">
        <w:t>Large Flexible Loads (</w:t>
      </w:r>
      <w:r w:rsidR="00DF5847">
        <w:t>LFL</w:t>
      </w:r>
      <w:r w:rsidR="00D87C3C">
        <w:t>)</w:t>
      </w:r>
      <w:r w:rsidR="00DF5847">
        <w:t xml:space="preserve"> reduce</w:t>
      </w:r>
      <w:r w:rsidR="00D87C3C">
        <w:t xml:space="preserve"> consumption during summer peak hours</w:t>
      </w:r>
      <w:r w:rsidR="00DF5847">
        <w:t xml:space="preserve"> to 15%</w:t>
      </w:r>
      <w:r w:rsidR="00D87C3C">
        <w:t xml:space="preserve"> of their normal consumption</w:t>
      </w:r>
      <w:r w:rsidR="00B32550">
        <w:t>.</w:t>
      </w:r>
      <w:r w:rsidR="00DF5847">
        <w:t xml:space="preserve"> </w:t>
      </w:r>
    </w:p>
    <w:p w14:paraId="2C2DE442" w14:textId="77777777" w:rsidR="00E951CE" w:rsidRDefault="00E951CE" w:rsidP="00E951CE">
      <w:pPr>
        <w:pStyle w:val="StyleLinespacingMultiple115li"/>
      </w:pPr>
    </w:p>
    <w:p w14:paraId="779A75A4" w14:textId="77777777" w:rsidR="00E951CE" w:rsidRDefault="00E951CE" w:rsidP="00E951CE">
      <w:pPr>
        <w:pStyle w:val="StyleLinespacingMultiple115li"/>
      </w:pPr>
    </w:p>
    <w:p w14:paraId="17537074" w14:textId="77777777" w:rsidR="00A7285B" w:rsidRDefault="00A7285B" w:rsidP="00E951CE">
      <w:pPr>
        <w:pStyle w:val="StyleLinespacingMultiple115li"/>
      </w:pPr>
    </w:p>
    <w:p w14:paraId="676B842C" w14:textId="77777777" w:rsidR="00A7285B" w:rsidRDefault="00A7285B" w:rsidP="00E951CE">
      <w:pPr>
        <w:pStyle w:val="StyleLinespacingMultiple115li"/>
      </w:pPr>
    </w:p>
    <w:p w14:paraId="64821A14" w14:textId="77777777" w:rsidR="00A7285B" w:rsidRDefault="00A7285B" w:rsidP="00E951CE">
      <w:pPr>
        <w:pStyle w:val="StyleLinespacingMultiple115li"/>
      </w:pPr>
    </w:p>
    <w:p w14:paraId="2CF89C14" w14:textId="77777777" w:rsidR="00A7285B" w:rsidRDefault="00A7285B" w:rsidP="00E951CE">
      <w:pPr>
        <w:pStyle w:val="StyleLinespacingMultiple115li"/>
      </w:pPr>
    </w:p>
    <w:p w14:paraId="057BD01C" w14:textId="77777777" w:rsidR="00A7285B" w:rsidRDefault="00A7285B" w:rsidP="00E951CE">
      <w:pPr>
        <w:pStyle w:val="StyleLinespacingMultiple115li"/>
      </w:pPr>
    </w:p>
    <w:p w14:paraId="58947868" w14:textId="77777777" w:rsidR="00A7285B" w:rsidRDefault="00A7285B" w:rsidP="00E951CE">
      <w:pPr>
        <w:pStyle w:val="StyleLinespacingMultiple115li"/>
      </w:pPr>
    </w:p>
    <w:p w14:paraId="60FD0F53" w14:textId="77777777" w:rsidR="00A7285B" w:rsidRDefault="00A7285B" w:rsidP="00E951CE">
      <w:pPr>
        <w:pStyle w:val="StyleLinespacingMultiple115li"/>
      </w:pPr>
    </w:p>
    <w:p w14:paraId="62CACD9D" w14:textId="77777777" w:rsidR="00A7285B" w:rsidRDefault="00A7285B" w:rsidP="00E951CE">
      <w:pPr>
        <w:pStyle w:val="StyleLinespacingMultiple115li"/>
      </w:pPr>
    </w:p>
    <w:p w14:paraId="1BFCAF41" w14:textId="77777777" w:rsidR="00A7285B" w:rsidRDefault="00A7285B" w:rsidP="00E951CE">
      <w:pPr>
        <w:pStyle w:val="StyleLinespacingMultiple115li"/>
      </w:pPr>
    </w:p>
    <w:p w14:paraId="6283CAC3" w14:textId="77777777" w:rsidR="00A7285B" w:rsidRDefault="00A7285B" w:rsidP="00E951CE">
      <w:pPr>
        <w:pStyle w:val="StyleLinespacingMultiple115li"/>
      </w:pPr>
    </w:p>
    <w:p w14:paraId="15F5EF05" w14:textId="77777777" w:rsidR="00A7285B" w:rsidRDefault="00A7285B" w:rsidP="00E951CE">
      <w:pPr>
        <w:pStyle w:val="StyleLinespacingMultiple115li"/>
      </w:pPr>
    </w:p>
    <w:p w14:paraId="1183DB4C" w14:textId="77777777" w:rsidR="00A7285B" w:rsidRDefault="00A7285B" w:rsidP="00E951CE">
      <w:pPr>
        <w:pStyle w:val="StyleLinespacingMultiple115li"/>
      </w:pPr>
    </w:p>
    <w:p w14:paraId="04C6A7CA" w14:textId="77777777" w:rsidR="00A7285B" w:rsidRDefault="00A7285B" w:rsidP="00E951CE">
      <w:pPr>
        <w:pStyle w:val="StyleLinespacingMultiple115li"/>
      </w:pPr>
    </w:p>
    <w:p w14:paraId="5B85101D" w14:textId="77777777" w:rsidR="00A7285B" w:rsidRDefault="00A7285B" w:rsidP="00E951CE">
      <w:pPr>
        <w:pStyle w:val="StyleLinespacingMultiple115li"/>
      </w:pPr>
    </w:p>
    <w:p w14:paraId="055DB692" w14:textId="77777777" w:rsidR="00A7285B" w:rsidRDefault="00A7285B" w:rsidP="00E951CE">
      <w:pPr>
        <w:pStyle w:val="StyleLinespacingMultiple115li"/>
      </w:pPr>
    </w:p>
    <w:p w14:paraId="4694DAE7" w14:textId="77777777" w:rsidR="00A7285B" w:rsidRDefault="00A7285B" w:rsidP="00E951CE">
      <w:pPr>
        <w:pStyle w:val="StyleLinespacingMultiple115li"/>
      </w:pPr>
    </w:p>
    <w:p w14:paraId="7EC6336B" w14:textId="77777777" w:rsidR="00A7285B" w:rsidRDefault="00A7285B" w:rsidP="00E951CE">
      <w:pPr>
        <w:pStyle w:val="StyleLinespacingMultiple115li"/>
      </w:pPr>
    </w:p>
    <w:p w14:paraId="2DE0BE88" w14:textId="77777777" w:rsidR="00A7285B" w:rsidRDefault="00A7285B" w:rsidP="00E951CE">
      <w:pPr>
        <w:pStyle w:val="StyleLinespacingMultiple115li"/>
      </w:pPr>
    </w:p>
    <w:p w14:paraId="1527E7C8" w14:textId="77777777" w:rsidR="00A7285B" w:rsidRDefault="00A7285B" w:rsidP="00E951CE">
      <w:pPr>
        <w:pStyle w:val="StyleLinespacingMultiple115li"/>
      </w:pPr>
    </w:p>
    <w:p w14:paraId="3C414AC5" w14:textId="77777777" w:rsidR="00A7285B" w:rsidRDefault="00A7285B" w:rsidP="00E951CE">
      <w:pPr>
        <w:pStyle w:val="StyleLinespacingMultiple115li"/>
      </w:pPr>
    </w:p>
    <w:p w14:paraId="7BA00139" w14:textId="77777777" w:rsidR="00E951CE" w:rsidRPr="00D305EC" w:rsidRDefault="00E951CE" w:rsidP="00E951CE">
      <w:pPr>
        <w:pStyle w:val="StyleLinespacingMultiple115li"/>
        <w:jc w:val="center"/>
        <w:rPr>
          <w:b/>
          <w:bCs/>
        </w:rPr>
      </w:pPr>
      <w:r w:rsidRPr="00D305EC">
        <w:rPr>
          <w:b/>
          <w:bCs/>
        </w:rPr>
        <w:t>Figur</w:t>
      </w:r>
      <w:r>
        <w:rPr>
          <w:b/>
          <w:bCs/>
        </w:rPr>
        <w:t>e 1</w:t>
      </w:r>
      <w:r w:rsidRPr="00D305EC">
        <w:rPr>
          <w:b/>
          <w:bCs/>
        </w:rPr>
        <w:t>: ERCOT Summer Peak Demand Forecast</w:t>
      </w:r>
    </w:p>
    <w:p w14:paraId="70FFEE2E" w14:textId="6A7F652E" w:rsidR="000471A8" w:rsidRDefault="004F257B" w:rsidP="00B32550">
      <w:pPr>
        <w:pStyle w:val="StyleLinespacingMultiple115li"/>
      </w:pPr>
      <w:r>
        <w:rPr>
          <w:noProof/>
        </w:rPr>
        <w:drawing>
          <wp:inline distT="0" distB="0" distL="0" distR="0" wp14:anchorId="34597C83" wp14:editId="7C792438">
            <wp:extent cx="6705599" cy="4810125"/>
            <wp:effectExtent l="0" t="0" r="635" b="9525"/>
            <wp:docPr id="4" name="Chart 4">
              <a:extLst xmlns:a="http://schemas.openxmlformats.org/drawingml/2006/main">
                <a:ext uri="{FF2B5EF4-FFF2-40B4-BE49-F238E27FC236}">
                  <a16:creationId xmlns:a16="http://schemas.microsoft.com/office/drawing/2014/main" id="{2D909A4D-3D68-F437-81AF-E19B5AD986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36B23EC9" w14:textId="77777777" w:rsidR="005935B1" w:rsidRDefault="005935B1" w:rsidP="00B32550">
      <w:pPr>
        <w:pStyle w:val="StyleLinespacingMultiple115li"/>
      </w:pPr>
    </w:p>
    <w:p w14:paraId="22395ECD" w14:textId="77777777" w:rsidR="005935B1" w:rsidRDefault="005935B1" w:rsidP="00B32550">
      <w:pPr>
        <w:pStyle w:val="StyleLinespacingMultiple115li"/>
      </w:pPr>
    </w:p>
    <w:p w14:paraId="0EFEC0CA" w14:textId="0A04A363" w:rsidR="00B32550" w:rsidRDefault="00B32550" w:rsidP="00B32550">
      <w:pPr>
        <w:pStyle w:val="StyleLinespacingMultiple115li"/>
      </w:pPr>
      <w:r w:rsidRPr="00DA00E9">
        <w:t xml:space="preserve">As shown in Figure </w:t>
      </w:r>
      <w:r w:rsidR="004F257B">
        <w:t>2</w:t>
      </w:r>
      <w:r w:rsidRPr="00DA00E9">
        <w:t xml:space="preserve">, historical annual energy </w:t>
      </w:r>
      <w:r w:rsidR="00D542B3" w:rsidRPr="00DA00E9">
        <w:t>for the calendar years 201</w:t>
      </w:r>
      <w:r w:rsidR="0071615D" w:rsidRPr="00DA00E9">
        <w:t>4</w:t>
      </w:r>
      <w:r w:rsidRPr="00DA00E9">
        <w:t>-20</w:t>
      </w:r>
      <w:r w:rsidR="00D776C0" w:rsidRPr="00DA00E9">
        <w:t>2</w:t>
      </w:r>
      <w:r w:rsidR="00AB334F" w:rsidRPr="00DA00E9">
        <w:t>2</w:t>
      </w:r>
      <w:r w:rsidRPr="00DA00E9">
        <w:t xml:space="preserve"> grew at an AAGR of </w:t>
      </w:r>
      <w:r w:rsidR="0071615D" w:rsidRPr="00DA00E9">
        <w:t>3.1</w:t>
      </w:r>
      <w:r w:rsidRPr="00DA00E9">
        <w:t>%.</w:t>
      </w:r>
      <w:r>
        <w:t xml:space="preserve"> </w:t>
      </w:r>
      <w:r w:rsidRPr="009B52D1">
        <w:t>The for</w:t>
      </w:r>
      <w:r>
        <w:t>ecasted AAGR</w:t>
      </w:r>
      <w:r w:rsidR="00D542B3">
        <w:t xml:space="preserve"> for energy from 202</w:t>
      </w:r>
      <w:r w:rsidR="0071615D">
        <w:t>4</w:t>
      </w:r>
      <w:r w:rsidR="00D776C0">
        <w:t>-203</w:t>
      </w:r>
      <w:r w:rsidR="0071615D">
        <w:t>3</w:t>
      </w:r>
      <w:r w:rsidR="00237619">
        <w:t xml:space="preserve"> is </w:t>
      </w:r>
      <w:r w:rsidR="006B428B">
        <w:t>13.6</w:t>
      </w:r>
      <w:r>
        <w:t>%</w:t>
      </w:r>
      <w:r w:rsidRPr="009B52D1">
        <w:t>.</w:t>
      </w:r>
      <w:r w:rsidR="001D5CAF">
        <w:t xml:space="preserve"> Also shown in Figure 2, the LTDEF depicts particularly increased load growth from 2024-2027 with an AAGR of 17.1%. </w:t>
      </w:r>
    </w:p>
    <w:p w14:paraId="486F1BC2" w14:textId="77777777" w:rsidR="005935B1" w:rsidRDefault="005935B1" w:rsidP="00F55004">
      <w:pPr>
        <w:pStyle w:val="StyleLinespacingMultiple115li"/>
        <w:jc w:val="center"/>
      </w:pPr>
    </w:p>
    <w:p w14:paraId="7D8B586C" w14:textId="77777777" w:rsidR="00A7285B" w:rsidRDefault="00A7285B" w:rsidP="00F55004">
      <w:pPr>
        <w:pStyle w:val="StyleLinespacingMultiple115li"/>
        <w:jc w:val="center"/>
      </w:pPr>
    </w:p>
    <w:p w14:paraId="640EE5A3" w14:textId="77777777" w:rsidR="00A7285B" w:rsidRDefault="00A7285B" w:rsidP="00F55004">
      <w:pPr>
        <w:pStyle w:val="StyleLinespacingMultiple115li"/>
        <w:jc w:val="center"/>
      </w:pPr>
    </w:p>
    <w:p w14:paraId="6C8A045D" w14:textId="77777777" w:rsidR="00A7285B" w:rsidRDefault="00A7285B" w:rsidP="00F55004">
      <w:pPr>
        <w:pStyle w:val="StyleLinespacingMultiple115li"/>
        <w:jc w:val="center"/>
      </w:pPr>
    </w:p>
    <w:p w14:paraId="0B4E2387" w14:textId="77777777" w:rsidR="00A7285B" w:rsidRDefault="00A7285B" w:rsidP="00F55004">
      <w:pPr>
        <w:pStyle w:val="StyleLinespacingMultiple115li"/>
        <w:jc w:val="center"/>
      </w:pPr>
    </w:p>
    <w:p w14:paraId="06F4CCFC" w14:textId="77777777" w:rsidR="00A7285B" w:rsidRDefault="00A7285B" w:rsidP="00F55004">
      <w:pPr>
        <w:pStyle w:val="StyleLinespacingMultiple115li"/>
        <w:jc w:val="center"/>
      </w:pPr>
    </w:p>
    <w:p w14:paraId="5CE6157B" w14:textId="77777777" w:rsidR="00A7285B" w:rsidRDefault="00A7285B" w:rsidP="00F55004">
      <w:pPr>
        <w:pStyle w:val="StyleLinespacingMultiple115li"/>
        <w:jc w:val="center"/>
      </w:pPr>
    </w:p>
    <w:p w14:paraId="17DED71B" w14:textId="77777777" w:rsidR="00A7285B" w:rsidRDefault="00A7285B" w:rsidP="00F55004">
      <w:pPr>
        <w:pStyle w:val="StyleLinespacingMultiple115li"/>
        <w:jc w:val="center"/>
      </w:pPr>
    </w:p>
    <w:p w14:paraId="1B9D2424" w14:textId="77777777" w:rsidR="00A7285B" w:rsidRDefault="00A7285B" w:rsidP="00F55004">
      <w:pPr>
        <w:pStyle w:val="StyleLinespacingMultiple115li"/>
        <w:jc w:val="center"/>
      </w:pPr>
    </w:p>
    <w:p w14:paraId="300320B2" w14:textId="77777777" w:rsidR="00A7285B" w:rsidRDefault="00A7285B" w:rsidP="00F55004">
      <w:pPr>
        <w:pStyle w:val="StyleLinespacingMultiple115li"/>
        <w:jc w:val="center"/>
      </w:pPr>
    </w:p>
    <w:p w14:paraId="36EFBA7C" w14:textId="77777777" w:rsidR="00A7285B" w:rsidRDefault="00A7285B" w:rsidP="00F55004">
      <w:pPr>
        <w:pStyle w:val="StyleLinespacingMultiple115li"/>
        <w:jc w:val="center"/>
      </w:pPr>
    </w:p>
    <w:p w14:paraId="7E0C5656" w14:textId="05C07422" w:rsidR="00F55004" w:rsidRPr="00896B1D" w:rsidRDefault="00F55004" w:rsidP="00F55004">
      <w:pPr>
        <w:pStyle w:val="StyleLinespacingMultiple115li"/>
        <w:jc w:val="center"/>
        <w:rPr>
          <w:b/>
          <w:bCs/>
        </w:rPr>
      </w:pPr>
      <w:r w:rsidRPr="00896B1D">
        <w:rPr>
          <w:b/>
          <w:bCs/>
        </w:rPr>
        <w:lastRenderedPageBreak/>
        <w:t xml:space="preserve">Figure </w:t>
      </w:r>
      <w:r w:rsidR="00911373">
        <w:rPr>
          <w:b/>
          <w:bCs/>
        </w:rPr>
        <w:t>2</w:t>
      </w:r>
      <w:r w:rsidRPr="00896B1D">
        <w:rPr>
          <w:b/>
          <w:bCs/>
        </w:rPr>
        <w:t xml:space="preserve">: ERCOT </w:t>
      </w:r>
      <w:r>
        <w:rPr>
          <w:b/>
          <w:bCs/>
        </w:rPr>
        <w:t>Annual Energy</w:t>
      </w:r>
      <w:r w:rsidRPr="00896B1D">
        <w:rPr>
          <w:b/>
          <w:bCs/>
        </w:rPr>
        <w:t xml:space="preserve"> Forecast</w:t>
      </w:r>
    </w:p>
    <w:p w14:paraId="68B0E78D" w14:textId="1ECB314A" w:rsidR="00D776C0" w:rsidRDefault="00D776C0" w:rsidP="00B32550">
      <w:pPr>
        <w:pStyle w:val="StyleLinespacingMultiple115li"/>
      </w:pPr>
    </w:p>
    <w:p w14:paraId="65B00874" w14:textId="3F8F35B7" w:rsidR="00D776C0" w:rsidRDefault="004F257B" w:rsidP="00B32550">
      <w:pPr>
        <w:pStyle w:val="StyleLinespacingMultiple115li"/>
      </w:pPr>
      <w:r>
        <w:rPr>
          <w:noProof/>
        </w:rPr>
        <w:drawing>
          <wp:inline distT="0" distB="0" distL="0" distR="0" wp14:anchorId="740C7D5A" wp14:editId="0D4B641E">
            <wp:extent cx="6610350" cy="3933190"/>
            <wp:effectExtent l="0" t="0" r="0" b="10160"/>
            <wp:docPr id="5" name="Chart 5">
              <a:extLst xmlns:a="http://schemas.openxmlformats.org/drawingml/2006/main">
                <a:ext uri="{FF2B5EF4-FFF2-40B4-BE49-F238E27FC236}">
                  <a16:creationId xmlns:a16="http://schemas.microsoft.com/office/drawing/2014/main" id="{B6294CAC-7D7B-8B07-67B1-BAE2FFDB3D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D414121" w14:textId="1026E85C" w:rsidR="00D776C0" w:rsidRDefault="00D776C0" w:rsidP="00B32550">
      <w:pPr>
        <w:pStyle w:val="StyleLinespacingMultiple115li"/>
      </w:pPr>
    </w:p>
    <w:p w14:paraId="52A24F79" w14:textId="77777777" w:rsidR="00E845E5" w:rsidRDefault="00E845E5" w:rsidP="00B32550">
      <w:pPr>
        <w:pStyle w:val="StyleLinespacingMultiple115li"/>
      </w:pPr>
    </w:p>
    <w:p w14:paraId="3551FB34" w14:textId="446474E6" w:rsidR="00E845E5" w:rsidRDefault="009E6FE2" w:rsidP="00E845E5">
      <w:pPr>
        <w:pStyle w:val="StyleLinespacingMultiple115li"/>
        <w:jc w:val="center"/>
      </w:pPr>
      <w:r>
        <w:rPr>
          <w:b/>
          <w:bCs/>
        </w:rPr>
        <w:t>Table</w:t>
      </w:r>
      <w:r w:rsidR="00E845E5" w:rsidRPr="00896B1D">
        <w:rPr>
          <w:b/>
          <w:bCs/>
        </w:rPr>
        <w:t xml:space="preserve"> </w:t>
      </w:r>
      <w:r>
        <w:rPr>
          <w:b/>
          <w:bCs/>
        </w:rPr>
        <w:t>1</w:t>
      </w:r>
      <w:r w:rsidR="00E845E5" w:rsidRPr="00896B1D">
        <w:rPr>
          <w:b/>
          <w:bCs/>
        </w:rPr>
        <w:t xml:space="preserve">: </w:t>
      </w:r>
      <w:r w:rsidR="00E845E5">
        <w:rPr>
          <w:b/>
          <w:bCs/>
        </w:rPr>
        <w:t>ERCOT Average Annual Growth Rate</w:t>
      </w:r>
    </w:p>
    <w:p w14:paraId="2BA7935B" w14:textId="77777777" w:rsidR="00E845E5" w:rsidRDefault="00E845E5" w:rsidP="00B32550">
      <w:pPr>
        <w:pStyle w:val="StyleLinespacingMultiple115li"/>
      </w:pPr>
    </w:p>
    <w:tbl>
      <w:tblPr>
        <w:tblStyle w:val="LightShading-Accent11"/>
        <w:tblpPr w:leftFromText="180" w:rightFromText="180" w:vertAnchor="text" w:horzAnchor="margin" w:tblpXSpec="center" w:tblpY="19"/>
        <w:tblW w:w="6992" w:type="dxa"/>
        <w:tblLook w:val="04A0" w:firstRow="1" w:lastRow="0" w:firstColumn="1" w:lastColumn="0" w:noHBand="0" w:noVBand="1"/>
      </w:tblPr>
      <w:tblGrid>
        <w:gridCol w:w="3496"/>
        <w:gridCol w:w="3496"/>
      </w:tblGrid>
      <w:tr w:rsidR="00E845E5" w14:paraId="0A66C371" w14:textId="77777777" w:rsidTr="00320EBB">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496" w:type="dxa"/>
          </w:tcPr>
          <w:p w14:paraId="43883119" w14:textId="77777777" w:rsidR="00E845E5" w:rsidRDefault="00E845E5" w:rsidP="00320EBB">
            <w:pPr>
              <w:pStyle w:val="StyleLinespacingMultiple115li"/>
              <w:jc w:val="center"/>
            </w:pPr>
            <w:r>
              <w:t>Year</w:t>
            </w:r>
          </w:p>
        </w:tc>
        <w:tc>
          <w:tcPr>
            <w:tcW w:w="3496" w:type="dxa"/>
          </w:tcPr>
          <w:p w14:paraId="5AD076B4" w14:textId="1052C131" w:rsidR="00E845E5" w:rsidRDefault="00320EBB" w:rsidP="00320EBB">
            <w:pPr>
              <w:pStyle w:val="StyleLinespacingMultiple115li"/>
              <w:jc w:val="center"/>
              <w:cnfStyle w:val="100000000000" w:firstRow="1" w:lastRow="0" w:firstColumn="0" w:lastColumn="0" w:oddVBand="0" w:evenVBand="0" w:oddHBand="0" w:evenHBand="0" w:firstRowFirstColumn="0" w:firstRowLastColumn="0" w:lastRowFirstColumn="0" w:lastRowLastColumn="0"/>
            </w:pPr>
            <w:r>
              <w:t>AAGR</w:t>
            </w:r>
          </w:p>
        </w:tc>
      </w:tr>
      <w:tr w:rsidR="00E845E5" w14:paraId="3DB5EB06" w14:textId="77777777" w:rsidTr="00320EBB">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496" w:type="dxa"/>
          </w:tcPr>
          <w:p w14:paraId="236476AE" w14:textId="12BACACC" w:rsidR="00E845E5" w:rsidRDefault="00320EBB" w:rsidP="00320EBB">
            <w:pPr>
              <w:pStyle w:val="StyleLinespacingMultiple115li"/>
              <w:jc w:val="center"/>
            </w:pPr>
            <w:r>
              <w:t>2024-2025</w:t>
            </w:r>
          </w:p>
        </w:tc>
        <w:tc>
          <w:tcPr>
            <w:tcW w:w="3496" w:type="dxa"/>
          </w:tcPr>
          <w:p w14:paraId="6029C6A1" w14:textId="78485759" w:rsidR="00E845E5" w:rsidRPr="00320EBB" w:rsidRDefault="00320EBB" w:rsidP="00320EBB">
            <w:pPr>
              <w:pStyle w:val="StyleLinespacingMultiple115li"/>
              <w:jc w:val="center"/>
              <w:cnfStyle w:val="000000100000" w:firstRow="0" w:lastRow="0" w:firstColumn="0" w:lastColumn="0" w:oddVBand="0" w:evenVBand="0" w:oddHBand="1" w:evenHBand="0" w:firstRowFirstColumn="0" w:firstRowLastColumn="0" w:lastRowFirstColumn="0" w:lastRowLastColumn="0"/>
              <w:rPr>
                <w:b/>
                <w:bCs/>
              </w:rPr>
            </w:pPr>
            <w:r w:rsidRPr="00320EBB">
              <w:rPr>
                <w:b/>
                <w:bCs/>
              </w:rPr>
              <w:t>9.88%</w:t>
            </w:r>
          </w:p>
        </w:tc>
      </w:tr>
      <w:tr w:rsidR="00E845E5" w14:paraId="0C33AC8B" w14:textId="77777777" w:rsidTr="00320EBB">
        <w:trPr>
          <w:trHeight w:val="258"/>
        </w:trPr>
        <w:tc>
          <w:tcPr>
            <w:cnfStyle w:val="001000000000" w:firstRow="0" w:lastRow="0" w:firstColumn="1" w:lastColumn="0" w:oddVBand="0" w:evenVBand="0" w:oddHBand="0" w:evenHBand="0" w:firstRowFirstColumn="0" w:firstRowLastColumn="0" w:lastRowFirstColumn="0" w:lastRowLastColumn="0"/>
            <w:tcW w:w="3496" w:type="dxa"/>
          </w:tcPr>
          <w:p w14:paraId="07062B89" w14:textId="24988F61" w:rsidR="00E845E5" w:rsidRDefault="00320EBB" w:rsidP="00320EBB">
            <w:pPr>
              <w:pStyle w:val="StyleLinespacingMultiple115li"/>
              <w:jc w:val="center"/>
            </w:pPr>
            <w:r>
              <w:t>2025-2026</w:t>
            </w:r>
          </w:p>
        </w:tc>
        <w:tc>
          <w:tcPr>
            <w:tcW w:w="3496" w:type="dxa"/>
          </w:tcPr>
          <w:p w14:paraId="12C0DEE5" w14:textId="0A5DAFB1" w:rsidR="00E845E5" w:rsidRPr="00320EBB" w:rsidRDefault="00320EBB" w:rsidP="00320EBB">
            <w:pPr>
              <w:pStyle w:val="StyleLinespacingMultiple115li"/>
              <w:jc w:val="center"/>
              <w:cnfStyle w:val="000000000000" w:firstRow="0" w:lastRow="0" w:firstColumn="0" w:lastColumn="0" w:oddVBand="0" w:evenVBand="0" w:oddHBand="0" w:evenHBand="0" w:firstRowFirstColumn="0" w:firstRowLastColumn="0" w:lastRowFirstColumn="0" w:lastRowLastColumn="0"/>
              <w:rPr>
                <w:b/>
                <w:bCs/>
              </w:rPr>
            </w:pPr>
            <w:r w:rsidRPr="00320EBB">
              <w:rPr>
                <w:b/>
                <w:bCs/>
              </w:rPr>
              <w:t>19.50%</w:t>
            </w:r>
          </w:p>
        </w:tc>
      </w:tr>
      <w:tr w:rsidR="00E845E5" w14:paraId="71E9FE02" w14:textId="77777777" w:rsidTr="00320EBB">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496" w:type="dxa"/>
          </w:tcPr>
          <w:p w14:paraId="356F1090" w14:textId="175884A4" w:rsidR="00E845E5" w:rsidRDefault="00320EBB" w:rsidP="00320EBB">
            <w:pPr>
              <w:pStyle w:val="StyleLinespacingMultiple115li"/>
              <w:jc w:val="center"/>
            </w:pPr>
            <w:r>
              <w:t>2026-2027</w:t>
            </w:r>
          </w:p>
        </w:tc>
        <w:tc>
          <w:tcPr>
            <w:tcW w:w="3496" w:type="dxa"/>
          </w:tcPr>
          <w:p w14:paraId="00DB2368" w14:textId="2C2AF64E" w:rsidR="00E845E5" w:rsidRPr="00320EBB" w:rsidRDefault="00320EBB" w:rsidP="00320EBB">
            <w:pPr>
              <w:pStyle w:val="StyleLinespacingMultiple115li"/>
              <w:jc w:val="center"/>
              <w:cnfStyle w:val="000000100000" w:firstRow="0" w:lastRow="0" w:firstColumn="0" w:lastColumn="0" w:oddVBand="0" w:evenVBand="0" w:oddHBand="1" w:evenHBand="0" w:firstRowFirstColumn="0" w:firstRowLastColumn="0" w:lastRowFirstColumn="0" w:lastRowLastColumn="0"/>
              <w:rPr>
                <w:b/>
                <w:bCs/>
              </w:rPr>
            </w:pPr>
            <w:r w:rsidRPr="00320EBB">
              <w:rPr>
                <w:b/>
                <w:bCs/>
              </w:rPr>
              <w:t>21.06%</w:t>
            </w:r>
          </w:p>
        </w:tc>
      </w:tr>
      <w:tr w:rsidR="00E845E5" w14:paraId="4D2212E4" w14:textId="77777777" w:rsidTr="00320EBB">
        <w:trPr>
          <w:trHeight w:val="271"/>
        </w:trPr>
        <w:tc>
          <w:tcPr>
            <w:cnfStyle w:val="001000000000" w:firstRow="0" w:lastRow="0" w:firstColumn="1" w:lastColumn="0" w:oddVBand="0" w:evenVBand="0" w:oddHBand="0" w:evenHBand="0" w:firstRowFirstColumn="0" w:firstRowLastColumn="0" w:lastRowFirstColumn="0" w:lastRowLastColumn="0"/>
            <w:tcW w:w="3496" w:type="dxa"/>
          </w:tcPr>
          <w:p w14:paraId="38C27988" w14:textId="1D6ECC90" w:rsidR="00E845E5" w:rsidRDefault="00320EBB" w:rsidP="00320EBB">
            <w:pPr>
              <w:pStyle w:val="StyleLinespacingMultiple115li"/>
              <w:jc w:val="center"/>
            </w:pPr>
            <w:r>
              <w:t>2027-2028</w:t>
            </w:r>
          </w:p>
        </w:tc>
        <w:tc>
          <w:tcPr>
            <w:tcW w:w="3496" w:type="dxa"/>
          </w:tcPr>
          <w:p w14:paraId="17BD1D84" w14:textId="26A6670F" w:rsidR="00E845E5" w:rsidRPr="00320EBB" w:rsidRDefault="00320EBB" w:rsidP="00320EBB">
            <w:pPr>
              <w:pStyle w:val="StyleLinespacingMultiple115li"/>
              <w:jc w:val="center"/>
              <w:cnfStyle w:val="000000000000" w:firstRow="0" w:lastRow="0" w:firstColumn="0" w:lastColumn="0" w:oddVBand="0" w:evenVBand="0" w:oddHBand="0" w:evenHBand="0" w:firstRowFirstColumn="0" w:firstRowLastColumn="0" w:lastRowFirstColumn="0" w:lastRowLastColumn="0"/>
              <w:rPr>
                <w:b/>
                <w:bCs/>
              </w:rPr>
            </w:pPr>
            <w:r w:rsidRPr="00320EBB">
              <w:rPr>
                <w:b/>
                <w:bCs/>
              </w:rPr>
              <w:t>17.82%</w:t>
            </w:r>
          </w:p>
        </w:tc>
      </w:tr>
      <w:tr w:rsidR="00E845E5" w14:paraId="367FB8E2" w14:textId="77777777" w:rsidTr="00320EBB">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496" w:type="dxa"/>
          </w:tcPr>
          <w:p w14:paraId="2F3B88AD" w14:textId="0CDA1A99" w:rsidR="00E845E5" w:rsidRDefault="00320EBB" w:rsidP="00320EBB">
            <w:pPr>
              <w:pStyle w:val="StyleLinespacingMultiple115li"/>
              <w:jc w:val="center"/>
            </w:pPr>
            <w:r>
              <w:t>2028-2029</w:t>
            </w:r>
          </w:p>
        </w:tc>
        <w:tc>
          <w:tcPr>
            <w:tcW w:w="3496" w:type="dxa"/>
          </w:tcPr>
          <w:p w14:paraId="19F71224" w14:textId="5BEB7916" w:rsidR="00E845E5" w:rsidRPr="00320EBB" w:rsidRDefault="00320EBB" w:rsidP="00320EBB">
            <w:pPr>
              <w:pStyle w:val="StyleLinespacingMultiple115li"/>
              <w:jc w:val="center"/>
              <w:cnfStyle w:val="000000100000" w:firstRow="0" w:lastRow="0" w:firstColumn="0" w:lastColumn="0" w:oddVBand="0" w:evenVBand="0" w:oddHBand="1" w:evenHBand="0" w:firstRowFirstColumn="0" w:firstRowLastColumn="0" w:lastRowFirstColumn="0" w:lastRowLastColumn="0"/>
              <w:rPr>
                <w:b/>
                <w:bCs/>
              </w:rPr>
            </w:pPr>
            <w:r w:rsidRPr="00320EBB">
              <w:rPr>
                <w:b/>
                <w:bCs/>
              </w:rPr>
              <w:t>7.94%</w:t>
            </w:r>
          </w:p>
        </w:tc>
      </w:tr>
      <w:tr w:rsidR="00E845E5" w14:paraId="1789B4CD" w14:textId="77777777" w:rsidTr="00320EBB">
        <w:trPr>
          <w:trHeight w:val="271"/>
        </w:trPr>
        <w:tc>
          <w:tcPr>
            <w:cnfStyle w:val="001000000000" w:firstRow="0" w:lastRow="0" w:firstColumn="1" w:lastColumn="0" w:oddVBand="0" w:evenVBand="0" w:oddHBand="0" w:evenHBand="0" w:firstRowFirstColumn="0" w:firstRowLastColumn="0" w:lastRowFirstColumn="0" w:lastRowLastColumn="0"/>
            <w:tcW w:w="3496" w:type="dxa"/>
          </w:tcPr>
          <w:p w14:paraId="5CE48CB8" w14:textId="19313098" w:rsidR="00E845E5" w:rsidRDefault="00320EBB" w:rsidP="00320EBB">
            <w:pPr>
              <w:pStyle w:val="StyleLinespacingMultiple115li"/>
              <w:jc w:val="center"/>
            </w:pPr>
            <w:r>
              <w:t>2029-2030</w:t>
            </w:r>
          </w:p>
        </w:tc>
        <w:tc>
          <w:tcPr>
            <w:tcW w:w="3496" w:type="dxa"/>
          </w:tcPr>
          <w:p w14:paraId="46F747C9" w14:textId="11BE32D5" w:rsidR="00E845E5" w:rsidRPr="00320EBB" w:rsidRDefault="00320EBB" w:rsidP="00320EBB">
            <w:pPr>
              <w:pStyle w:val="StyleLinespacingMultiple115li"/>
              <w:jc w:val="center"/>
              <w:cnfStyle w:val="000000000000" w:firstRow="0" w:lastRow="0" w:firstColumn="0" w:lastColumn="0" w:oddVBand="0" w:evenVBand="0" w:oddHBand="0" w:evenHBand="0" w:firstRowFirstColumn="0" w:firstRowLastColumn="0" w:lastRowFirstColumn="0" w:lastRowLastColumn="0"/>
              <w:rPr>
                <w:b/>
                <w:bCs/>
              </w:rPr>
            </w:pPr>
            <w:r w:rsidRPr="00320EBB">
              <w:rPr>
                <w:b/>
                <w:bCs/>
              </w:rPr>
              <w:t>5.20%</w:t>
            </w:r>
          </w:p>
        </w:tc>
      </w:tr>
    </w:tbl>
    <w:p w14:paraId="0B41B7E6" w14:textId="77777777" w:rsidR="00E845E5" w:rsidRDefault="00E845E5" w:rsidP="00B32550">
      <w:pPr>
        <w:pStyle w:val="StyleLinespacingMultiple115li"/>
      </w:pPr>
    </w:p>
    <w:p w14:paraId="5D3E09FC" w14:textId="77777777" w:rsidR="00E845E5" w:rsidRDefault="00E845E5" w:rsidP="00B32550">
      <w:pPr>
        <w:pStyle w:val="StyleLinespacingMultiple115li"/>
      </w:pPr>
    </w:p>
    <w:p w14:paraId="3BA4E4ED" w14:textId="77777777" w:rsidR="00E845E5" w:rsidRDefault="00E845E5" w:rsidP="00B32550">
      <w:pPr>
        <w:pStyle w:val="StyleLinespacingMultiple115li"/>
      </w:pPr>
    </w:p>
    <w:p w14:paraId="572A8C8C" w14:textId="77777777" w:rsidR="00E845E5" w:rsidRDefault="00E845E5" w:rsidP="00B32550">
      <w:pPr>
        <w:pStyle w:val="StyleLinespacingMultiple115li"/>
      </w:pPr>
    </w:p>
    <w:p w14:paraId="76F94F7B" w14:textId="77777777" w:rsidR="00E845E5" w:rsidRDefault="00E845E5" w:rsidP="00B32550">
      <w:pPr>
        <w:pStyle w:val="StyleLinespacingMultiple115li"/>
      </w:pPr>
    </w:p>
    <w:p w14:paraId="065F5CEA" w14:textId="77777777" w:rsidR="00E845E5" w:rsidRDefault="00E845E5" w:rsidP="00B32550">
      <w:pPr>
        <w:pStyle w:val="StyleLinespacingMultiple115li"/>
      </w:pPr>
    </w:p>
    <w:p w14:paraId="1C8E0B8B" w14:textId="77777777" w:rsidR="00E845E5" w:rsidRDefault="00E845E5" w:rsidP="00B32550">
      <w:pPr>
        <w:pStyle w:val="StyleLinespacingMultiple115li"/>
      </w:pPr>
    </w:p>
    <w:p w14:paraId="70B09D60" w14:textId="77777777" w:rsidR="00E845E5" w:rsidRDefault="00E845E5" w:rsidP="00B32550">
      <w:pPr>
        <w:pStyle w:val="StyleLinespacingMultiple115li"/>
      </w:pPr>
    </w:p>
    <w:p w14:paraId="02E7D405" w14:textId="77777777" w:rsidR="00E845E5" w:rsidRDefault="00E845E5" w:rsidP="00B32550">
      <w:pPr>
        <w:pStyle w:val="StyleLinespacingMultiple115li"/>
      </w:pPr>
    </w:p>
    <w:p w14:paraId="07C77EBF" w14:textId="6559F248" w:rsidR="00E845E5" w:rsidRDefault="009E6FE2" w:rsidP="00B32550">
      <w:pPr>
        <w:pStyle w:val="StyleLinespacingMultiple115li"/>
      </w:pPr>
      <w:r>
        <w:t>Table 1 reflects the LTDEF with contracted loads and officer letters included.</w:t>
      </w:r>
    </w:p>
    <w:p w14:paraId="00582FB9" w14:textId="77777777" w:rsidR="00E845E5" w:rsidRDefault="00E845E5" w:rsidP="00B32550">
      <w:pPr>
        <w:pStyle w:val="StyleLinespacingMultiple115li"/>
      </w:pPr>
    </w:p>
    <w:p w14:paraId="106818F9" w14:textId="217F09C9" w:rsidR="00135D78" w:rsidRPr="00A704D2" w:rsidRDefault="00135D78" w:rsidP="0051299E">
      <w:pPr>
        <w:spacing w:line="276" w:lineRule="auto"/>
        <w:jc w:val="center"/>
        <w:rPr>
          <w:b/>
          <w:u w:val="single"/>
        </w:rPr>
      </w:pPr>
      <w:r w:rsidRPr="00A704D2">
        <w:rPr>
          <w:b/>
          <w:u w:val="single"/>
        </w:rPr>
        <w:t>Introduction</w:t>
      </w:r>
    </w:p>
    <w:p w14:paraId="0C08EB6B" w14:textId="77777777" w:rsidR="0066626C" w:rsidRPr="00A704D2" w:rsidRDefault="0066626C" w:rsidP="006812D4">
      <w:pPr>
        <w:spacing w:line="276" w:lineRule="auto"/>
        <w:rPr>
          <w:u w:val="single"/>
        </w:rPr>
      </w:pPr>
    </w:p>
    <w:p w14:paraId="67A4395A" w14:textId="3F1BD654" w:rsidR="00B254CB" w:rsidRDefault="00135D78" w:rsidP="006812D4">
      <w:pPr>
        <w:pStyle w:val="StyleLinespacingMultiple115li"/>
      </w:pPr>
      <w:r w:rsidRPr="00A704D2">
        <w:t>This report gives a</w:t>
      </w:r>
      <w:r w:rsidR="00F53EB3" w:rsidRPr="00A704D2">
        <w:t xml:space="preserve"> high-</w:t>
      </w:r>
      <w:r w:rsidR="00AD5165" w:rsidRPr="00A704D2">
        <w:t>leve</w:t>
      </w:r>
      <w:r w:rsidR="00D542B3">
        <w:t>l overview of the 202</w:t>
      </w:r>
      <w:r w:rsidR="00F77CC2">
        <w:t>4</w:t>
      </w:r>
      <w:r w:rsidRPr="00A704D2">
        <w:t xml:space="preserve"> LTDEF</w:t>
      </w:r>
      <w:r w:rsidR="00C87A00" w:rsidRPr="00A704D2">
        <w:t xml:space="preserve">. </w:t>
      </w:r>
      <w:r w:rsidRPr="00A704D2">
        <w:t>The forecast methodology is described, highlighting its major conceptual and stat</w:t>
      </w:r>
      <w:r w:rsidR="005C1D83" w:rsidRPr="00A704D2">
        <w:t>istical underpinnings</w:t>
      </w:r>
      <w:r w:rsidR="00C87A00" w:rsidRPr="00A704D2">
        <w:t>.</w:t>
      </w:r>
      <w:r w:rsidR="00A65CE2">
        <w:t xml:space="preserve"> The waterfall methodology is used for the LTDEF to exhibit the breakdown of the </w:t>
      </w:r>
      <w:r w:rsidR="00FC09E5">
        <w:t>six</w:t>
      </w:r>
      <w:r w:rsidR="00A65CE2">
        <w:t xml:space="preserve"> major components of the </w:t>
      </w:r>
      <w:r w:rsidR="00131B07">
        <w:t>f</w:t>
      </w:r>
      <w:r w:rsidR="00A65CE2">
        <w:t xml:space="preserve">orecast: </w:t>
      </w:r>
      <w:r w:rsidR="00131B07">
        <w:t>b</w:t>
      </w:r>
      <w:r w:rsidR="00A65CE2">
        <w:t>ase load, rooftop PV, electric vehicles, large industrial loads</w:t>
      </w:r>
      <w:r w:rsidR="00FC09E5">
        <w:t>, contracted loads, and officer letters.</w:t>
      </w:r>
      <w:r w:rsidR="00A65CE2">
        <w:t xml:space="preserve">  </w:t>
      </w:r>
      <w:r w:rsidR="00CF69E0">
        <w:t xml:space="preserve"> </w:t>
      </w:r>
      <w:r w:rsidR="00D776C0">
        <w:t>The methodolog</w:t>
      </w:r>
      <w:r w:rsidR="00F77CC2">
        <w:t>ies</w:t>
      </w:r>
      <w:r w:rsidR="00D776C0">
        <w:t xml:space="preserve"> </w:t>
      </w:r>
      <w:r w:rsidR="00F77CC2">
        <w:t xml:space="preserve">used for rooftop PV, </w:t>
      </w:r>
      <w:r w:rsidR="00F77CC2">
        <w:lastRenderedPageBreak/>
        <w:t>electric vehicles, and large industrial loads are</w:t>
      </w:r>
      <w:r w:rsidR="00D776C0">
        <w:t xml:space="preserve"> described.</w:t>
      </w:r>
      <w:r w:rsidR="00FC09E5">
        <w:t xml:space="preserve"> The process of determining contracted loads and officer letter</w:t>
      </w:r>
      <w:r w:rsidR="00E276A9">
        <w:t xml:space="preserve"> load impacts </w:t>
      </w:r>
      <w:r w:rsidR="00A836EE">
        <w:t>is</w:t>
      </w:r>
      <w:r w:rsidR="00E276A9">
        <w:t xml:space="preserve"> also described. </w:t>
      </w:r>
      <w:r w:rsidRPr="00A704D2">
        <w:t xml:space="preserve">Finally, an </w:t>
      </w:r>
      <w:r w:rsidR="00512C40" w:rsidRPr="00A704D2">
        <w:t xml:space="preserve">examination is presented describing the </w:t>
      </w:r>
      <w:r w:rsidR="005F09B0">
        <w:t>five</w:t>
      </w:r>
      <w:r w:rsidR="007F520F">
        <w:t xml:space="preserve"> </w:t>
      </w:r>
      <w:r w:rsidR="00512C40" w:rsidRPr="00A704D2">
        <w:t>major sources of forec</w:t>
      </w:r>
      <w:r w:rsidR="00F53EB3" w:rsidRPr="00A704D2">
        <w:t>ast uncertainty:</w:t>
      </w:r>
      <w:r w:rsidR="00512C40" w:rsidRPr="00A704D2">
        <w:t xml:space="preserve"> weather, economics, energy efficiency,</w:t>
      </w:r>
      <w:r w:rsidR="005935B1">
        <w:t xml:space="preserve"> </w:t>
      </w:r>
      <w:r w:rsidR="007F520F">
        <w:t>price responsive loads</w:t>
      </w:r>
      <w:r w:rsidR="005935B1">
        <w:t>, and large industrial loads.</w:t>
      </w:r>
      <w:r w:rsidR="00D776C0">
        <w:t xml:space="preserve"> </w:t>
      </w:r>
    </w:p>
    <w:p w14:paraId="3511AAD6" w14:textId="2D63624D" w:rsidR="005935B1" w:rsidRDefault="005935B1" w:rsidP="004510B8">
      <w:pPr>
        <w:spacing w:line="276" w:lineRule="auto"/>
        <w:rPr>
          <w:b/>
          <w:u w:val="single"/>
        </w:rPr>
      </w:pPr>
    </w:p>
    <w:p w14:paraId="54DDF731" w14:textId="1F0C4722" w:rsidR="00844AA3" w:rsidRPr="0051299E" w:rsidRDefault="00860F28" w:rsidP="0051299E">
      <w:pPr>
        <w:spacing w:line="276" w:lineRule="auto"/>
        <w:jc w:val="center"/>
        <w:rPr>
          <w:b/>
          <w:u w:val="single"/>
        </w:rPr>
      </w:pPr>
      <w:r w:rsidRPr="0051299E">
        <w:rPr>
          <w:b/>
          <w:u w:val="single"/>
        </w:rPr>
        <w:t>Modeling Framework</w:t>
      </w:r>
    </w:p>
    <w:p w14:paraId="4D3C1C78" w14:textId="7BC235AF" w:rsidR="0066626C" w:rsidRDefault="0066626C" w:rsidP="006812D4">
      <w:pPr>
        <w:spacing w:line="276" w:lineRule="auto"/>
        <w:rPr>
          <w:u w:val="single"/>
        </w:rPr>
      </w:pPr>
    </w:p>
    <w:p w14:paraId="5FF63336" w14:textId="472DE571" w:rsidR="00017041" w:rsidRDefault="00017041" w:rsidP="00017041">
      <w:pPr>
        <w:pStyle w:val="StyleLinespacingMultiple115li"/>
      </w:pPr>
      <w:r>
        <w:t>The 2024</w:t>
      </w:r>
      <w:r w:rsidRPr="00512C40">
        <w:t xml:space="preserve"> </w:t>
      </w:r>
      <w:r>
        <w:t>LTDEF</w:t>
      </w:r>
      <w:r w:rsidRPr="00512C40">
        <w:t xml:space="preserve"> was produced with a set </w:t>
      </w:r>
      <w:r>
        <w:t>of linear regression</w:t>
      </w:r>
      <w:r w:rsidRPr="00512C40">
        <w:t xml:space="preserve"> models that combine weather, </w:t>
      </w:r>
      <w:r>
        <w:t>premise data, a</w:t>
      </w:r>
      <w:r w:rsidRPr="00512C40">
        <w:t>nd calendar variables to capture and project the long-term trends extracted from the h</w:t>
      </w:r>
      <w:r>
        <w:t xml:space="preserve">istorical load data. Premise forecasts were also developed. </w:t>
      </w:r>
    </w:p>
    <w:p w14:paraId="46C7F6BE" w14:textId="0051B6F0" w:rsidR="00017041" w:rsidRDefault="00017041" w:rsidP="00017041">
      <w:pPr>
        <w:pStyle w:val="StyleLinespacingMultiple115li"/>
      </w:pPr>
    </w:p>
    <w:p w14:paraId="7D1ED144" w14:textId="77777777" w:rsidR="00017041" w:rsidRDefault="00017041" w:rsidP="00017041">
      <w:pPr>
        <w:pStyle w:val="StyleLinespacingMultiple115li"/>
      </w:pPr>
      <w:r>
        <w:t>All model descriptions included in this document should be understood as referring to weather zones. The ERCOT forecast is calculated as the sum of all weather zone forecasts.</w:t>
      </w:r>
    </w:p>
    <w:p w14:paraId="59E3B57B" w14:textId="77777777" w:rsidR="00017041" w:rsidRDefault="00017041" w:rsidP="00017041">
      <w:pPr>
        <w:pStyle w:val="StyleLinespacingMultiple115li"/>
      </w:pPr>
    </w:p>
    <w:p w14:paraId="6260F1F5" w14:textId="009FB132" w:rsidR="00860F28" w:rsidRDefault="00844AA3" w:rsidP="006812D4">
      <w:pPr>
        <w:pStyle w:val="StyleLinespacingMultiple115li"/>
      </w:pPr>
      <w:r>
        <w:t>ERCOT consists of eight distinct weather zones</w:t>
      </w:r>
      <w:r w:rsidR="006C5950">
        <w:t xml:space="preserve"> (</w:t>
      </w:r>
      <w:r w:rsidR="009B52D1">
        <w:t>F</w:t>
      </w:r>
      <w:r w:rsidR="006C5950">
        <w:t xml:space="preserve">igure </w:t>
      </w:r>
      <w:r w:rsidR="009B52D1">
        <w:t>3</w:t>
      </w:r>
      <w:r w:rsidR="006C5950">
        <w:t>)</w:t>
      </w:r>
      <w:r>
        <w:t>. Weather zones</w:t>
      </w:r>
      <w:r>
        <w:rPr>
          <w:rStyle w:val="FootnoteReference"/>
        </w:rPr>
        <w:footnoteReference w:id="1"/>
      </w:r>
      <w:r>
        <w:t xml:space="preserve"> represent a geographic region in which climatological characteristics are similar</w:t>
      </w:r>
      <w:r w:rsidR="00C87A00">
        <w:t>.</w:t>
      </w:r>
      <w:r w:rsidR="006C5950">
        <w:t xml:space="preserve">  </w:t>
      </w:r>
      <w:r w:rsidR="00BC33BD">
        <w:t xml:space="preserve">Each weather zone has </w:t>
      </w:r>
      <w:r w:rsidR="00C146BB">
        <w:t>two</w:t>
      </w:r>
      <w:r w:rsidR="00BC33BD">
        <w:t xml:space="preserve"> or </w:t>
      </w:r>
      <w:r w:rsidR="00C146BB">
        <w:t>three</w:t>
      </w:r>
      <w:r w:rsidR="00BC33BD">
        <w:t xml:space="preserve"> weather stations</w:t>
      </w:r>
      <w:r w:rsidR="00C146BB">
        <w:t xml:space="preserve"> that</w:t>
      </w:r>
      <w:r w:rsidR="00BC33BD">
        <w:t xml:space="preserve"> provide data for the assigned weather zone</w:t>
      </w:r>
      <w:r w:rsidR="00C87A00">
        <w:t xml:space="preserve">. </w:t>
      </w:r>
      <w:r w:rsidR="000D3DA1">
        <w:t>T</w:t>
      </w:r>
      <w:r w:rsidR="00860F28">
        <w:t>o reflect the unique weather and load characteristics of each zone, separate load forecasting models were developed for each of the weather zones.</w:t>
      </w:r>
    </w:p>
    <w:p w14:paraId="12A421A4" w14:textId="08B1B670" w:rsidR="00A90607" w:rsidRDefault="00A90607" w:rsidP="006812D4">
      <w:pPr>
        <w:pStyle w:val="StyleLinespacingMultiple115li"/>
      </w:pPr>
    </w:p>
    <w:p w14:paraId="43E3A2E5" w14:textId="0EED021D" w:rsidR="00A90607" w:rsidRDefault="00A90607" w:rsidP="00A90607">
      <w:pPr>
        <w:pStyle w:val="StyleLinespacingMultiple115li"/>
      </w:pPr>
    </w:p>
    <w:p w14:paraId="26E2466C" w14:textId="77777777" w:rsidR="00A90607" w:rsidRPr="0051299E" w:rsidRDefault="00A90607" w:rsidP="00A90607">
      <w:pPr>
        <w:pStyle w:val="StyleLinespacingMultiple115li"/>
        <w:jc w:val="center"/>
        <w:rPr>
          <w:b/>
          <w:u w:val="single"/>
        </w:rPr>
      </w:pPr>
      <w:r w:rsidRPr="0051299E">
        <w:rPr>
          <w:b/>
          <w:u w:val="single"/>
        </w:rPr>
        <w:t>Premise Forecast Models</w:t>
      </w:r>
    </w:p>
    <w:p w14:paraId="51B45CD9" w14:textId="77777777" w:rsidR="00A90607" w:rsidRDefault="00A90607" w:rsidP="00A90607">
      <w:pPr>
        <w:pStyle w:val="StyleLinespacingMultiple115li"/>
        <w:rPr>
          <w:u w:val="single"/>
        </w:rPr>
      </w:pPr>
    </w:p>
    <w:p w14:paraId="0F5AD2D7" w14:textId="3745F8F8" w:rsidR="00A90607" w:rsidRDefault="00A90607" w:rsidP="00A90607">
      <w:pPr>
        <w:spacing w:line="276" w:lineRule="auto"/>
      </w:pPr>
      <w:r>
        <w:t>The key driver of</w:t>
      </w:r>
      <w:r w:rsidRPr="0000198A">
        <w:t xml:space="preserve"> the forecasted growth of demand and energy is the number of premises</w:t>
      </w:r>
      <w:r>
        <w:t xml:space="preserve">. </w:t>
      </w:r>
      <w:r w:rsidRPr="0000198A">
        <w:t>County-level economic data was used to capture and project the long-term trends extracted from the historical premise data</w:t>
      </w:r>
      <w:r>
        <w:t>. County-level data was mapped into the</w:t>
      </w:r>
      <w:r w:rsidRPr="0000198A">
        <w:t xml:space="preserve"> weather zone</w:t>
      </w:r>
      <w:r>
        <w:t>s</w:t>
      </w:r>
      <w:r w:rsidRPr="0000198A">
        <w:t xml:space="preserve"> (Figure </w:t>
      </w:r>
      <w:r w:rsidR="0029373C">
        <w:t>3</w:t>
      </w:r>
      <w:r w:rsidR="004510B8">
        <w:t>)</w:t>
      </w:r>
      <w:r>
        <w:t xml:space="preserve">. </w:t>
      </w:r>
    </w:p>
    <w:p w14:paraId="2A574C10" w14:textId="77777777" w:rsidR="00A90607" w:rsidRDefault="00A90607" w:rsidP="00A90607">
      <w:pPr>
        <w:pStyle w:val="StyleLinespacingMultiple115li"/>
      </w:pPr>
    </w:p>
    <w:p w14:paraId="720DC000" w14:textId="53EA8731" w:rsidR="00A90607" w:rsidRDefault="00A90607" w:rsidP="00A90607">
      <w:pPr>
        <w:pStyle w:val="StyleLinespacingMultiple115li"/>
      </w:pPr>
      <w:r>
        <w:t>Premises were separated into three different customer classes for modeling purposes:</w:t>
      </w:r>
    </w:p>
    <w:p w14:paraId="675140FC" w14:textId="77777777" w:rsidR="00E35BA4" w:rsidRDefault="00E35BA4" w:rsidP="00A90607">
      <w:pPr>
        <w:pStyle w:val="StyleLinespacingMultiple115li"/>
      </w:pPr>
    </w:p>
    <w:p w14:paraId="148BB710" w14:textId="77777777" w:rsidR="00A90607" w:rsidRDefault="00A90607" w:rsidP="00533877">
      <w:pPr>
        <w:pStyle w:val="StyleLinespacingMultiple115li"/>
        <w:numPr>
          <w:ilvl w:val="0"/>
          <w:numId w:val="3"/>
        </w:numPr>
      </w:pPr>
      <w:r>
        <w:t>Residential (including lighting),</w:t>
      </w:r>
    </w:p>
    <w:p w14:paraId="4EFAAC6A" w14:textId="77777777" w:rsidR="00A90607" w:rsidRDefault="00A90607" w:rsidP="00533877">
      <w:pPr>
        <w:pStyle w:val="StyleLinespacingMultiple115li"/>
        <w:numPr>
          <w:ilvl w:val="0"/>
          <w:numId w:val="3"/>
        </w:numPr>
      </w:pPr>
      <w:r>
        <w:t>Business (small commercial), and</w:t>
      </w:r>
    </w:p>
    <w:p w14:paraId="01B542EA" w14:textId="77777777" w:rsidR="00A90607" w:rsidRPr="000F4683" w:rsidRDefault="00A90607" w:rsidP="00533877">
      <w:pPr>
        <w:pStyle w:val="StyleLinespacingMultiple115li"/>
        <w:numPr>
          <w:ilvl w:val="0"/>
          <w:numId w:val="3"/>
        </w:numPr>
      </w:pPr>
      <w:r>
        <w:t>Industrial (premises which are required to have an IDR meter</w:t>
      </w:r>
      <w:r>
        <w:rPr>
          <w:rStyle w:val="FootnoteReference"/>
        </w:rPr>
        <w:footnoteReference w:id="2"/>
      </w:r>
      <w:r>
        <w:t>).</w:t>
      </w:r>
    </w:p>
    <w:p w14:paraId="3576BA9F" w14:textId="07EFC3BD" w:rsidR="00A90607" w:rsidRDefault="00A90607" w:rsidP="00A90607">
      <w:pPr>
        <w:pStyle w:val="StyleLinespacingMultiple115li"/>
      </w:pPr>
    </w:p>
    <w:p w14:paraId="1054198E" w14:textId="2776C1E6" w:rsidR="005935B1" w:rsidRPr="004510B8" w:rsidRDefault="00CF2CAA" w:rsidP="004510B8">
      <w:pPr>
        <w:pStyle w:val="StyleLinespacingMultiple115li"/>
      </w:pPr>
      <w:r w:rsidRPr="00BB7062">
        <w:t>All premise models were developed using historical data from January 201</w:t>
      </w:r>
      <w:r w:rsidR="0031727E">
        <w:t>8</w:t>
      </w:r>
      <w:r w:rsidRPr="00BB7062">
        <w:t xml:space="preserve"> through </w:t>
      </w:r>
      <w:r w:rsidR="0031727E">
        <w:t>May</w:t>
      </w:r>
      <w:r>
        <w:t xml:space="preserve"> 202</w:t>
      </w:r>
      <w:r w:rsidR="0031727E">
        <w:t>3</w:t>
      </w:r>
      <w:r w:rsidRPr="00BB7062">
        <w:t xml:space="preserve">. An autoregressive model (AR1) was used for all premise </w:t>
      </w:r>
      <w:r w:rsidR="00CF69E0">
        <w:t>forecasts</w:t>
      </w:r>
      <w:r w:rsidRPr="00BB7062">
        <w:t>.</w:t>
      </w:r>
    </w:p>
    <w:p w14:paraId="13C6A93A" w14:textId="77777777" w:rsidR="005935B1" w:rsidRDefault="005935B1" w:rsidP="000F4683">
      <w:pPr>
        <w:spacing w:line="276" w:lineRule="auto"/>
        <w:jc w:val="center"/>
        <w:rPr>
          <w:b/>
          <w:u w:val="single"/>
        </w:rPr>
      </w:pPr>
    </w:p>
    <w:p w14:paraId="66A45B5C" w14:textId="77777777" w:rsidR="005935B1" w:rsidRDefault="005935B1" w:rsidP="000F4683">
      <w:pPr>
        <w:spacing w:line="276" w:lineRule="auto"/>
        <w:jc w:val="center"/>
        <w:rPr>
          <w:b/>
          <w:u w:val="single"/>
        </w:rPr>
      </w:pPr>
    </w:p>
    <w:p w14:paraId="0340D6A1" w14:textId="77777777" w:rsidR="00D615F2" w:rsidRDefault="00D615F2" w:rsidP="000F4683">
      <w:pPr>
        <w:spacing w:line="276" w:lineRule="auto"/>
        <w:jc w:val="center"/>
        <w:rPr>
          <w:b/>
          <w:u w:val="single"/>
        </w:rPr>
      </w:pPr>
    </w:p>
    <w:p w14:paraId="12A16887" w14:textId="77777777" w:rsidR="00D615F2" w:rsidRDefault="00D615F2" w:rsidP="000F4683">
      <w:pPr>
        <w:spacing w:line="276" w:lineRule="auto"/>
        <w:jc w:val="center"/>
        <w:rPr>
          <w:b/>
          <w:u w:val="single"/>
        </w:rPr>
      </w:pPr>
    </w:p>
    <w:p w14:paraId="6A67707D" w14:textId="2810D7B4" w:rsidR="000F4683" w:rsidRDefault="000F4683" w:rsidP="004510B8">
      <w:pPr>
        <w:spacing w:line="276" w:lineRule="auto"/>
        <w:jc w:val="center"/>
        <w:rPr>
          <w:b/>
          <w:u w:val="single"/>
        </w:rPr>
      </w:pPr>
      <w:r w:rsidRPr="00D776C0">
        <w:rPr>
          <w:b/>
          <w:u w:val="single"/>
        </w:rPr>
        <w:lastRenderedPageBreak/>
        <w:t xml:space="preserve">Figure </w:t>
      </w:r>
      <w:r w:rsidR="0029373C">
        <w:rPr>
          <w:b/>
          <w:u w:val="single"/>
        </w:rPr>
        <w:t>3</w:t>
      </w:r>
      <w:r w:rsidRPr="00D776C0">
        <w:rPr>
          <w:b/>
          <w:u w:val="single"/>
        </w:rPr>
        <w:t>: ERCOT Weather Zones</w:t>
      </w:r>
    </w:p>
    <w:p w14:paraId="656CC963" w14:textId="77777777" w:rsidR="008652E2" w:rsidRDefault="008652E2" w:rsidP="000F4683">
      <w:pPr>
        <w:spacing w:line="276" w:lineRule="auto"/>
        <w:jc w:val="center"/>
        <w:rPr>
          <w:b/>
          <w:u w:val="single"/>
        </w:rPr>
      </w:pPr>
    </w:p>
    <w:p w14:paraId="3CF53B76" w14:textId="227B15D3" w:rsidR="000F4683" w:rsidRPr="000F4683" w:rsidRDefault="007B72F4" w:rsidP="000F4683">
      <w:pPr>
        <w:spacing w:line="276" w:lineRule="auto"/>
        <w:rPr>
          <w:u w:val="single"/>
        </w:rPr>
      </w:pPr>
      <w:r>
        <w:rPr>
          <w:noProof/>
        </w:rPr>
        <w:drawing>
          <wp:inline distT="0" distB="0" distL="0" distR="0" wp14:anchorId="49A4D3E8" wp14:editId="522586A1">
            <wp:extent cx="6858000" cy="55587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58000" cy="5558790"/>
                    </a:xfrm>
                    <a:prstGeom prst="rect">
                      <a:avLst/>
                    </a:prstGeom>
                    <a:noFill/>
                    <a:ln>
                      <a:noFill/>
                    </a:ln>
                  </pic:spPr>
                </pic:pic>
              </a:graphicData>
            </a:graphic>
          </wp:inline>
        </w:drawing>
      </w:r>
    </w:p>
    <w:p w14:paraId="57EEBD38" w14:textId="77777777" w:rsidR="00E35BA4" w:rsidRDefault="00E35BA4" w:rsidP="00A90607">
      <w:pPr>
        <w:pStyle w:val="StyleLinespacingMultiple115li"/>
        <w:rPr>
          <w:u w:val="single"/>
        </w:rPr>
      </w:pPr>
    </w:p>
    <w:p w14:paraId="5FB0D884" w14:textId="6EBCB167" w:rsidR="00A90607" w:rsidRDefault="00A90607" w:rsidP="00A90607">
      <w:pPr>
        <w:pStyle w:val="StyleLinespacingMultiple115li"/>
        <w:rPr>
          <w:u w:val="single"/>
        </w:rPr>
      </w:pPr>
      <w:r>
        <w:rPr>
          <w:u w:val="single"/>
        </w:rPr>
        <w:t>Residential</w:t>
      </w:r>
      <w:r w:rsidRPr="003B12E4">
        <w:rPr>
          <w:u w:val="single"/>
        </w:rPr>
        <w:t xml:space="preserve"> Premise Forecast</w:t>
      </w:r>
    </w:p>
    <w:p w14:paraId="1E6F2290" w14:textId="77777777" w:rsidR="00A90607" w:rsidRDefault="00A90607" w:rsidP="00A90607">
      <w:pPr>
        <w:pStyle w:val="StyleLinespacingMultiple115li"/>
      </w:pPr>
    </w:p>
    <w:p w14:paraId="288DA34A" w14:textId="7CDDF078" w:rsidR="00A90607" w:rsidRDefault="00A90607" w:rsidP="00A90607">
      <w:pPr>
        <w:pStyle w:val="StyleLinespacingMultiple115li"/>
      </w:pPr>
      <w:r w:rsidRPr="0000198A">
        <w:t xml:space="preserve">Residential premise counts were modeled by estimating a relationship for each of the </w:t>
      </w:r>
      <w:r w:rsidRPr="00F471C3">
        <w:t>eight</w:t>
      </w:r>
      <w:r w:rsidRPr="0000198A">
        <w:t xml:space="preserve"> ERCOT weather zones between the dependent variable (residential premises) and the following:</w:t>
      </w:r>
    </w:p>
    <w:p w14:paraId="695F37B5" w14:textId="77777777" w:rsidR="00E35BA4" w:rsidRPr="0000198A" w:rsidRDefault="00E35BA4" w:rsidP="00A90607">
      <w:pPr>
        <w:pStyle w:val="StyleLinespacingMultiple115li"/>
      </w:pPr>
    </w:p>
    <w:p w14:paraId="5CBE1177" w14:textId="77777777" w:rsidR="00A90607" w:rsidRPr="0000198A" w:rsidRDefault="00A90607" w:rsidP="00533877">
      <w:pPr>
        <w:pStyle w:val="StyleLinespacingMultiple115li"/>
        <w:numPr>
          <w:ilvl w:val="0"/>
          <w:numId w:val="4"/>
        </w:numPr>
      </w:pPr>
      <w:r w:rsidRPr="0000198A">
        <w:t>Housing Stock</w:t>
      </w:r>
      <w:r>
        <w:t>,</w:t>
      </w:r>
    </w:p>
    <w:p w14:paraId="02B0FC4B" w14:textId="77777777" w:rsidR="00A90607" w:rsidRDefault="00A90607" w:rsidP="00533877">
      <w:pPr>
        <w:pStyle w:val="StyleLinespacingMultiple115li"/>
        <w:numPr>
          <w:ilvl w:val="0"/>
          <w:numId w:val="4"/>
        </w:numPr>
      </w:pPr>
      <w:r w:rsidRPr="0000198A">
        <w:t>Population</w:t>
      </w:r>
      <w:r>
        <w:t>, and</w:t>
      </w:r>
    </w:p>
    <w:p w14:paraId="5ACB7899" w14:textId="77777777" w:rsidR="00A90607" w:rsidRPr="0000198A" w:rsidRDefault="00A90607" w:rsidP="00533877">
      <w:pPr>
        <w:pStyle w:val="StyleLinespacingMultiple115li"/>
        <w:numPr>
          <w:ilvl w:val="0"/>
          <w:numId w:val="4"/>
        </w:numPr>
      </w:pPr>
      <w:r>
        <w:t>Non-farm employment.</w:t>
      </w:r>
    </w:p>
    <w:p w14:paraId="3ECD5B40" w14:textId="77777777" w:rsidR="00A773FD" w:rsidRDefault="00A773FD" w:rsidP="006812D4">
      <w:pPr>
        <w:pStyle w:val="StyleLinespacingMultiple115li"/>
        <w:rPr>
          <w:u w:val="single"/>
        </w:rPr>
      </w:pPr>
    </w:p>
    <w:p w14:paraId="63ED29E7" w14:textId="77777777" w:rsidR="005935B1" w:rsidRDefault="005935B1" w:rsidP="006812D4">
      <w:pPr>
        <w:pStyle w:val="StyleLinespacingMultiple115li"/>
        <w:rPr>
          <w:u w:val="single"/>
        </w:rPr>
      </w:pPr>
    </w:p>
    <w:p w14:paraId="3EA57EB1" w14:textId="77777777" w:rsidR="00D615F2" w:rsidRDefault="00D615F2" w:rsidP="006812D4">
      <w:pPr>
        <w:pStyle w:val="StyleLinespacingMultiple115li"/>
        <w:rPr>
          <w:u w:val="single"/>
        </w:rPr>
      </w:pPr>
    </w:p>
    <w:p w14:paraId="308A8545" w14:textId="77777777" w:rsidR="00D615F2" w:rsidRDefault="00D615F2" w:rsidP="006812D4">
      <w:pPr>
        <w:pStyle w:val="StyleLinespacingMultiple115li"/>
        <w:rPr>
          <w:u w:val="single"/>
        </w:rPr>
      </w:pPr>
    </w:p>
    <w:p w14:paraId="74F13D9A" w14:textId="4FC56CD6" w:rsidR="0066626C" w:rsidRDefault="00715FC8" w:rsidP="006812D4">
      <w:pPr>
        <w:pStyle w:val="StyleLinespacingMultiple115li"/>
        <w:rPr>
          <w:u w:val="single"/>
        </w:rPr>
      </w:pPr>
      <w:r>
        <w:rPr>
          <w:u w:val="single"/>
        </w:rPr>
        <w:lastRenderedPageBreak/>
        <w:t>B</w:t>
      </w:r>
      <w:r w:rsidR="00104499" w:rsidRPr="003B12E4">
        <w:rPr>
          <w:u w:val="single"/>
        </w:rPr>
        <w:t>usiness Premise Forecast</w:t>
      </w:r>
    </w:p>
    <w:p w14:paraId="6CF079D2" w14:textId="77777777" w:rsidR="00715FC8" w:rsidRDefault="00715FC8" w:rsidP="006812D4">
      <w:pPr>
        <w:pStyle w:val="StyleLinespacingMultiple115li"/>
      </w:pPr>
    </w:p>
    <w:p w14:paraId="14E0733D" w14:textId="3BEC2266" w:rsidR="00046009" w:rsidRDefault="00046009" w:rsidP="006812D4">
      <w:pPr>
        <w:pStyle w:val="StyleLinespacingMultiple115li"/>
      </w:pPr>
      <w:r w:rsidRPr="0000198A">
        <w:t xml:space="preserve">Business premise counts were modeled by estimating a relationship for each of the </w:t>
      </w:r>
      <w:r w:rsidRPr="00F471C3">
        <w:t>eight</w:t>
      </w:r>
      <w:r w:rsidRPr="0000198A">
        <w:t xml:space="preserve"> ERCOT weather </w:t>
      </w:r>
      <w:r w:rsidR="00B254CB">
        <w:t xml:space="preserve">  </w:t>
      </w:r>
      <w:r w:rsidRPr="0000198A">
        <w:t xml:space="preserve">zones between the dependent </w:t>
      </w:r>
      <w:r w:rsidR="00963B5A">
        <w:t>variable (business premises)</w:t>
      </w:r>
      <w:r w:rsidRPr="0000198A">
        <w:t xml:space="preserve"> and the following:</w:t>
      </w:r>
    </w:p>
    <w:p w14:paraId="0BA6576F" w14:textId="77777777" w:rsidR="00E35BA4" w:rsidRPr="0000198A" w:rsidRDefault="00E35BA4" w:rsidP="006812D4">
      <w:pPr>
        <w:pStyle w:val="StyleLinespacingMultiple115li"/>
      </w:pPr>
    </w:p>
    <w:p w14:paraId="565422F7" w14:textId="77777777" w:rsidR="00EF0008" w:rsidRDefault="00046009" w:rsidP="00533877">
      <w:pPr>
        <w:pStyle w:val="StyleLinespacingMultiple115li"/>
        <w:numPr>
          <w:ilvl w:val="0"/>
          <w:numId w:val="5"/>
        </w:numPr>
      </w:pPr>
      <w:r w:rsidRPr="0000198A">
        <w:t>Housing Stock,</w:t>
      </w:r>
    </w:p>
    <w:p w14:paraId="1A2D5634" w14:textId="74CE3FBC" w:rsidR="00046009" w:rsidRPr="0000198A" w:rsidRDefault="00046009" w:rsidP="00533877">
      <w:pPr>
        <w:pStyle w:val="StyleLinespacingMultiple115li"/>
        <w:numPr>
          <w:ilvl w:val="0"/>
          <w:numId w:val="5"/>
        </w:numPr>
      </w:pPr>
      <w:r w:rsidRPr="0000198A">
        <w:t>Population, and</w:t>
      </w:r>
    </w:p>
    <w:p w14:paraId="5850C463" w14:textId="77777777" w:rsidR="00046009" w:rsidRPr="0000198A" w:rsidRDefault="00963B5A" w:rsidP="00533877">
      <w:pPr>
        <w:pStyle w:val="StyleLinespacingMultiple115li"/>
        <w:numPr>
          <w:ilvl w:val="0"/>
          <w:numId w:val="5"/>
        </w:numPr>
      </w:pPr>
      <w:r>
        <w:t>Non-F</w:t>
      </w:r>
      <w:r w:rsidR="00046009" w:rsidRPr="0000198A">
        <w:t>arm employment.</w:t>
      </w:r>
    </w:p>
    <w:p w14:paraId="628E0E39" w14:textId="77777777" w:rsidR="000D3DA1" w:rsidRDefault="000D3DA1" w:rsidP="006812D4">
      <w:pPr>
        <w:pStyle w:val="StyleLinespacingMultiple115li"/>
        <w:rPr>
          <w:u w:val="single"/>
        </w:rPr>
      </w:pPr>
    </w:p>
    <w:p w14:paraId="434C9347" w14:textId="095D7CEC" w:rsidR="00104499" w:rsidRDefault="00104499" w:rsidP="006812D4">
      <w:pPr>
        <w:pStyle w:val="StyleLinespacingMultiple115li"/>
        <w:rPr>
          <w:u w:val="single"/>
        </w:rPr>
      </w:pPr>
      <w:r w:rsidRPr="003B12E4">
        <w:rPr>
          <w:u w:val="single"/>
        </w:rPr>
        <w:t>Industrial Premise Forecast</w:t>
      </w:r>
    </w:p>
    <w:p w14:paraId="1A0DBA23" w14:textId="77777777" w:rsidR="0066626C" w:rsidRPr="003B12E4" w:rsidRDefault="0066626C" w:rsidP="006812D4">
      <w:pPr>
        <w:pStyle w:val="StyleLinespacingMultiple115li"/>
        <w:rPr>
          <w:u w:val="single"/>
        </w:rPr>
      </w:pPr>
    </w:p>
    <w:p w14:paraId="6BBADB90" w14:textId="1B2A52C8" w:rsidR="00046009" w:rsidRDefault="00046009" w:rsidP="006812D4">
      <w:pPr>
        <w:pStyle w:val="StyleLinespacingMultiple115li"/>
      </w:pPr>
      <w:r w:rsidRPr="00BB7062">
        <w:t>Industrial premise counts were modeled by estimating a relationship for each of the eight ERCOT weather zones between the</w:t>
      </w:r>
      <w:r w:rsidR="00963B5A" w:rsidRPr="00BB7062">
        <w:t xml:space="preserve"> dependent variable (industrial</w:t>
      </w:r>
      <w:r w:rsidRPr="00BB7062">
        <w:t xml:space="preserve"> premises), and the following:</w:t>
      </w:r>
    </w:p>
    <w:p w14:paraId="41B68199" w14:textId="77777777" w:rsidR="00E35BA4" w:rsidRPr="00BB7062" w:rsidRDefault="00E35BA4" w:rsidP="006812D4">
      <w:pPr>
        <w:pStyle w:val="StyleLinespacingMultiple115li"/>
      </w:pPr>
    </w:p>
    <w:p w14:paraId="7A861C2B" w14:textId="77777777" w:rsidR="00046009" w:rsidRPr="00BB7062" w:rsidRDefault="00046009" w:rsidP="00533877">
      <w:pPr>
        <w:pStyle w:val="StyleLinespacingMultiple115li"/>
        <w:numPr>
          <w:ilvl w:val="0"/>
          <w:numId w:val="6"/>
        </w:numPr>
      </w:pPr>
      <w:r w:rsidRPr="00BB7062">
        <w:t>Housing Stock,</w:t>
      </w:r>
    </w:p>
    <w:p w14:paraId="05F39D61" w14:textId="77777777" w:rsidR="00046009" w:rsidRPr="00BB7062" w:rsidRDefault="00046009" w:rsidP="00533877">
      <w:pPr>
        <w:pStyle w:val="StyleLinespacingMultiple115li"/>
        <w:numPr>
          <w:ilvl w:val="0"/>
          <w:numId w:val="6"/>
        </w:numPr>
      </w:pPr>
      <w:r w:rsidRPr="00BB7062">
        <w:t>Population, and</w:t>
      </w:r>
    </w:p>
    <w:p w14:paraId="6DE93A2C" w14:textId="77777777" w:rsidR="00046009" w:rsidRPr="00BB7062" w:rsidRDefault="00963B5A" w:rsidP="00533877">
      <w:pPr>
        <w:pStyle w:val="StyleLinespacingMultiple115li"/>
        <w:numPr>
          <w:ilvl w:val="0"/>
          <w:numId w:val="6"/>
        </w:numPr>
      </w:pPr>
      <w:r w:rsidRPr="00BB7062">
        <w:t>Non-F</w:t>
      </w:r>
      <w:r w:rsidR="00046009" w:rsidRPr="00BB7062">
        <w:t>arm employment.</w:t>
      </w:r>
    </w:p>
    <w:p w14:paraId="2769A312" w14:textId="29693C87" w:rsidR="00104499" w:rsidRDefault="00104499" w:rsidP="006812D4">
      <w:pPr>
        <w:pStyle w:val="StyleLinespacingMultiple115li"/>
      </w:pPr>
    </w:p>
    <w:p w14:paraId="4543C3E2" w14:textId="53BEA1D2" w:rsidR="00C71CC0" w:rsidRDefault="00C71CC0" w:rsidP="006812D4">
      <w:pPr>
        <w:pStyle w:val="StyleLinespacingMultiple115li"/>
      </w:pPr>
    </w:p>
    <w:p w14:paraId="73C7EA0B" w14:textId="7ED2BFE3" w:rsidR="00C71CC0" w:rsidRDefault="00C71CC0" w:rsidP="00C71CC0">
      <w:pPr>
        <w:spacing w:line="276" w:lineRule="auto"/>
        <w:jc w:val="center"/>
        <w:rPr>
          <w:b/>
          <w:u w:val="single"/>
        </w:rPr>
      </w:pPr>
      <w:r>
        <w:rPr>
          <w:b/>
          <w:u w:val="single"/>
        </w:rPr>
        <w:t>Waterfall Methodology</w:t>
      </w:r>
    </w:p>
    <w:p w14:paraId="5762FD45" w14:textId="77777777" w:rsidR="00C71CC0" w:rsidRDefault="00C71CC0" w:rsidP="00C71CC0">
      <w:pPr>
        <w:spacing w:line="276" w:lineRule="auto"/>
        <w:rPr>
          <w:bCs/>
        </w:rPr>
      </w:pPr>
    </w:p>
    <w:p w14:paraId="407736AA" w14:textId="17F89980" w:rsidR="00CB2DD8" w:rsidRDefault="00C71CC0" w:rsidP="0049558B">
      <w:pPr>
        <w:spacing w:line="276" w:lineRule="auto"/>
        <w:ind w:firstLine="720"/>
        <w:rPr>
          <w:bCs/>
        </w:rPr>
      </w:pPr>
      <w:r>
        <w:rPr>
          <w:bCs/>
        </w:rPr>
        <w:t xml:space="preserve">The method used to create the ERCOT net forecast is a waterfall approach that sequentially combines individual components of </w:t>
      </w:r>
      <w:r w:rsidR="007B72F4">
        <w:rPr>
          <w:bCs/>
        </w:rPr>
        <w:t>the</w:t>
      </w:r>
      <w:r>
        <w:rPr>
          <w:bCs/>
        </w:rPr>
        <w:t xml:space="preserve"> forecast. The purpose of using the waterfall approach is to allow the ability to provide forecasts for many scenarios.</w:t>
      </w:r>
      <w:r w:rsidR="00012135">
        <w:rPr>
          <w:bCs/>
        </w:rPr>
        <w:t xml:space="preserve"> The waterfall method allows discovery and insight on changes to the ERCOT system by examining individual components. </w:t>
      </w:r>
      <w:r w:rsidR="000C4077">
        <w:rPr>
          <w:bCs/>
        </w:rPr>
        <w:t xml:space="preserve">Reconstitution was also used for rooftop PV </w:t>
      </w:r>
      <w:r w:rsidR="00CB2DD8">
        <w:rPr>
          <w:bCs/>
        </w:rPr>
        <w:t>to avoid double counting load which is possible using the waterfall method</w:t>
      </w:r>
      <w:r w:rsidR="00CC6D43">
        <w:rPr>
          <w:bCs/>
        </w:rPr>
        <w:t xml:space="preserve"> by adding historical PV </w:t>
      </w:r>
      <w:r w:rsidR="00BC7DD0">
        <w:rPr>
          <w:bCs/>
        </w:rPr>
        <w:t>output</w:t>
      </w:r>
      <w:r w:rsidR="00CC6D43">
        <w:rPr>
          <w:bCs/>
        </w:rPr>
        <w:t xml:space="preserve"> back to </w:t>
      </w:r>
      <w:r w:rsidR="00BC7DD0">
        <w:rPr>
          <w:bCs/>
        </w:rPr>
        <w:t>the</w:t>
      </w:r>
      <w:r w:rsidR="00CC6D43">
        <w:rPr>
          <w:bCs/>
        </w:rPr>
        <w:t xml:space="preserve"> native load before modeling </w:t>
      </w:r>
      <w:r w:rsidR="009D1D2A">
        <w:rPr>
          <w:bCs/>
        </w:rPr>
        <w:t>occurs.</w:t>
      </w:r>
      <w:r w:rsidR="0084540A">
        <w:rPr>
          <w:bCs/>
        </w:rPr>
        <w:t xml:space="preserve"> The </w:t>
      </w:r>
      <w:r w:rsidR="0008073F">
        <w:rPr>
          <w:bCs/>
        </w:rPr>
        <w:t>base</w:t>
      </w:r>
      <w:r w:rsidR="0084540A">
        <w:rPr>
          <w:bCs/>
        </w:rPr>
        <w:t xml:space="preserve"> forecast is</w:t>
      </w:r>
      <w:r w:rsidR="00DE6D45">
        <w:rPr>
          <w:bCs/>
        </w:rPr>
        <w:t xml:space="preserve"> the</w:t>
      </w:r>
      <w:r w:rsidR="0084540A">
        <w:rPr>
          <w:bCs/>
        </w:rPr>
        <w:t xml:space="preserve"> weather zone normal hourly forecast and </w:t>
      </w:r>
      <w:r w:rsidR="00BC7DD0">
        <w:rPr>
          <w:bCs/>
        </w:rPr>
        <w:t>the</w:t>
      </w:r>
      <w:r w:rsidR="0084540A">
        <w:rPr>
          <w:bCs/>
        </w:rPr>
        <w:t xml:space="preserve"> ERCOT System (</w:t>
      </w:r>
      <w:r w:rsidR="00BC7DD0">
        <w:rPr>
          <w:bCs/>
        </w:rPr>
        <w:t>t</w:t>
      </w:r>
      <w:r w:rsidR="0084540A">
        <w:rPr>
          <w:bCs/>
        </w:rPr>
        <w:t>he sum of all the weather zone normal forecasts)</w:t>
      </w:r>
      <w:r w:rsidR="00DE6D45">
        <w:rPr>
          <w:bCs/>
        </w:rPr>
        <w:t xml:space="preserve"> before any additional forecasts are added</w:t>
      </w:r>
      <w:r w:rsidR="0084540A">
        <w:rPr>
          <w:bCs/>
        </w:rPr>
        <w:t xml:space="preserve">. </w:t>
      </w:r>
      <w:r w:rsidR="006C73B7">
        <w:rPr>
          <w:bCs/>
        </w:rPr>
        <w:t xml:space="preserve">Figure </w:t>
      </w:r>
      <w:r w:rsidR="0029373C">
        <w:rPr>
          <w:bCs/>
        </w:rPr>
        <w:t>4</w:t>
      </w:r>
      <w:r w:rsidR="006C73B7">
        <w:rPr>
          <w:bCs/>
        </w:rPr>
        <w:t xml:space="preserve"> on page 1</w:t>
      </w:r>
      <w:r w:rsidR="00D26A9D">
        <w:rPr>
          <w:bCs/>
        </w:rPr>
        <w:t>0</w:t>
      </w:r>
      <w:r w:rsidR="006C73B7">
        <w:rPr>
          <w:bCs/>
        </w:rPr>
        <w:t xml:space="preserve"> demonstrates the waterfall method by appending the </w:t>
      </w:r>
      <w:r w:rsidR="0008073F">
        <w:rPr>
          <w:bCs/>
        </w:rPr>
        <w:t>six</w:t>
      </w:r>
      <w:r w:rsidR="006C73B7">
        <w:rPr>
          <w:bCs/>
        </w:rPr>
        <w:t xml:space="preserve"> major forecasts one at a time to create </w:t>
      </w:r>
      <w:r w:rsidR="00BC7DD0">
        <w:rPr>
          <w:bCs/>
        </w:rPr>
        <w:t>the</w:t>
      </w:r>
      <w:r w:rsidR="006C73B7">
        <w:rPr>
          <w:bCs/>
        </w:rPr>
        <w:t xml:space="preserve"> ERCOT Winter Coincident Net Forecast.</w:t>
      </w:r>
    </w:p>
    <w:p w14:paraId="2DCA4C2F" w14:textId="77777777" w:rsidR="00BC7DD0" w:rsidRDefault="00BC7DD0" w:rsidP="00C71CC0">
      <w:pPr>
        <w:spacing w:line="276" w:lineRule="auto"/>
      </w:pPr>
    </w:p>
    <w:p w14:paraId="0C1D59B9" w14:textId="77777777" w:rsidR="0008073F" w:rsidRDefault="00D25138" w:rsidP="00C71CC0">
      <w:pPr>
        <w:spacing w:line="276" w:lineRule="auto"/>
      </w:pPr>
      <w:r>
        <w:t>As shown</w:t>
      </w:r>
      <w:r w:rsidR="00BC7DD0">
        <w:t xml:space="preserve"> in the following formula,</w:t>
      </w:r>
      <w:r>
        <w:t xml:space="preserve"> </w:t>
      </w:r>
      <w:r w:rsidR="00C71CC0" w:rsidRPr="00512C40">
        <w:t>LTDEF</w:t>
      </w:r>
      <w:r w:rsidR="00C71CC0">
        <w:t xml:space="preserve"> net forecast is the sum of </w:t>
      </w:r>
      <w:r>
        <w:t>base load, electric vehicle</w:t>
      </w:r>
      <w:r w:rsidR="00BC7DD0">
        <w:t xml:space="preserve"> load</w:t>
      </w:r>
      <w:r>
        <w:t>, and large flexible load forecasts</w:t>
      </w:r>
      <w:r w:rsidR="00BC7DD0">
        <w:t xml:space="preserve"> less the rooftop PV forecast</w:t>
      </w:r>
      <w:r>
        <w:t>.</w:t>
      </w:r>
    </w:p>
    <w:p w14:paraId="65AE6DE1" w14:textId="77777777" w:rsidR="0008073F" w:rsidRDefault="0008073F" w:rsidP="00C71CC0">
      <w:pPr>
        <w:spacing w:line="276" w:lineRule="auto"/>
      </w:pPr>
    </w:p>
    <w:p w14:paraId="38BAAF5F" w14:textId="77777777" w:rsidR="0008073F" w:rsidRPr="0008073F" w:rsidRDefault="0008073F" w:rsidP="0008073F">
      <w:pPr>
        <w:spacing w:line="276" w:lineRule="auto"/>
        <w:rPr>
          <w:sz w:val="21"/>
        </w:rPr>
      </w:pPr>
      <m:oMathPara>
        <m:oMath>
          <m:r>
            <w:rPr>
              <w:rFonts w:ascii="Cambria Math" w:hAnsi="Cambria Math"/>
              <w:sz w:val="21"/>
            </w:rPr>
            <m:t>Net Forecast=Base Load Forecast+EV Forecast+LFL Forecast-PV Forecast+Contracted Loads+Officer Letter Loads</m:t>
          </m:r>
        </m:oMath>
      </m:oMathPara>
    </w:p>
    <w:p w14:paraId="13EC6574" w14:textId="77777777" w:rsidR="0047205D" w:rsidRDefault="0047205D" w:rsidP="0051299E">
      <w:pPr>
        <w:spacing w:line="276" w:lineRule="auto"/>
        <w:jc w:val="center"/>
        <w:rPr>
          <w:b/>
          <w:u w:val="single"/>
        </w:rPr>
      </w:pPr>
    </w:p>
    <w:p w14:paraId="7325A404" w14:textId="77777777" w:rsidR="0047205D" w:rsidRDefault="0047205D" w:rsidP="0051299E">
      <w:pPr>
        <w:spacing w:line="276" w:lineRule="auto"/>
        <w:jc w:val="center"/>
        <w:rPr>
          <w:b/>
          <w:u w:val="single"/>
        </w:rPr>
      </w:pPr>
    </w:p>
    <w:p w14:paraId="014F84A8" w14:textId="67326F61" w:rsidR="0047205D" w:rsidRDefault="0047205D" w:rsidP="00BC7DD0">
      <w:pPr>
        <w:spacing w:line="276" w:lineRule="auto"/>
        <w:rPr>
          <w:b/>
          <w:u w:val="single"/>
        </w:rPr>
      </w:pPr>
    </w:p>
    <w:p w14:paraId="14E7C0DF" w14:textId="19DEDC51" w:rsidR="00A773FD" w:rsidRDefault="00A773FD" w:rsidP="00BC7DD0">
      <w:pPr>
        <w:spacing w:line="276" w:lineRule="auto"/>
        <w:rPr>
          <w:b/>
          <w:u w:val="single"/>
        </w:rPr>
      </w:pPr>
    </w:p>
    <w:p w14:paraId="15B6D6D6" w14:textId="225C8731" w:rsidR="00A773FD" w:rsidRDefault="00A773FD" w:rsidP="00BC7DD0">
      <w:pPr>
        <w:spacing w:line="276" w:lineRule="auto"/>
        <w:rPr>
          <w:b/>
          <w:u w:val="single"/>
        </w:rPr>
      </w:pPr>
    </w:p>
    <w:p w14:paraId="52BB2629" w14:textId="77777777" w:rsidR="00A773FD" w:rsidRDefault="00A773FD" w:rsidP="00BC7DD0">
      <w:pPr>
        <w:spacing w:line="276" w:lineRule="auto"/>
        <w:rPr>
          <w:b/>
          <w:u w:val="single"/>
        </w:rPr>
      </w:pPr>
    </w:p>
    <w:p w14:paraId="1F40B847" w14:textId="468F44CF" w:rsidR="00135D78" w:rsidRPr="0051299E" w:rsidRDefault="005C1D83" w:rsidP="0051299E">
      <w:pPr>
        <w:spacing w:line="276" w:lineRule="auto"/>
        <w:jc w:val="center"/>
        <w:rPr>
          <w:b/>
          <w:u w:val="single"/>
        </w:rPr>
      </w:pPr>
      <w:r w:rsidRPr="0051299E">
        <w:rPr>
          <w:b/>
          <w:u w:val="single"/>
        </w:rPr>
        <w:t>Hourly</w:t>
      </w:r>
      <w:r w:rsidR="00135D78" w:rsidRPr="0051299E">
        <w:rPr>
          <w:b/>
          <w:u w:val="single"/>
        </w:rPr>
        <w:t xml:space="preserve"> </w:t>
      </w:r>
      <w:r w:rsidR="00237619">
        <w:rPr>
          <w:b/>
          <w:u w:val="single"/>
        </w:rPr>
        <w:t>Demand</w:t>
      </w:r>
      <w:r w:rsidR="00135D78" w:rsidRPr="0051299E">
        <w:rPr>
          <w:b/>
          <w:u w:val="single"/>
        </w:rPr>
        <w:t xml:space="preserve"> Models</w:t>
      </w:r>
    </w:p>
    <w:p w14:paraId="7BF3AB8D" w14:textId="77777777" w:rsidR="0066626C" w:rsidRPr="0000198A" w:rsidRDefault="0066626C" w:rsidP="006812D4">
      <w:pPr>
        <w:spacing w:line="276" w:lineRule="auto"/>
        <w:rPr>
          <w:u w:val="single"/>
        </w:rPr>
      </w:pPr>
    </w:p>
    <w:p w14:paraId="10EA45FA" w14:textId="1196943D" w:rsidR="00433633" w:rsidRDefault="00135D78" w:rsidP="006812D4">
      <w:pPr>
        <w:pStyle w:val="StyleLinespacingMultiple115li"/>
      </w:pPr>
      <w:r w:rsidRPr="0000198A">
        <w:t>The long-term tren</w:t>
      </w:r>
      <w:r w:rsidR="006A2BA2" w:rsidRPr="0000198A">
        <w:t xml:space="preserve">d in </w:t>
      </w:r>
      <w:r w:rsidR="005C1D83" w:rsidRPr="0000198A">
        <w:t>hourly</w:t>
      </w:r>
      <w:r w:rsidR="006A2BA2" w:rsidRPr="0000198A">
        <w:t xml:space="preserve"> </w:t>
      </w:r>
      <w:r w:rsidR="00237619">
        <w:t>demand</w:t>
      </w:r>
      <w:r w:rsidR="006A2BA2" w:rsidRPr="0000198A">
        <w:t xml:space="preserve"> </w:t>
      </w:r>
      <w:r w:rsidR="00C25D94" w:rsidRPr="0000198A">
        <w:t>was</w:t>
      </w:r>
      <w:r w:rsidR="006A2BA2" w:rsidRPr="0000198A">
        <w:t xml:space="preserve"> modeled </w:t>
      </w:r>
      <w:r w:rsidR="009A310F" w:rsidRPr="0000198A">
        <w:t xml:space="preserve">by estimating a </w:t>
      </w:r>
      <w:r w:rsidRPr="0000198A">
        <w:t xml:space="preserve">relationship for each of the eight </w:t>
      </w:r>
      <w:r w:rsidR="00433633" w:rsidRPr="0000198A">
        <w:t xml:space="preserve">ERCOT weather zones between </w:t>
      </w:r>
      <w:r w:rsidR="008B6EC6">
        <w:t>the dependent variable (</w:t>
      </w:r>
      <w:r w:rsidR="005C1D83" w:rsidRPr="0000198A">
        <w:t>hourly</w:t>
      </w:r>
      <w:r w:rsidR="001C1403" w:rsidRPr="0000198A">
        <w:t xml:space="preserve"> </w:t>
      </w:r>
      <w:r w:rsidR="00237619">
        <w:t>demand</w:t>
      </w:r>
      <w:r w:rsidR="008B6EC6">
        <w:t>)</w:t>
      </w:r>
      <w:r w:rsidR="00433633" w:rsidRPr="0000198A">
        <w:t xml:space="preserve"> and the following:</w:t>
      </w:r>
    </w:p>
    <w:p w14:paraId="58C1B0D7" w14:textId="77777777" w:rsidR="00E35BA4" w:rsidRPr="0000198A" w:rsidRDefault="00E35BA4" w:rsidP="006812D4">
      <w:pPr>
        <w:pStyle w:val="StyleLinespacingMultiple115li"/>
      </w:pPr>
    </w:p>
    <w:p w14:paraId="79F30166" w14:textId="44324D1E" w:rsidR="00DA36C4" w:rsidRPr="004C74A4" w:rsidRDefault="00232BAD" w:rsidP="00533877">
      <w:pPr>
        <w:pStyle w:val="ListParagraph"/>
        <w:numPr>
          <w:ilvl w:val="0"/>
          <w:numId w:val="2"/>
        </w:numPr>
        <w:rPr>
          <w:rFonts w:ascii="Times New Roman" w:hAnsi="Times New Roman"/>
          <w:sz w:val="24"/>
          <w:szCs w:val="24"/>
        </w:rPr>
      </w:pPr>
      <w:r w:rsidRPr="004C74A4">
        <w:rPr>
          <w:rFonts w:ascii="Times New Roman" w:hAnsi="Times New Roman"/>
          <w:sz w:val="24"/>
          <w:szCs w:val="24"/>
        </w:rPr>
        <w:t>Month</w:t>
      </w:r>
      <w:r w:rsidR="00681E3F" w:rsidRPr="004C74A4">
        <w:rPr>
          <w:rFonts w:ascii="Times New Roman" w:hAnsi="Times New Roman"/>
          <w:sz w:val="24"/>
          <w:szCs w:val="24"/>
        </w:rPr>
        <w:t>,</w:t>
      </w:r>
    </w:p>
    <w:p w14:paraId="2D020FE2" w14:textId="5729049B" w:rsidR="00264CAE" w:rsidRPr="004C74A4" w:rsidRDefault="00264CAE" w:rsidP="00533877">
      <w:pPr>
        <w:pStyle w:val="ListParagraph"/>
        <w:numPr>
          <w:ilvl w:val="0"/>
          <w:numId w:val="2"/>
        </w:numPr>
        <w:rPr>
          <w:rFonts w:ascii="Times New Roman" w:hAnsi="Times New Roman"/>
          <w:sz w:val="24"/>
          <w:szCs w:val="24"/>
        </w:rPr>
      </w:pPr>
      <w:r w:rsidRPr="004C74A4">
        <w:rPr>
          <w:rFonts w:ascii="Times New Roman" w:hAnsi="Times New Roman"/>
          <w:sz w:val="24"/>
          <w:szCs w:val="24"/>
        </w:rPr>
        <w:t>D</w:t>
      </w:r>
      <w:r w:rsidR="00232BAD" w:rsidRPr="004C74A4">
        <w:rPr>
          <w:rFonts w:ascii="Times New Roman" w:hAnsi="Times New Roman"/>
          <w:sz w:val="24"/>
          <w:szCs w:val="24"/>
        </w:rPr>
        <w:t xml:space="preserve">ay of </w:t>
      </w:r>
      <w:r w:rsidRPr="004C74A4">
        <w:rPr>
          <w:rFonts w:ascii="Times New Roman" w:hAnsi="Times New Roman"/>
          <w:sz w:val="24"/>
          <w:szCs w:val="24"/>
        </w:rPr>
        <w:t>Week</w:t>
      </w:r>
      <w:r w:rsidR="008B6EC6" w:rsidRPr="004C74A4">
        <w:rPr>
          <w:rFonts w:ascii="Times New Roman" w:hAnsi="Times New Roman"/>
          <w:sz w:val="24"/>
          <w:szCs w:val="24"/>
        </w:rPr>
        <w:t>,</w:t>
      </w:r>
    </w:p>
    <w:p w14:paraId="74832E0F" w14:textId="5BA2A06C" w:rsidR="00264CAE" w:rsidRPr="004C74A4" w:rsidRDefault="00264CAE" w:rsidP="00533877">
      <w:pPr>
        <w:pStyle w:val="ListParagraph"/>
        <w:numPr>
          <w:ilvl w:val="0"/>
          <w:numId w:val="2"/>
        </w:numPr>
        <w:rPr>
          <w:rFonts w:ascii="Times New Roman" w:hAnsi="Times New Roman"/>
          <w:sz w:val="24"/>
          <w:szCs w:val="24"/>
        </w:rPr>
      </w:pPr>
      <w:r w:rsidRPr="004C74A4">
        <w:rPr>
          <w:rFonts w:ascii="Times New Roman" w:hAnsi="Times New Roman"/>
          <w:sz w:val="24"/>
          <w:szCs w:val="24"/>
        </w:rPr>
        <w:t>Hour</w:t>
      </w:r>
      <w:r w:rsidR="008B6EC6" w:rsidRPr="004C74A4">
        <w:rPr>
          <w:rFonts w:ascii="Times New Roman" w:hAnsi="Times New Roman"/>
          <w:sz w:val="24"/>
          <w:szCs w:val="24"/>
        </w:rPr>
        <w:t>,</w:t>
      </w:r>
    </w:p>
    <w:p w14:paraId="38DFFD63" w14:textId="77777777" w:rsidR="00433633" w:rsidRPr="004C74A4" w:rsidRDefault="001D32EB" w:rsidP="00533877">
      <w:pPr>
        <w:pStyle w:val="ListParagraph"/>
        <w:numPr>
          <w:ilvl w:val="0"/>
          <w:numId w:val="2"/>
        </w:numPr>
        <w:rPr>
          <w:rFonts w:ascii="Times New Roman" w:hAnsi="Times New Roman"/>
          <w:sz w:val="24"/>
          <w:szCs w:val="24"/>
        </w:rPr>
      </w:pPr>
      <w:r w:rsidRPr="004C74A4">
        <w:rPr>
          <w:rFonts w:ascii="Times New Roman" w:hAnsi="Times New Roman"/>
          <w:sz w:val="24"/>
          <w:szCs w:val="24"/>
        </w:rPr>
        <w:t>W</w:t>
      </w:r>
      <w:r w:rsidR="00E911F2" w:rsidRPr="004C74A4">
        <w:rPr>
          <w:rFonts w:ascii="Times New Roman" w:hAnsi="Times New Roman"/>
          <w:sz w:val="24"/>
          <w:szCs w:val="24"/>
        </w:rPr>
        <w:t>eather V</w:t>
      </w:r>
      <w:r w:rsidR="00135D78" w:rsidRPr="004C74A4">
        <w:rPr>
          <w:rFonts w:ascii="Times New Roman" w:hAnsi="Times New Roman"/>
          <w:sz w:val="24"/>
          <w:szCs w:val="24"/>
        </w:rPr>
        <w:t>ariables</w:t>
      </w:r>
      <w:r w:rsidR="00ED184B" w:rsidRPr="004C74A4">
        <w:rPr>
          <w:rFonts w:ascii="Times New Roman" w:hAnsi="Times New Roman"/>
          <w:sz w:val="24"/>
          <w:szCs w:val="24"/>
        </w:rPr>
        <w:t>,</w:t>
      </w:r>
    </w:p>
    <w:p w14:paraId="6EA51154" w14:textId="040B0AF6" w:rsidR="0027705D" w:rsidRPr="004C74A4" w:rsidRDefault="0027705D" w:rsidP="00533877">
      <w:pPr>
        <w:pStyle w:val="ListParagraph"/>
        <w:numPr>
          <w:ilvl w:val="1"/>
          <w:numId w:val="2"/>
        </w:numPr>
        <w:rPr>
          <w:rFonts w:ascii="Times New Roman" w:hAnsi="Times New Roman"/>
          <w:sz w:val="24"/>
          <w:szCs w:val="24"/>
        </w:rPr>
      </w:pPr>
      <w:r w:rsidRPr="004C74A4">
        <w:rPr>
          <w:rFonts w:ascii="Times New Roman" w:hAnsi="Times New Roman"/>
          <w:sz w:val="24"/>
          <w:szCs w:val="24"/>
        </w:rPr>
        <w:t>Temperature</w:t>
      </w:r>
      <w:r w:rsidR="007D21AE">
        <w:rPr>
          <w:rFonts w:ascii="Times New Roman" w:hAnsi="Times New Roman"/>
          <w:sz w:val="24"/>
          <w:szCs w:val="24"/>
        </w:rPr>
        <w:t xml:space="preserve"> including various lagged values</w:t>
      </w:r>
      <w:r w:rsidRPr="004C74A4">
        <w:rPr>
          <w:rFonts w:ascii="Times New Roman" w:hAnsi="Times New Roman"/>
          <w:sz w:val="24"/>
          <w:szCs w:val="24"/>
        </w:rPr>
        <w:t>,</w:t>
      </w:r>
    </w:p>
    <w:p w14:paraId="2B2743DE" w14:textId="568E5998" w:rsidR="0027705D" w:rsidRPr="004C74A4" w:rsidRDefault="0027705D" w:rsidP="00533877">
      <w:pPr>
        <w:pStyle w:val="ListParagraph"/>
        <w:numPr>
          <w:ilvl w:val="1"/>
          <w:numId w:val="2"/>
        </w:numPr>
        <w:rPr>
          <w:rFonts w:ascii="Times New Roman" w:hAnsi="Times New Roman"/>
          <w:sz w:val="24"/>
          <w:szCs w:val="24"/>
        </w:rPr>
      </w:pPr>
      <w:r w:rsidRPr="004C74A4">
        <w:rPr>
          <w:rFonts w:ascii="Times New Roman" w:hAnsi="Times New Roman"/>
          <w:sz w:val="24"/>
          <w:szCs w:val="24"/>
        </w:rPr>
        <w:t xml:space="preserve">Temperature </w:t>
      </w:r>
      <w:r w:rsidR="007F520F">
        <w:rPr>
          <w:rFonts w:ascii="Times New Roman" w:hAnsi="Times New Roman"/>
          <w:sz w:val="24"/>
          <w:szCs w:val="24"/>
        </w:rPr>
        <w:t>s</w:t>
      </w:r>
      <w:r w:rsidRPr="004C74A4">
        <w:rPr>
          <w:rFonts w:ascii="Times New Roman" w:hAnsi="Times New Roman"/>
          <w:sz w:val="24"/>
          <w:szCs w:val="24"/>
        </w:rPr>
        <w:t>quared</w:t>
      </w:r>
      <w:r w:rsidR="007D21AE">
        <w:rPr>
          <w:rFonts w:ascii="Times New Roman" w:hAnsi="Times New Roman"/>
          <w:sz w:val="24"/>
          <w:szCs w:val="24"/>
        </w:rPr>
        <w:t xml:space="preserve"> including various lagged values</w:t>
      </w:r>
      <w:r w:rsidRPr="004C74A4">
        <w:rPr>
          <w:rFonts w:ascii="Times New Roman" w:hAnsi="Times New Roman"/>
          <w:sz w:val="24"/>
          <w:szCs w:val="24"/>
        </w:rPr>
        <w:t>,</w:t>
      </w:r>
    </w:p>
    <w:p w14:paraId="40642191" w14:textId="397B7FCA" w:rsidR="0066626C" w:rsidRPr="004C74A4" w:rsidRDefault="0027705D" w:rsidP="00533877">
      <w:pPr>
        <w:pStyle w:val="ListParagraph"/>
        <w:numPr>
          <w:ilvl w:val="1"/>
          <w:numId w:val="2"/>
        </w:numPr>
        <w:rPr>
          <w:rFonts w:ascii="Times New Roman" w:hAnsi="Times New Roman"/>
          <w:sz w:val="24"/>
          <w:szCs w:val="24"/>
        </w:rPr>
      </w:pPr>
      <w:r w:rsidRPr="004C74A4">
        <w:rPr>
          <w:rFonts w:ascii="Times New Roman" w:hAnsi="Times New Roman"/>
          <w:sz w:val="24"/>
          <w:szCs w:val="24"/>
        </w:rPr>
        <w:t xml:space="preserve">Temperature </w:t>
      </w:r>
      <w:r w:rsidR="007F520F">
        <w:rPr>
          <w:rFonts w:ascii="Times New Roman" w:hAnsi="Times New Roman"/>
          <w:sz w:val="24"/>
          <w:szCs w:val="24"/>
        </w:rPr>
        <w:t>c</w:t>
      </w:r>
      <w:r w:rsidRPr="004C74A4">
        <w:rPr>
          <w:rFonts w:ascii="Times New Roman" w:hAnsi="Times New Roman"/>
          <w:sz w:val="24"/>
          <w:szCs w:val="24"/>
        </w:rPr>
        <w:t>ubed</w:t>
      </w:r>
      <w:r w:rsidR="007D21AE">
        <w:rPr>
          <w:rFonts w:ascii="Times New Roman" w:hAnsi="Times New Roman"/>
          <w:sz w:val="24"/>
          <w:szCs w:val="24"/>
        </w:rPr>
        <w:t xml:space="preserve"> including various lagged values</w:t>
      </w:r>
      <w:r w:rsidRPr="004C74A4">
        <w:rPr>
          <w:rFonts w:ascii="Times New Roman" w:hAnsi="Times New Roman"/>
          <w:sz w:val="24"/>
          <w:szCs w:val="24"/>
        </w:rPr>
        <w:t>,</w:t>
      </w:r>
    </w:p>
    <w:p w14:paraId="2F419717" w14:textId="08F14194" w:rsidR="001D32EB" w:rsidRPr="004C74A4" w:rsidRDefault="00232BAD" w:rsidP="00533877">
      <w:pPr>
        <w:pStyle w:val="ListParagraph"/>
        <w:numPr>
          <w:ilvl w:val="0"/>
          <w:numId w:val="2"/>
        </w:numPr>
        <w:rPr>
          <w:rFonts w:ascii="Times New Roman" w:hAnsi="Times New Roman"/>
          <w:sz w:val="24"/>
          <w:szCs w:val="24"/>
        </w:rPr>
      </w:pPr>
      <w:r w:rsidRPr="004C74A4">
        <w:rPr>
          <w:rFonts w:ascii="Times New Roman" w:hAnsi="Times New Roman"/>
          <w:sz w:val="24"/>
          <w:szCs w:val="24"/>
        </w:rPr>
        <w:t>Interactions</w:t>
      </w:r>
      <w:r w:rsidR="008B6EC6" w:rsidRPr="004C74A4">
        <w:rPr>
          <w:rFonts w:ascii="Times New Roman" w:hAnsi="Times New Roman"/>
          <w:sz w:val="24"/>
          <w:szCs w:val="24"/>
        </w:rPr>
        <w:t>,</w:t>
      </w:r>
    </w:p>
    <w:p w14:paraId="5FB4ADDB" w14:textId="40047C1E" w:rsidR="007D21AE" w:rsidRDefault="007D21AE" w:rsidP="00533877">
      <w:pPr>
        <w:pStyle w:val="ListParagraph"/>
        <w:numPr>
          <w:ilvl w:val="1"/>
          <w:numId w:val="2"/>
        </w:numPr>
        <w:rPr>
          <w:rFonts w:ascii="Times New Roman" w:hAnsi="Times New Roman"/>
          <w:sz w:val="24"/>
          <w:szCs w:val="24"/>
        </w:rPr>
      </w:pPr>
      <w:r>
        <w:rPr>
          <w:rFonts w:ascii="Times New Roman" w:hAnsi="Times New Roman"/>
          <w:sz w:val="24"/>
          <w:szCs w:val="24"/>
        </w:rPr>
        <w:t>Day of Week and Temperature variables,</w:t>
      </w:r>
    </w:p>
    <w:p w14:paraId="024E2600" w14:textId="27A0D268" w:rsidR="00232BAD" w:rsidRPr="004C74A4" w:rsidRDefault="00232BAD" w:rsidP="00533877">
      <w:pPr>
        <w:pStyle w:val="ListParagraph"/>
        <w:numPr>
          <w:ilvl w:val="1"/>
          <w:numId w:val="2"/>
        </w:numPr>
        <w:rPr>
          <w:rFonts w:ascii="Times New Roman" w:hAnsi="Times New Roman"/>
          <w:sz w:val="24"/>
          <w:szCs w:val="24"/>
        </w:rPr>
      </w:pPr>
      <w:r w:rsidRPr="004C74A4">
        <w:rPr>
          <w:rFonts w:ascii="Times New Roman" w:hAnsi="Times New Roman"/>
          <w:sz w:val="24"/>
          <w:szCs w:val="24"/>
        </w:rPr>
        <w:t>Hour and Day of Week</w:t>
      </w:r>
      <w:r w:rsidR="0000198A" w:rsidRPr="004C74A4">
        <w:rPr>
          <w:rFonts w:ascii="Times New Roman" w:hAnsi="Times New Roman"/>
          <w:sz w:val="24"/>
          <w:szCs w:val="24"/>
        </w:rPr>
        <w:t>,</w:t>
      </w:r>
    </w:p>
    <w:p w14:paraId="0B147CE9" w14:textId="6780D2A0" w:rsidR="00232BAD" w:rsidRDefault="00232BAD" w:rsidP="00533877">
      <w:pPr>
        <w:pStyle w:val="ListParagraph"/>
        <w:numPr>
          <w:ilvl w:val="1"/>
          <w:numId w:val="2"/>
        </w:numPr>
        <w:rPr>
          <w:rFonts w:ascii="Times New Roman" w:hAnsi="Times New Roman"/>
          <w:sz w:val="24"/>
          <w:szCs w:val="24"/>
        </w:rPr>
      </w:pPr>
      <w:r w:rsidRPr="004C74A4">
        <w:rPr>
          <w:rFonts w:ascii="Times New Roman" w:hAnsi="Times New Roman"/>
          <w:sz w:val="24"/>
          <w:szCs w:val="24"/>
        </w:rPr>
        <w:t>Hour and Temperature</w:t>
      </w:r>
      <w:r w:rsidR="007D21AE">
        <w:rPr>
          <w:rFonts w:ascii="Times New Roman" w:hAnsi="Times New Roman"/>
          <w:sz w:val="24"/>
          <w:szCs w:val="24"/>
        </w:rPr>
        <w:t xml:space="preserve"> variables</w:t>
      </w:r>
      <w:r w:rsidR="0000198A" w:rsidRPr="004C74A4">
        <w:rPr>
          <w:rFonts w:ascii="Times New Roman" w:hAnsi="Times New Roman"/>
          <w:sz w:val="24"/>
          <w:szCs w:val="24"/>
        </w:rPr>
        <w:t>,</w:t>
      </w:r>
    </w:p>
    <w:p w14:paraId="541D363D" w14:textId="4E9EBDA7" w:rsidR="007D21AE" w:rsidRPr="004C74A4" w:rsidRDefault="007D21AE" w:rsidP="00533877">
      <w:pPr>
        <w:pStyle w:val="ListParagraph"/>
        <w:numPr>
          <w:ilvl w:val="1"/>
          <w:numId w:val="2"/>
        </w:numPr>
        <w:rPr>
          <w:rFonts w:ascii="Times New Roman" w:hAnsi="Times New Roman"/>
          <w:sz w:val="24"/>
          <w:szCs w:val="24"/>
        </w:rPr>
      </w:pPr>
      <w:r>
        <w:rPr>
          <w:rFonts w:ascii="Times New Roman" w:hAnsi="Times New Roman"/>
          <w:sz w:val="24"/>
          <w:szCs w:val="24"/>
        </w:rPr>
        <w:t>Month and Temperature variables,</w:t>
      </w:r>
      <w:r w:rsidR="0014594A">
        <w:rPr>
          <w:rFonts w:ascii="Times New Roman" w:hAnsi="Times New Roman"/>
          <w:sz w:val="24"/>
          <w:szCs w:val="24"/>
        </w:rPr>
        <w:t xml:space="preserve"> and</w:t>
      </w:r>
    </w:p>
    <w:p w14:paraId="024390E2" w14:textId="0EF32058" w:rsidR="000B431B" w:rsidRPr="004C74A4" w:rsidRDefault="000B431B" w:rsidP="00533877">
      <w:pPr>
        <w:pStyle w:val="ListParagraph"/>
        <w:numPr>
          <w:ilvl w:val="0"/>
          <w:numId w:val="2"/>
        </w:numPr>
        <w:rPr>
          <w:rFonts w:ascii="Times New Roman" w:hAnsi="Times New Roman"/>
          <w:sz w:val="24"/>
          <w:szCs w:val="24"/>
        </w:rPr>
      </w:pPr>
      <w:r w:rsidRPr="004C74A4">
        <w:rPr>
          <w:rFonts w:ascii="Times New Roman" w:hAnsi="Times New Roman"/>
          <w:sz w:val="24"/>
          <w:szCs w:val="24"/>
        </w:rPr>
        <w:t>Number of premises</w:t>
      </w:r>
      <w:r w:rsidR="0014594A">
        <w:rPr>
          <w:rFonts w:ascii="Times New Roman" w:hAnsi="Times New Roman"/>
          <w:sz w:val="24"/>
          <w:szCs w:val="24"/>
        </w:rPr>
        <w:t>.</w:t>
      </w:r>
    </w:p>
    <w:p w14:paraId="0C606780" w14:textId="5129CB88" w:rsidR="001A249C" w:rsidRDefault="007C1AA4" w:rsidP="006812D4">
      <w:pPr>
        <w:pStyle w:val="StyleLinespacingMultiple115li"/>
      </w:pPr>
      <w:r w:rsidRPr="004C74A4">
        <w:t>All</w:t>
      </w:r>
      <w:r w:rsidR="0000198A" w:rsidRPr="004C74A4">
        <w:t xml:space="preserve"> the </w:t>
      </w:r>
      <w:r w:rsidR="001A249C" w:rsidRPr="004C74A4">
        <w:t>variable</w:t>
      </w:r>
      <w:r w:rsidR="0000198A" w:rsidRPr="004C74A4">
        <w:t>s listed</w:t>
      </w:r>
      <w:r w:rsidR="001A249C" w:rsidRPr="004C74A4">
        <w:t xml:space="preserve"> above </w:t>
      </w:r>
      <w:r w:rsidR="0000198A" w:rsidRPr="004C74A4">
        <w:t>are</w:t>
      </w:r>
      <w:r w:rsidR="0000198A">
        <w:t xml:space="preserve"> used to</w:t>
      </w:r>
      <w:r w:rsidR="001A249C">
        <w:t xml:space="preserve"> identify the best candidates for inclusion in the forecast model</w:t>
      </w:r>
      <w:r w:rsidR="00B21E34">
        <w:t>s</w:t>
      </w:r>
      <w:r w:rsidR="001A249C">
        <w:t xml:space="preserve"> and to provide details on the types of variables that were evaluated in the </w:t>
      </w:r>
      <w:r w:rsidR="00E911F2">
        <w:t xml:space="preserve">creation of the </w:t>
      </w:r>
      <w:r w:rsidR="001A249C">
        <w:t>model</w:t>
      </w:r>
      <w:r w:rsidR="00B21E34">
        <w:t>s</w:t>
      </w:r>
      <w:r w:rsidR="00C87A00">
        <w:t xml:space="preserve">. </w:t>
      </w:r>
      <w:r w:rsidR="00BB7A84">
        <w:t>Not every variable listed above was included in each model. U</w:t>
      </w:r>
      <w:r w:rsidR="001A249C">
        <w:t>nique models were created for each weather zone</w:t>
      </w:r>
      <w:r w:rsidR="0000198A">
        <w:t xml:space="preserve"> t</w:t>
      </w:r>
      <w:r w:rsidR="001A249C">
        <w:t xml:space="preserve">o account for the different load characteristics </w:t>
      </w:r>
      <w:r w:rsidR="00264CAE">
        <w:t>of</w:t>
      </w:r>
      <w:r w:rsidR="001A249C">
        <w:t xml:space="preserve"> each </w:t>
      </w:r>
      <w:r w:rsidR="00BC7DD0">
        <w:t>zone.</w:t>
      </w:r>
    </w:p>
    <w:p w14:paraId="3EECE521" w14:textId="77777777" w:rsidR="00B254CB" w:rsidRDefault="00B254CB" w:rsidP="006812D4">
      <w:pPr>
        <w:pStyle w:val="StyleLinespacingMultiple115li"/>
        <w:rPr>
          <w:highlight w:val="yellow"/>
        </w:rPr>
      </w:pPr>
    </w:p>
    <w:p w14:paraId="6DAC8735" w14:textId="37DB7A2B" w:rsidR="00382148" w:rsidRDefault="00382148" w:rsidP="0071333A">
      <w:pPr>
        <w:pStyle w:val="StyleLinespacingMultiple115li"/>
        <w:rPr>
          <w:u w:val="single"/>
        </w:rPr>
      </w:pPr>
      <w:r w:rsidRPr="001B2585">
        <w:rPr>
          <w:u w:val="single"/>
        </w:rPr>
        <w:t>Model Building Process</w:t>
      </w:r>
    </w:p>
    <w:p w14:paraId="036AE97F" w14:textId="77777777" w:rsidR="00E911F2" w:rsidRDefault="00E911F2" w:rsidP="006812D4">
      <w:pPr>
        <w:pStyle w:val="StyleLinespacingMultiple115li"/>
        <w:rPr>
          <w:highlight w:val="yellow"/>
        </w:rPr>
      </w:pPr>
    </w:p>
    <w:p w14:paraId="378C5466" w14:textId="7198A3B3" w:rsidR="006D4EB5" w:rsidRPr="001D7321" w:rsidRDefault="006D4EB5" w:rsidP="001D7321">
      <w:pPr>
        <w:pStyle w:val="StyleLinespacingMultiple115li"/>
      </w:pPr>
      <w:r>
        <w:t>The model building data set was</w:t>
      </w:r>
      <w:r w:rsidR="008823F8">
        <w:t xml:space="preserve"> comprised of </w:t>
      </w:r>
      <w:r w:rsidR="00D542B3">
        <w:t xml:space="preserve">a randomly </w:t>
      </w:r>
      <w:r w:rsidR="00D542B3" w:rsidRPr="004C74A4">
        <w:t>selected 6</w:t>
      </w:r>
      <w:r w:rsidR="008B6EC6" w:rsidRPr="004C74A4">
        <w:t xml:space="preserve">0% of the </w:t>
      </w:r>
      <w:r w:rsidR="008823F8" w:rsidRPr="004C74A4">
        <w:t xml:space="preserve">data from </w:t>
      </w:r>
      <w:r w:rsidR="00FA4D19" w:rsidRPr="004C74A4">
        <w:t>January 1, 201</w:t>
      </w:r>
      <w:r w:rsidR="00C03AA8">
        <w:t>8</w:t>
      </w:r>
      <w:r w:rsidR="00BB7062" w:rsidRPr="004C74A4">
        <w:t xml:space="preserve"> </w:t>
      </w:r>
      <w:r w:rsidR="00904A96" w:rsidRPr="004C74A4">
        <w:t>through</w:t>
      </w:r>
      <w:r w:rsidR="00FA4D19" w:rsidRPr="004C74A4">
        <w:t xml:space="preserve"> </w:t>
      </w:r>
      <w:r w:rsidR="00C03AA8">
        <w:t>May</w:t>
      </w:r>
      <w:r w:rsidR="00FA4D19" w:rsidRPr="004C74A4">
        <w:t xml:space="preserve"> 3</w:t>
      </w:r>
      <w:r w:rsidR="00C03AA8">
        <w:t>1</w:t>
      </w:r>
      <w:r w:rsidR="00FA4D19" w:rsidRPr="004C74A4">
        <w:t>, 202</w:t>
      </w:r>
      <w:r w:rsidR="00C03AA8">
        <w:t>3</w:t>
      </w:r>
      <w:r w:rsidR="008B6EC6" w:rsidRPr="004C74A4">
        <w:t>,</w:t>
      </w:r>
      <w:r w:rsidR="00BB7062" w:rsidRPr="004C74A4">
        <w:t xml:space="preserve"> with </w:t>
      </w:r>
      <w:r w:rsidR="008B6EC6" w:rsidRPr="004C74A4">
        <w:t xml:space="preserve">the remaining </w:t>
      </w:r>
      <w:r w:rsidR="00D542B3" w:rsidRPr="004C74A4">
        <w:t>4</w:t>
      </w:r>
      <w:r w:rsidR="00BB7062" w:rsidRPr="004C74A4">
        <w:t>0% of the data withheld</w:t>
      </w:r>
      <w:r w:rsidR="00C87A00" w:rsidRPr="004C74A4">
        <w:t xml:space="preserve">. </w:t>
      </w:r>
      <w:r w:rsidRPr="004C74A4">
        <w:t>Th</w:t>
      </w:r>
      <w:r w:rsidR="00E906C3" w:rsidRPr="004C74A4">
        <w:t>e</w:t>
      </w:r>
      <w:r>
        <w:t xml:space="preserve"> </w:t>
      </w:r>
      <w:r w:rsidR="00E906C3">
        <w:t xml:space="preserve">model building </w:t>
      </w:r>
      <w:r>
        <w:t>data</w:t>
      </w:r>
      <w:r w:rsidR="00E906C3">
        <w:t xml:space="preserve"> set</w:t>
      </w:r>
      <w:r>
        <w:t xml:space="preserve"> was used to</w:t>
      </w:r>
      <w:r w:rsidR="001D7321">
        <w:t xml:space="preserve"> </w:t>
      </w:r>
      <w:r>
        <w:t>create various forecast models</w:t>
      </w:r>
      <w:r w:rsidR="00C87A00">
        <w:t xml:space="preserve">. </w:t>
      </w:r>
      <w:r>
        <w:t>The model building process was an iterative process that was conducted multiple times.</w:t>
      </w:r>
    </w:p>
    <w:p w14:paraId="60B1F841" w14:textId="17CD28C6" w:rsidR="009B37A9" w:rsidRDefault="008B6EC6" w:rsidP="006812D4">
      <w:pPr>
        <w:pStyle w:val="StyleLinespacingMultiple115li"/>
      </w:pPr>
      <w:r>
        <w:t xml:space="preserve">The validation data set consisted of </w:t>
      </w:r>
      <w:r w:rsidR="0075683F">
        <w:t xml:space="preserve">a </w:t>
      </w:r>
      <w:r w:rsidR="00B21E34">
        <w:t xml:space="preserve">randomly </w:t>
      </w:r>
      <w:r w:rsidR="00B21E34" w:rsidRPr="004C74A4">
        <w:t xml:space="preserve">selected </w:t>
      </w:r>
      <w:r w:rsidRPr="004C74A4">
        <w:t xml:space="preserve">30% </w:t>
      </w:r>
      <w:r w:rsidR="0075683F" w:rsidRPr="004C74A4">
        <w:t>of</w:t>
      </w:r>
      <w:r w:rsidR="0075683F">
        <w:t xml:space="preserve"> data from</w:t>
      </w:r>
      <w:r w:rsidR="00D542B3">
        <w:t xml:space="preserve"> January 1, 201</w:t>
      </w:r>
      <w:r w:rsidR="00C03AA8">
        <w:t>8</w:t>
      </w:r>
      <w:r w:rsidR="00D542B3">
        <w:t xml:space="preserve"> through </w:t>
      </w:r>
      <w:r w:rsidR="00C03AA8">
        <w:t xml:space="preserve">May </w:t>
      </w:r>
      <w:r w:rsidR="00D542B3">
        <w:t>3</w:t>
      </w:r>
      <w:r w:rsidR="00C03AA8">
        <w:t>1</w:t>
      </w:r>
      <w:r>
        <w:t>, 20</w:t>
      </w:r>
      <w:r w:rsidR="00FA4D19">
        <w:t>2</w:t>
      </w:r>
      <w:r w:rsidR="00FC64B1">
        <w:t>3</w:t>
      </w:r>
      <w:r>
        <w:t xml:space="preserve"> timeframe</w:t>
      </w:r>
      <w:r w:rsidR="0075683F">
        <w:t xml:space="preserve">. The data in the validation data set </w:t>
      </w:r>
      <w:r>
        <w:t xml:space="preserve">was withheld from the model building data set.  </w:t>
      </w:r>
      <w:r w:rsidR="006D4EB5">
        <w:t>After model building was complete, the validation data set was used to determine the accuracy of the various forecast models</w:t>
      </w:r>
      <w:r w:rsidR="00C87A00">
        <w:t xml:space="preserve">. </w:t>
      </w:r>
      <w:r w:rsidR="006D4EB5">
        <w:t xml:space="preserve">Each model’s performance was calculated based on </w:t>
      </w:r>
      <w:r w:rsidR="00B21E34">
        <w:t>its</w:t>
      </w:r>
      <w:r w:rsidR="006D4EB5">
        <w:t xml:space="preserve"> forecasting performance </w:t>
      </w:r>
      <w:r w:rsidR="00C977EC">
        <w:t>on</w:t>
      </w:r>
      <w:r w:rsidR="006D4EB5">
        <w:t xml:space="preserve"> the validation data set</w:t>
      </w:r>
      <w:r w:rsidR="00C87A00">
        <w:t xml:space="preserve">. </w:t>
      </w:r>
      <w:r w:rsidR="00C977EC">
        <w:t>The most accurate models were selected based on their performance.</w:t>
      </w:r>
      <w:r w:rsidR="0075683F">
        <w:t xml:space="preserve"> </w:t>
      </w:r>
    </w:p>
    <w:p w14:paraId="272BA8D0" w14:textId="77777777" w:rsidR="009B37A9" w:rsidRDefault="009B37A9" w:rsidP="006812D4">
      <w:pPr>
        <w:pStyle w:val="StyleLinespacingMultiple115li"/>
      </w:pPr>
    </w:p>
    <w:p w14:paraId="45FD1A54" w14:textId="779B699D" w:rsidR="004141BC" w:rsidRDefault="0075683F" w:rsidP="006812D4">
      <w:pPr>
        <w:pStyle w:val="StyleLinespacingMultiple115li"/>
      </w:pPr>
      <w:r>
        <w:t xml:space="preserve">The remaining randomly </w:t>
      </w:r>
      <w:r w:rsidRPr="004C74A4">
        <w:t>selected 10%</w:t>
      </w:r>
      <w:r>
        <w:t xml:space="preserve"> of the data from January 1, 201</w:t>
      </w:r>
      <w:r w:rsidR="00FC64B1">
        <w:t>8</w:t>
      </w:r>
      <w:r>
        <w:t xml:space="preserve"> through </w:t>
      </w:r>
      <w:r w:rsidR="00FC64B1">
        <w:t xml:space="preserve">May </w:t>
      </w:r>
      <w:r>
        <w:t>3</w:t>
      </w:r>
      <w:r w:rsidR="00FC64B1">
        <w:t>1</w:t>
      </w:r>
      <w:r>
        <w:t>, 20</w:t>
      </w:r>
      <w:r w:rsidR="00FA4D19">
        <w:t>2</w:t>
      </w:r>
      <w:r w:rsidR="00FC64B1">
        <w:t>3</w:t>
      </w:r>
      <w:r>
        <w:t xml:space="preserve"> made up the test data set. After the most accurate models were selected based on their performance on the validation dataset, those models were run on the test data set to verify that the models performed well at predicting data they had not </w:t>
      </w:r>
      <w:r w:rsidR="009B37A9">
        <w:t>seen</w:t>
      </w:r>
      <w:r>
        <w:t>.</w:t>
      </w:r>
    </w:p>
    <w:p w14:paraId="0F5C20C6" w14:textId="77777777" w:rsidR="0075683F" w:rsidRDefault="0075683F" w:rsidP="006812D4">
      <w:pPr>
        <w:pStyle w:val="StyleLinespacingMultiple115li"/>
      </w:pPr>
    </w:p>
    <w:p w14:paraId="79136508" w14:textId="314056F6" w:rsidR="009D096F" w:rsidRDefault="006D4EB5" w:rsidP="006812D4">
      <w:pPr>
        <w:pStyle w:val="StyleLinespacingMultiple115li"/>
      </w:pPr>
      <w:r>
        <w:t>Using only five</w:t>
      </w:r>
      <w:r w:rsidR="001304A3">
        <w:t xml:space="preserve"> years of historical data</w:t>
      </w:r>
      <w:r w:rsidR="00C977EC">
        <w:t xml:space="preserve"> and as much of the current year’s data as possible</w:t>
      </w:r>
      <w:r w:rsidR="001304A3">
        <w:t xml:space="preserve"> enables the model to </w:t>
      </w:r>
      <w:r w:rsidR="00C977EC">
        <w:t>reflect</w:t>
      </w:r>
      <w:r w:rsidR="00B21E34">
        <w:t xml:space="preserve"> </w:t>
      </w:r>
      <w:r w:rsidR="008B6EC6">
        <w:t>recent</w:t>
      </w:r>
      <w:r w:rsidR="001304A3">
        <w:t xml:space="preserve"> appliance stock, energy efficiency measures, price responsive load impacts, etc.</w:t>
      </w:r>
    </w:p>
    <w:p w14:paraId="0C54DCA2" w14:textId="77777777" w:rsidR="00A57F7D" w:rsidRPr="0047205D" w:rsidRDefault="00A57F7D" w:rsidP="006812D4">
      <w:pPr>
        <w:pStyle w:val="StyleLinespacingMultiple115li"/>
      </w:pPr>
    </w:p>
    <w:p w14:paraId="68E5D0B9" w14:textId="30A30569" w:rsidR="00CE4F32" w:rsidRDefault="00133BCF" w:rsidP="006812D4">
      <w:pPr>
        <w:pStyle w:val="StyleLinespacingMultiple115li"/>
        <w:rPr>
          <w:u w:val="single"/>
        </w:rPr>
      </w:pPr>
      <w:r>
        <w:rPr>
          <w:u w:val="single"/>
        </w:rPr>
        <w:lastRenderedPageBreak/>
        <w:t xml:space="preserve">Weather </w:t>
      </w:r>
      <w:r w:rsidR="00681E3F">
        <w:rPr>
          <w:u w:val="single"/>
        </w:rPr>
        <w:t xml:space="preserve">Zone </w:t>
      </w:r>
      <w:r>
        <w:rPr>
          <w:u w:val="single"/>
        </w:rPr>
        <w:t xml:space="preserve">Load </w:t>
      </w:r>
      <w:r w:rsidR="004141BC">
        <w:rPr>
          <w:u w:val="single"/>
        </w:rPr>
        <w:t>F</w:t>
      </w:r>
      <w:r w:rsidR="006D4EB5">
        <w:rPr>
          <w:u w:val="single"/>
        </w:rPr>
        <w:t>orecast S</w:t>
      </w:r>
      <w:r w:rsidR="00CE4F32" w:rsidRPr="00E77D82">
        <w:rPr>
          <w:u w:val="single"/>
        </w:rPr>
        <w:t>cenarios</w:t>
      </w:r>
    </w:p>
    <w:p w14:paraId="5FEC6C70" w14:textId="77777777" w:rsidR="0066626C" w:rsidRPr="00E77D82" w:rsidRDefault="0066626C" w:rsidP="006812D4">
      <w:pPr>
        <w:pStyle w:val="StyleLinespacingMultiple115li"/>
        <w:rPr>
          <w:u w:val="single"/>
        </w:rPr>
      </w:pPr>
    </w:p>
    <w:p w14:paraId="53853FAC" w14:textId="0AEE457E" w:rsidR="00320C6E" w:rsidRPr="006E0C33" w:rsidRDefault="00CE4F32" w:rsidP="006812D4">
      <w:pPr>
        <w:pStyle w:val="StyleLinespacingMultiple115li"/>
        <w:rPr>
          <w:color w:val="FF0000"/>
        </w:rPr>
      </w:pPr>
      <w:r>
        <w:t>Actual weather data</w:t>
      </w:r>
      <w:r w:rsidR="00C977EC">
        <w:t xml:space="preserve"> from calendar years 200</w:t>
      </w:r>
      <w:r w:rsidR="00FC64B1">
        <w:t>8</w:t>
      </w:r>
      <w:r w:rsidR="004141BC">
        <w:t xml:space="preserve"> </w:t>
      </w:r>
      <w:r w:rsidR="006D4EB5">
        <w:t>through</w:t>
      </w:r>
      <w:r w:rsidR="00D542B3">
        <w:t xml:space="preserve"> 20</w:t>
      </w:r>
      <w:r w:rsidR="00F0124F">
        <w:t>2</w:t>
      </w:r>
      <w:r w:rsidR="00FC64B1">
        <w:t>2</w:t>
      </w:r>
      <w:r>
        <w:t xml:space="preserve"> </w:t>
      </w:r>
      <w:r w:rsidR="00C25D94">
        <w:t xml:space="preserve">was </w:t>
      </w:r>
      <w:r>
        <w:t xml:space="preserve">used </w:t>
      </w:r>
      <w:r w:rsidR="00A97B75">
        <w:t xml:space="preserve">to create </w:t>
      </w:r>
      <w:r>
        <w:t>each weather zone</w:t>
      </w:r>
      <w:r w:rsidR="00260EF0">
        <w:t>’s</w:t>
      </w:r>
      <w:r>
        <w:t xml:space="preserve"> </w:t>
      </w:r>
      <w:r w:rsidR="0072198F">
        <w:t>forecast</w:t>
      </w:r>
      <w:r w:rsidR="006577E4">
        <w:t xml:space="preserve"> by</w:t>
      </w:r>
      <w:r w:rsidR="008B6EC6">
        <w:t xml:space="preserve"> applying the weather data from each historical year one-by-on</w:t>
      </w:r>
      <w:r w:rsidR="006577E4">
        <w:t>e to the load forecasting model</w:t>
      </w:r>
      <w:r w:rsidR="00C87A00">
        <w:t xml:space="preserve">. </w:t>
      </w:r>
      <w:r w:rsidR="00076EE8">
        <w:t>The process beg</w:t>
      </w:r>
      <w:r w:rsidR="00641810">
        <w:t>an</w:t>
      </w:r>
      <w:r w:rsidR="00076EE8">
        <w:t xml:space="preserve"> by using actual weather </w:t>
      </w:r>
      <w:r w:rsidR="00CC1CC9">
        <w:t xml:space="preserve">data </w:t>
      </w:r>
      <w:r w:rsidR="00D542B3">
        <w:t>from 200</w:t>
      </w:r>
      <w:r w:rsidR="00FC64B1">
        <w:t>8</w:t>
      </w:r>
      <w:r w:rsidR="00076EE8">
        <w:t xml:space="preserve"> as weather input</w:t>
      </w:r>
      <w:r w:rsidR="006577E4">
        <w:t xml:space="preserve"> into the model</w:t>
      </w:r>
      <w:r w:rsidR="00076EE8">
        <w:t xml:space="preserve"> for all forecast</w:t>
      </w:r>
      <w:r w:rsidR="00D542B3">
        <w:t>ed years (202</w:t>
      </w:r>
      <w:r w:rsidR="00FC64B1">
        <w:t>4</w:t>
      </w:r>
      <w:r w:rsidR="006D4EB5">
        <w:t>-</w:t>
      </w:r>
      <w:r w:rsidR="0030414E">
        <w:t>20</w:t>
      </w:r>
      <w:r w:rsidR="00FA4D19">
        <w:t>3</w:t>
      </w:r>
      <w:r w:rsidR="00FC64B1">
        <w:t>3</w:t>
      </w:r>
      <w:r w:rsidR="00CC1CC9">
        <w:t>)</w:t>
      </w:r>
      <w:r w:rsidR="00C87A00">
        <w:t xml:space="preserve">. </w:t>
      </w:r>
      <w:r w:rsidR="00CC1CC9">
        <w:t>The actual we</w:t>
      </w:r>
      <w:r w:rsidR="00A97B75">
        <w:t>ather data from all days in 200</w:t>
      </w:r>
      <w:r w:rsidR="00FC64B1">
        <w:t>8</w:t>
      </w:r>
      <w:r w:rsidR="00CC1CC9">
        <w:t xml:space="preserve"> </w:t>
      </w:r>
      <w:r w:rsidR="00C25D94">
        <w:t xml:space="preserve">was </w:t>
      </w:r>
      <w:r w:rsidR="00CC1CC9">
        <w:t>copied into the same day</w:t>
      </w:r>
      <w:r w:rsidR="004335EE">
        <w:t xml:space="preserve"> and hour</w:t>
      </w:r>
      <w:r w:rsidR="00CC1CC9">
        <w:t xml:space="preserve"> for each of the forecasted year</w:t>
      </w:r>
      <w:r w:rsidR="00260EF0">
        <w:t>s</w:t>
      </w:r>
      <w:r w:rsidR="00D542B3">
        <w:t xml:space="preserve"> (202</w:t>
      </w:r>
      <w:r w:rsidR="00FC64B1">
        <w:t>4</w:t>
      </w:r>
      <w:r w:rsidR="00FA4D19">
        <w:t>-203</w:t>
      </w:r>
      <w:r w:rsidR="00FC64B1">
        <w:t>3</w:t>
      </w:r>
      <w:r w:rsidR="00CC1CC9">
        <w:t>)</w:t>
      </w:r>
      <w:r w:rsidR="00C87A00">
        <w:t xml:space="preserve">. </w:t>
      </w:r>
      <w:r w:rsidR="00CC1CC9">
        <w:t xml:space="preserve">For example, the actual </w:t>
      </w:r>
      <w:r w:rsidR="00641810">
        <w:t>weather data</w:t>
      </w:r>
      <w:r w:rsidR="00CC1CC9">
        <w:t xml:space="preserve"> for </w:t>
      </w:r>
      <w:r w:rsidR="00FA4D19">
        <w:t>1/1/200</w:t>
      </w:r>
      <w:r w:rsidR="006833E3">
        <w:t>8</w:t>
      </w:r>
      <w:r w:rsidR="00CC1CC9">
        <w:t xml:space="preserve"> </w:t>
      </w:r>
      <w:r w:rsidR="00C25D94">
        <w:t xml:space="preserve">was </w:t>
      </w:r>
      <w:r w:rsidR="00CC1CC9">
        <w:t xml:space="preserve">copied into </w:t>
      </w:r>
      <w:r w:rsidR="00FA4D19">
        <w:t>1/1/202</w:t>
      </w:r>
      <w:r w:rsidR="006833E3">
        <w:t>4</w:t>
      </w:r>
      <w:r w:rsidR="00CC1CC9">
        <w:t>,</w:t>
      </w:r>
      <w:r w:rsidR="004335EE">
        <w:t xml:space="preserve"> </w:t>
      </w:r>
      <w:r w:rsidR="00D13D56">
        <w:t>1/1/202</w:t>
      </w:r>
      <w:r w:rsidR="006833E3">
        <w:t>5</w:t>
      </w:r>
      <w:r w:rsidR="00D13D56">
        <w:t>, …,</w:t>
      </w:r>
      <w:r w:rsidR="00A97B75">
        <w:t xml:space="preserve"> </w:t>
      </w:r>
      <w:r w:rsidR="009B37A9">
        <w:t xml:space="preserve">and </w:t>
      </w:r>
      <w:r w:rsidR="0030414E">
        <w:t>1/1/20</w:t>
      </w:r>
      <w:r w:rsidR="00FA4D19">
        <w:t>3</w:t>
      </w:r>
      <w:r w:rsidR="006833E3">
        <w:t>3</w:t>
      </w:r>
      <w:r w:rsidR="00C87A00">
        <w:t xml:space="preserve">. </w:t>
      </w:r>
      <w:r w:rsidR="00CC1CC9">
        <w:t xml:space="preserve"> </w:t>
      </w:r>
      <w:r w:rsidR="007A3F68">
        <w:t>Using 200</w:t>
      </w:r>
      <w:r w:rsidR="006833E3">
        <w:t>8</w:t>
      </w:r>
      <w:r w:rsidR="004335EE">
        <w:t>’s</w:t>
      </w:r>
      <w:r w:rsidR="00F051C7">
        <w:t xml:space="preserve"> weather as input into ea</w:t>
      </w:r>
      <w:r w:rsidR="00A97B75">
        <w:t>ch weather zone’s forecast model</w:t>
      </w:r>
      <w:r w:rsidR="004141BC">
        <w:t xml:space="preserve"> results in </w:t>
      </w:r>
      <w:r w:rsidR="004335EE">
        <w:t>what is referred to as the 200</w:t>
      </w:r>
      <w:r w:rsidR="006833E3">
        <w:t>8</w:t>
      </w:r>
      <w:r w:rsidR="004335EE">
        <w:t xml:space="preserve"> weather load forecast scenario</w:t>
      </w:r>
      <w:r w:rsidR="00C87A00">
        <w:t xml:space="preserve">. </w:t>
      </w:r>
      <w:r w:rsidR="004335EE">
        <w:t>The 200</w:t>
      </w:r>
      <w:r w:rsidR="006833E3">
        <w:t>8</w:t>
      </w:r>
      <w:r w:rsidR="004335EE">
        <w:t xml:space="preserve"> weather </w:t>
      </w:r>
      <w:r w:rsidR="00320C6E">
        <w:t xml:space="preserve">load </w:t>
      </w:r>
      <w:r w:rsidR="004335EE">
        <w:t xml:space="preserve">forecast scenario is </w:t>
      </w:r>
      <w:r w:rsidR="004141BC">
        <w:t xml:space="preserve">a forecast </w:t>
      </w:r>
      <w:r w:rsidR="004335EE">
        <w:t xml:space="preserve">that assumes </w:t>
      </w:r>
      <w:r w:rsidR="00F051C7">
        <w:t>200</w:t>
      </w:r>
      <w:r w:rsidR="006833E3">
        <w:t>8</w:t>
      </w:r>
      <w:r w:rsidR="00F051C7">
        <w:t>’s weather</w:t>
      </w:r>
      <w:r w:rsidR="004335EE">
        <w:t xml:space="preserve"> would occur for each forecast</w:t>
      </w:r>
      <w:r w:rsidR="0000198A">
        <w:t>ed</w:t>
      </w:r>
      <w:r w:rsidR="004335EE">
        <w:t xml:space="preserve"> calendar </w:t>
      </w:r>
      <w:r w:rsidR="007A3F68">
        <w:t>year (202</w:t>
      </w:r>
      <w:r w:rsidR="006833E3">
        <w:t>4</w:t>
      </w:r>
      <w:r w:rsidR="006D4EB5">
        <w:t>-</w:t>
      </w:r>
      <w:r w:rsidR="00A97B75">
        <w:t>20</w:t>
      </w:r>
      <w:r w:rsidR="00FA4D19">
        <w:t>3</w:t>
      </w:r>
      <w:r w:rsidR="006833E3">
        <w:t>3</w:t>
      </w:r>
      <w:r w:rsidR="004335EE">
        <w:t>)</w:t>
      </w:r>
      <w:r w:rsidR="00C87A00">
        <w:t xml:space="preserve">. </w:t>
      </w:r>
      <w:r w:rsidR="00260EF0">
        <w:t xml:space="preserve">This process </w:t>
      </w:r>
      <w:r w:rsidR="00C25D94">
        <w:t xml:space="preserve">was </w:t>
      </w:r>
      <w:r w:rsidR="00260EF0">
        <w:t>completed for each of the his</w:t>
      </w:r>
      <w:r w:rsidR="004141BC">
        <w:t xml:space="preserve">torical </w:t>
      </w:r>
      <w:r w:rsidR="004335EE">
        <w:t xml:space="preserve">weather </w:t>
      </w:r>
      <w:r w:rsidR="004141BC">
        <w:t>years (200</w:t>
      </w:r>
      <w:r w:rsidR="006833E3">
        <w:t>8</w:t>
      </w:r>
      <w:r w:rsidR="006D4EB5">
        <w:t>-</w:t>
      </w:r>
      <w:r w:rsidR="0030414E">
        <w:t>20</w:t>
      </w:r>
      <w:r w:rsidR="00966419">
        <w:t>2</w:t>
      </w:r>
      <w:r w:rsidR="006833E3">
        <w:t>2</w:t>
      </w:r>
      <w:r w:rsidR="004335EE">
        <w:t>)</w:t>
      </w:r>
      <w:r w:rsidR="006D4EB5">
        <w:t xml:space="preserve"> </w:t>
      </w:r>
      <w:r w:rsidR="008B6EC6">
        <w:t xml:space="preserve">individually </w:t>
      </w:r>
      <w:r w:rsidR="006D4EB5">
        <w:t>and</w:t>
      </w:r>
      <w:r w:rsidR="0030414E">
        <w:t xml:space="preserve"> resulted in fif</w:t>
      </w:r>
      <w:r w:rsidR="004335EE">
        <w:t xml:space="preserve">teen weather </w:t>
      </w:r>
      <w:r w:rsidR="00320C6E">
        <w:t xml:space="preserve">load </w:t>
      </w:r>
      <w:r w:rsidR="0030414E">
        <w:t xml:space="preserve">forecast scenarios </w:t>
      </w:r>
      <w:r w:rsidR="00681E3F">
        <w:t xml:space="preserve">for each weather zone </w:t>
      </w:r>
      <w:r w:rsidR="007A3F68">
        <w:t xml:space="preserve">for </w:t>
      </w:r>
      <w:r w:rsidR="009B37A9">
        <w:t xml:space="preserve">each of </w:t>
      </w:r>
      <w:r w:rsidR="007A3F68">
        <w:t>the forecasted years 202</w:t>
      </w:r>
      <w:r w:rsidR="00C715A9">
        <w:t>4</w:t>
      </w:r>
      <w:r w:rsidR="006D4EB5">
        <w:t>-</w:t>
      </w:r>
      <w:r w:rsidR="007A3F68">
        <w:t>20</w:t>
      </w:r>
      <w:r w:rsidR="00FA4D19">
        <w:t>3</w:t>
      </w:r>
      <w:r w:rsidR="00C715A9">
        <w:t>3</w:t>
      </w:r>
      <w:r w:rsidR="00C87A00">
        <w:t xml:space="preserve">. </w:t>
      </w:r>
      <w:r w:rsidR="00883072" w:rsidRPr="00A86348">
        <w:t xml:space="preserve">It should be noted that the premise and economic forecasts are the same in each of these </w:t>
      </w:r>
      <w:r w:rsidR="008B6EC6">
        <w:t xml:space="preserve">fifteen weather </w:t>
      </w:r>
      <w:r w:rsidR="00883072" w:rsidRPr="00A86348">
        <w:t>scenarios.</w:t>
      </w:r>
    </w:p>
    <w:p w14:paraId="55C4ED1E" w14:textId="77777777" w:rsidR="000471A8" w:rsidRDefault="000471A8" w:rsidP="006812D4">
      <w:pPr>
        <w:pStyle w:val="StyleLinespacingMultiple115li"/>
        <w:rPr>
          <w:u w:val="single"/>
        </w:rPr>
      </w:pPr>
    </w:p>
    <w:p w14:paraId="5EA15C1D" w14:textId="2CDDD86F" w:rsidR="0072198F" w:rsidRPr="00D01089" w:rsidRDefault="0072198F" w:rsidP="006812D4">
      <w:pPr>
        <w:pStyle w:val="StyleLinespacingMultiple115li"/>
        <w:rPr>
          <w:u w:val="single"/>
        </w:rPr>
      </w:pPr>
      <w:r w:rsidRPr="00D01089">
        <w:rPr>
          <w:u w:val="single"/>
        </w:rPr>
        <w:t xml:space="preserve">Weather Zone </w:t>
      </w:r>
      <w:r>
        <w:rPr>
          <w:u w:val="single"/>
        </w:rPr>
        <w:t>Normal Weather Hourly Forecast</w:t>
      </w:r>
    </w:p>
    <w:p w14:paraId="6F57B7FF" w14:textId="77777777" w:rsidR="0072198F" w:rsidRPr="00CF2491" w:rsidRDefault="0072198F" w:rsidP="006812D4">
      <w:pPr>
        <w:pStyle w:val="StyleLinespacingMultiple115li"/>
        <w:rPr>
          <w:highlight w:val="yellow"/>
          <w:u w:val="single"/>
        </w:rPr>
      </w:pPr>
    </w:p>
    <w:p w14:paraId="29E4570F" w14:textId="054DBD5A" w:rsidR="00EF0008" w:rsidRDefault="0072198F" w:rsidP="006812D4">
      <w:pPr>
        <w:pStyle w:val="StyleLinespacingMultiple115li"/>
      </w:pPr>
      <w:r w:rsidRPr="00133BCF">
        <w:t xml:space="preserve">The </w:t>
      </w:r>
      <w:r>
        <w:t>fif</w:t>
      </w:r>
      <w:r w:rsidRPr="00133BCF">
        <w:t>teen weather</w:t>
      </w:r>
      <w:r w:rsidR="00883072">
        <w:t xml:space="preserve"> zone</w:t>
      </w:r>
      <w:r w:rsidRPr="00133BCF">
        <w:t xml:space="preserve"> load forecast scenarios are used as the basis for creating </w:t>
      </w:r>
      <w:r>
        <w:t>the</w:t>
      </w:r>
      <w:r w:rsidRPr="00133BCF">
        <w:t xml:space="preserve"> </w:t>
      </w:r>
      <w:r>
        <w:t>weather zone normal weather</w:t>
      </w:r>
      <w:r w:rsidRPr="00133BCF">
        <w:t xml:space="preserve"> </w:t>
      </w:r>
      <w:r>
        <w:t>hourly</w:t>
      </w:r>
      <w:r w:rsidRPr="00133BCF">
        <w:t xml:space="preserve"> forecast</w:t>
      </w:r>
      <w:r>
        <w:t>.  Each of the fif</w:t>
      </w:r>
      <w:r w:rsidRPr="00133BCF">
        <w:t xml:space="preserve">teen hourly </w:t>
      </w:r>
      <w:r>
        <w:t xml:space="preserve">weather </w:t>
      </w:r>
      <w:r w:rsidR="00883072">
        <w:t xml:space="preserve">zone </w:t>
      </w:r>
      <w:r>
        <w:t xml:space="preserve">load </w:t>
      </w:r>
      <w:r w:rsidRPr="00133BCF">
        <w:t xml:space="preserve">forecast scenarios </w:t>
      </w:r>
      <w:r w:rsidR="003B6729">
        <w:t>were</w:t>
      </w:r>
      <w:r w:rsidRPr="00133BCF">
        <w:t xml:space="preserve"> separated into individual calendar year forecasts</w:t>
      </w:r>
      <w:r w:rsidR="00883072">
        <w:t xml:space="preserve"> (</w:t>
      </w:r>
      <w:r w:rsidR="00541B4A">
        <w:t>covering calendar years 202</w:t>
      </w:r>
      <w:r w:rsidR="00C14C10">
        <w:t>4</w:t>
      </w:r>
      <w:r w:rsidR="00883072">
        <w:t>-20</w:t>
      </w:r>
      <w:r w:rsidR="00FA4D19">
        <w:t>3</w:t>
      </w:r>
      <w:r w:rsidR="00C14C10">
        <w:t>3</w:t>
      </w:r>
      <w:r w:rsidR="00883072">
        <w:t>)</w:t>
      </w:r>
      <w:r w:rsidRPr="00133BCF">
        <w:t>.</w:t>
      </w:r>
      <w:r>
        <w:t xml:space="preserve">  T</w:t>
      </w:r>
      <w:r w:rsidR="003B6729">
        <w:t>he calendar year forecasts were</w:t>
      </w:r>
      <w:r>
        <w:t xml:space="preserve"> then </w:t>
      </w:r>
      <w:r w:rsidR="00007106">
        <w:t xml:space="preserve">divided </w:t>
      </w:r>
      <w:r w:rsidR="00485448">
        <w:t>by</w:t>
      </w:r>
      <w:r>
        <w:t xml:space="preserve"> calendar month.  Forecasted hourly values for each individual </w:t>
      </w:r>
      <w:r w:rsidR="00B9332C">
        <w:t xml:space="preserve">calendar </w:t>
      </w:r>
      <w:r>
        <w:t>month</w:t>
      </w:r>
      <w:r w:rsidR="003B6729">
        <w:t xml:space="preserve"> were</w:t>
      </w:r>
      <w:r w:rsidRPr="00133BCF">
        <w:t xml:space="preserve"> ordered from the highest value to the lowest value.</w:t>
      </w:r>
      <w:r w:rsidR="003B6729">
        <w:t xml:space="preserve">  Then, for each ordered value, the average was calculated.  </w:t>
      </w:r>
      <w:r w:rsidR="003B6729" w:rsidRPr="003B6729">
        <w:t>This process is commonly referred to as the Rank and Average methodology.</w:t>
      </w:r>
      <w:r w:rsidR="00EF0008" w:rsidRPr="00EF0008">
        <w:t xml:space="preserve"> </w:t>
      </w:r>
    </w:p>
    <w:p w14:paraId="0CDEE2CD" w14:textId="77777777" w:rsidR="00EF0008" w:rsidRDefault="00EF0008" w:rsidP="006812D4">
      <w:pPr>
        <w:pStyle w:val="StyleLinespacingMultiple115li"/>
      </w:pPr>
    </w:p>
    <w:p w14:paraId="3D037F5D" w14:textId="0B59C833" w:rsidR="00EF0008" w:rsidRDefault="00EF0008" w:rsidP="006812D4">
      <w:pPr>
        <w:pStyle w:val="StyleLinespacingMultiple115li"/>
      </w:pPr>
      <w:r w:rsidRPr="00E951E4">
        <w:t>For example, to determine the normal weather forec</w:t>
      </w:r>
      <w:r w:rsidR="00A97B75">
        <w:t xml:space="preserve">asted peak value for </w:t>
      </w:r>
      <w:r w:rsidR="003115BF">
        <w:t>August</w:t>
      </w:r>
      <w:r w:rsidR="007A3F68">
        <w:t xml:space="preserve"> 202</w:t>
      </w:r>
      <w:r w:rsidR="00C14C10">
        <w:t>4</w:t>
      </w:r>
      <w:r w:rsidRPr="00E951E4">
        <w:t xml:space="preserve">, take </w:t>
      </w:r>
      <w:r w:rsidR="00A97B75">
        <w:t>the highest forecasted value from</w:t>
      </w:r>
      <w:r w:rsidRPr="00E951E4">
        <w:t xml:space="preserve"> each of the fifteen weather load fo</w:t>
      </w:r>
      <w:r w:rsidR="00A97B75">
        <w:t xml:space="preserve">recast scenarios for </w:t>
      </w:r>
      <w:r w:rsidR="003115BF">
        <w:t>August</w:t>
      </w:r>
      <w:r w:rsidR="007A3F68">
        <w:t xml:space="preserve"> 202</w:t>
      </w:r>
      <w:r w:rsidR="00C14C10">
        <w:t>4</w:t>
      </w:r>
      <w:r>
        <w:t xml:space="preserve"> and average them.  To</w:t>
      </w:r>
      <w:r w:rsidRPr="00E951E4">
        <w:t xml:space="preserve"> determine the second hi</w:t>
      </w:r>
      <w:r w:rsidR="006577E4">
        <w:t>ghest</w:t>
      </w:r>
      <w:r w:rsidR="00A97B75">
        <w:t xml:space="preserve"> value for </w:t>
      </w:r>
      <w:r w:rsidR="003115BF">
        <w:t>August</w:t>
      </w:r>
      <w:r w:rsidR="007A3F68">
        <w:t xml:space="preserve"> 202</w:t>
      </w:r>
      <w:r w:rsidR="00C14C10">
        <w:t>4</w:t>
      </w:r>
      <w:r w:rsidRPr="00E951E4">
        <w:t>, take the second highest forecasted value for each of the fifteen weather load fo</w:t>
      </w:r>
      <w:r w:rsidR="00A97B75">
        <w:t xml:space="preserve">recast scenarios for </w:t>
      </w:r>
      <w:r w:rsidR="003115BF">
        <w:t>August</w:t>
      </w:r>
      <w:r w:rsidR="007A3F68">
        <w:t xml:space="preserve"> 202</w:t>
      </w:r>
      <w:r w:rsidR="00C14C10">
        <w:t>4</w:t>
      </w:r>
      <w:r w:rsidRPr="00E951E4">
        <w:t xml:space="preserve"> and average them. Repeat this process for all hours in </w:t>
      </w:r>
      <w:r w:rsidR="003115BF">
        <w:t>August</w:t>
      </w:r>
      <w:r w:rsidR="007A3F68">
        <w:t xml:space="preserve"> 202</w:t>
      </w:r>
      <w:r w:rsidR="00C14C10">
        <w:t>4</w:t>
      </w:r>
      <w:r w:rsidRPr="00E951E4">
        <w:t xml:space="preserve">.  </w:t>
      </w:r>
      <w:r>
        <w:t xml:space="preserve">See Table </w:t>
      </w:r>
      <w:r w:rsidR="0029373C">
        <w:t>2</w:t>
      </w:r>
      <w:r>
        <w:t xml:space="preserve"> </w:t>
      </w:r>
      <w:r w:rsidR="00E35BA4">
        <w:t>(</w:t>
      </w:r>
      <w:r>
        <w:t>below</w:t>
      </w:r>
      <w:r w:rsidR="00E35BA4">
        <w:t>)</w:t>
      </w:r>
      <w:r>
        <w:t xml:space="preserve"> for a summary of these calculations.</w:t>
      </w:r>
    </w:p>
    <w:p w14:paraId="405E4947" w14:textId="77777777" w:rsidR="00F163AD" w:rsidRDefault="00F163AD" w:rsidP="006812D4">
      <w:pPr>
        <w:pStyle w:val="StyleLinespacingMultiple115li"/>
      </w:pPr>
    </w:p>
    <w:p w14:paraId="0D6CA3EA" w14:textId="16232533" w:rsidR="00F163AD" w:rsidRDefault="00F163AD" w:rsidP="00F163AD">
      <w:pPr>
        <w:pStyle w:val="StyleLinespacingMultiple115li"/>
      </w:pPr>
      <w:r w:rsidRPr="00E951E4">
        <w:t xml:space="preserve">After this process has been completed for all hours in </w:t>
      </w:r>
      <w:r>
        <w:t>August</w:t>
      </w:r>
      <w:r w:rsidRPr="00E951E4">
        <w:t xml:space="preserve">, a forecast will have been </w:t>
      </w:r>
      <w:r w:rsidR="00883598">
        <w:t>created</w:t>
      </w:r>
      <w:r w:rsidRPr="00E951E4">
        <w:t xml:space="preserve"> for all 744 hours of </w:t>
      </w:r>
      <w:r>
        <w:t>August</w:t>
      </w:r>
      <w:r w:rsidRPr="00E951E4">
        <w:t xml:space="preserve">. </w:t>
      </w:r>
      <w:r>
        <w:t>A</w:t>
      </w:r>
      <w:r w:rsidRPr="00E951E4">
        <w:t>t this point</w:t>
      </w:r>
      <w:r>
        <w:t>, t</w:t>
      </w:r>
      <w:r w:rsidRPr="00E951E4">
        <w:t>he forecast is ordered from the highest value (indicated as rank 1) to the lowest value (indicated as rank 744).  Note that the forecasted values have not yet been assigned to a day or hour.  The values associated with a rank of 1 are the monthly forecasted peak demand values.  The forecasted monthly peak values for August and January</w:t>
      </w:r>
      <w:r>
        <w:t>,</w:t>
      </w:r>
      <w:r w:rsidRPr="00E951E4">
        <w:t xml:space="preserve"> </w:t>
      </w:r>
      <w:r>
        <w:t xml:space="preserve">however, are </w:t>
      </w:r>
      <w:r w:rsidRPr="00E951E4">
        <w:t xml:space="preserve">subject to an adjustment which </w:t>
      </w:r>
      <w:r>
        <w:t xml:space="preserve">is </w:t>
      </w:r>
      <w:r w:rsidRPr="00E951E4">
        <w:t>covered in the two sections immediately below.</w:t>
      </w:r>
    </w:p>
    <w:p w14:paraId="5D56E5A0" w14:textId="69B40BA1" w:rsidR="00E35BA4" w:rsidRDefault="00E35BA4" w:rsidP="00F163AD">
      <w:pPr>
        <w:pStyle w:val="StyleLinespacingMultiple115li"/>
      </w:pPr>
    </w:p>
    <w:p w14:paraId="199A9E14" w14:textId="77777777" w:rsidR="00E35BA4" w:rsidRPr="00D01089" w:rsidRDefault="00E35BA4" w:rsidP="00E35BA4">
      <w:pPr>
        <w:pStyle w:val="StyleLinespacingMultiple115li"/>
        <w:rPr>
          <w:u w:val="single"/>
        </w:rPr>
      </w:pPr>
      <w:r w:rsidRPr="00D01089">
        <w:rPr>
          <w:u w:val="single"/>
        </w:rPr>
        <w:t xml:space="preserve">Weather Zone </w:t>
      </w:r>
      <w:r>
        <w:rPr>
          <w:u w:val="single"/>
        </w:rPr>
        <w:t xml:space="preserve">Normal Weather </w:t>
      </w:r>
      <w:r w:rsidRPr="00D01089">
        <w:rPr>
          <w:u w:val="single"/>
        </w:rPr>
        <w:t>Summer Peak Demand</w:t>
      </w:r>
      <w:r>
        <w:rPr>
          <w:u w:val="single"/>
        </w:rPr>
        <w:t xml:space="preserve"> Forecast</w:t>
      </w:r>
    </w:p>
    <w:p w14:paraId="5BAF2E78" w14:textId="77777777" w:rsidR="00E35BA4" w:rsidRPr="00CF2491" w:rsidRDefault="00E35BA4" w:rsidP="00E35BA4">
      <w:pPr>
        <w:pStyle w:val="StyleLinespacingMultiple115li"/>
        <w:rPr>
          <w:highlight w:val="yellow"/>
          <w:u w:val="single"/>
        </w:rPr>
      </w:pPr>
    </w:p>
    <w:p w14:paraId="3B2F1DE5" w14:textId="49029C14" w:rsidR="00E35BA4" w:rsidRDefault="00E35BA4" w:rsidP="00E35BA4">
      <w:pPr>
        <w:pStyle w:val="StyleLinespacingMultiple115li"/>
      </w:pPr>
      <w:r>
        <w:t>The fif</w:t>
      </w:r>
      <w:r w:rsidRPr="00133BCF">
        <w:t xml:space="preserve">teen weather load forecast scenarios are used as the basis for creating </w:t>
      </w:r>
      <w:r>
        <w:t>the</w:t>
      </w:r>
      <w:r w:rsidRPr="00133BCF">
        <w:t xml:space="preserve"> </w:t>
      </w:r>
      <w:r>
        <w:t>weather zone normal weather summer</w:t>
      </w:r>
      <w:r w:rsidRPr="00133BCF">
        <w:t xml:space="preserve"> peak forecast</w:t>
      </w:r>
      <w:r>
        <w:t>.  Each of the fif</w:t>
      </w:r>
      <w:r w:rsidRPr="00133BCF">
        <w:t xml:space="preserve">teen hourly </w:t>
      </w:r>
      <w:r>
        <w:t xml:space="preserve">weather load </w:t>
      </w:r>
      <w:r w:rsidRPr="00133BCF">
        <w:t>forecast scenarios are separated into individual calendar year forecasts</w:t>
      </w:r>
      <w:r>
        <w:t xml:space="preserve"> (</w:t>
      </w:r>
      <w:r w:rsidRPr="00133BCF">
        <w:t>covering calendar years 20</w:t>
      </w:r>
      <w:r>
        <w:t>2</w:t>
      </w:r>
      <w:r w:rsidR="00696335">
        <w:t>4</w:t>
      </w:r>
      <w:r>
        <w:t>-203</w:t>
      </w:r>
      <w:r w:rsidR="00696335">
        <w:t>3</w:t>
      </w:r>
      <w:r>
        <w:t>)</w:t>
      </w:r>
      <w:r w:rsidRPr="00133BCF">
        <w:t xml:space="preserve">. </w:t>
      </w:r>
      <w:r>
        <w:t>The maximum forecasted hourly value occurring during the summer season (defined as June through September) is determined for each individual calendar year</w:t>
      </w:r>
      <w:r w:rsidRPr="00133BCF">
        <w:t>.</w:t>
      </w:r>
    </w:p>
    <w:p w14:paraId="017D6BF7" w14:textId="77777777" w:rsidR="00CF2CAA" w:rsidRDefault="00CF2CAA" w:rsidP="00F163AD">
      <w:pPr>
        <w:pStyle w:val="StyleLinespacingMultiple115li"/>
      </w:pPr>
    </w:p>
    <w:p w14:paraId="060B9E08" w14:textId="38AE4F23" w:rsidR="00E35BA4" w:rsidRDefault="00E35BA4" w:rsidP="00F163AD">
      <w:pPr>
        <w:pStyle w:val="StyleLinespacingMultiple115li"/>
      </w:pPr>
      <w:r>
        <w:t xml:space="preserve">The summer peak demand values from the fifteen weather scenarios for a particular calendar year are averaged to determine the normal weather forecasted summer peak value.  </w:t>
      </w:r>
      <w:r w:rsidRPr="00133BCF">
        <w:t xml:space="preserve">For example, to determine the normal weather forecasted </w:t>
      </w:r>
      <w:r>
        <w:t xml:space="preserve">summer </w:t>
      </w:r>
      <w:r w:rsidRPr="00133BCF">
        <w:t>peak value</w:t>
      </w:r>
      <w:r>
        <w:t xml:space="preserve"> for calendar year 202</w:t>
      </w:r>
      <w:r w:rsidR="00696335">
        <w:t>4</w:t>
      </w:r>
      <w:r w:rsidRPr="00133BCF">
        <w:t>, take the highest for</w:t>
      </w:r>
      <w:r>
        <w:t>ecasted value in months June through September from each of the fif</w:t>
      </w:r>
      <w:r w:rsidRPr="00133BCF">
        <w:t>teen weather load forecast scenarios</w:t>
      </w:r>
      <w:r>
        <w:t xml:space="preserve"> for calendar year 202</w:t>
      </w:r>
      <w:r w:rsidR="00696335">
        <w:t>4</w:t>
      </w:r>
      <w:r w:rsidRPr="00133BCF">
        <w:t xml:space="preserve"> and average them.</w:t>
      </w:r>
      <w:r>
        <w:t xml:space="preserve">  The forecasted summer peak demand is then assigned to August and replaces the previously calculated peak (rank 1) forecasted value for the month of August. </w:t>
      </w:r>
    </w:p>
    <w:p w14:paraId="335645AE" w14:textId="77777777" w:rsidR="00E35BA4" w:rsidRPr="00E951E4" w:rsidRDefault="00E35BA4" w:rsidP="00F163AD">
      <w:pPr>
        <w:pStyle w:val="StyleLinespacingMultiple115li"/>
      </w:pPr>
    </w:p>
    <w:p w14:paraId="757B7785" w14:textId="77777777" w:rsidR="00715FC8" w:rsidRPr="00941232" w:rsidRDefault="00715FC8" w:rsidP="00715FC8">
      <w:pPr>
        <w:pStyle w:val="StyleLinespacingMultiple115li"/>
      </w:pPr>
      <w:r w:rsidRPr="00941232">
        <w:t>Example:</w:t>
      </w:r>
    </w:p>
    <w:p w14:paraId="1CA5319D" w14:textId="192E3D1B" w:rsidR="00715FC8" w:rsidRPr="00E76ABC" w:rsidRDefault="00715FC8" w:rsidP="00715FC8">
      <w:pPr>
        <w:pStyle w:val="StyleLinespacingMultiple115li"/>
      </w:pPr>
      <w:r>
        <w:t xml:space="preserve">Table </w:t>
      </w:r>
      <w:r w:rsidR="0029373C">
        <w:t>2</w:t>
      </w:r>
      <w:r>
        <w:t xml:space="preserve"> (below) shows the forecasted summer peak demand for the Coast weather zone for 202</w:t>
      </w:r>
      <w:r w:rsidR="00BF0872">
        <w:t>4</w:t>
      </w:r>
      <w:r>
        <w:t xml:space="preserve"> based on the historical weather years of 200</w:t>
      </w:r>
      <w:r w:rsidR="00BF0872">
        <w:t>8</w:t>
      </w:r>
      <w:r>
        <w:t>-202</w:t>
      </w:r>
      <w:r w:rsidR="00BF0872">
        <w:t>2</w:t>
      </w:r>
      <w:r>
        <w:t xml:space="preserve">.  The </w:t>
      </w:r>
      <w:r w:rsidRPr="00E76ABC">
        <w:t xml:space="preserve">forecasted </w:t>
      </w:r>
      <w:r>
        <w:t xml:space="preserve">gross </w:t>
      </w:r>
      <w:r w:rsidRPr="00E76ABC">
        <w:t>summer peak demand for Coast is 2</w:t>
      </w:r>
      <w:r w:rsidR="00A35210">
        <w:t>1</w:t>
      </w:r>
      <w:r w:rsidRPr="00E76ABC">
        <w:t>,</w:t>
      </w:r>
      <w:r w:rsidR="00ED4B81">
        <w:t>787</w:t>
      </w:r>
      <w:r w:rsidRPr="00E76ABC">
        <w:t xml:space="preserve"> MW.</w:t>
      </w:r>
    </w:p>
    <w:p w14:paraId="5C3EB08B" w14:textId="01D74C10" w:rsidR="0061480D" w:rsidRDefault="0061480D" w:rsidP="00585512">
      <w:pPr>
        <w:spacing w:line="276" w:lineRule="auto"/>
        <w:jc w:val="center"/>
        <w:rPr>
          <w:b/>
          <w:u w:val="single"/>
        </w:rPr>
      </w:pPr>
    </w:p>
    <w:p w14:paraId="3B8DBCC8" w14:textId="47901CA0" w:rsidR="00137DB3" w:rsidRDefault="00137DB3" w:rsidP="00585512">
      <w:pPr>
        <w:spacing w:line="276" w:lineRule="auto"/>
        <w:jc w:val="center"/>
        <w:rPr>
          <w:b/>
          <w:u w:val="single"/>
        </w:rPr>
      </w:pPr>
    </w:p>
    <w:p w14:paraId="6B7F66FD" w14:textId="595F38DC" w:rsidR="00585512" w:rsidRPr="00F163AD" w:rsidRDefault="00585512" w:rsidP="00585512">
      <w:pPr>
        <w:spacing w:line="276" w:lineRule="auto"/>
        <w:jc w:val="center"/>
        <w:rPr>
          <w:b/>
          <w:u w:val="single"/>
        </w:rPr>
      </w:pPr>
      <w:r w:rsidRPr="00F163AD">
        <w:rPr>
          <w:b/>
          <w:u w:val="single"/>
        </w:rPr>
        <w:t>Table</w:t>
      </w:r>
      <w:r w:rsidR="0029373C">
        <w:rPr>
          <w:b/>
          <w:u w:val="single"/>
        </w:rPr>
        <w:t xml:space="preserve"> 2</w:t>
      </w:r>
      <w:r w:rsidRPr="00F163AD">
        <w:rPr>
          <w:b/>
          <w:u w:val="single"/>
        </w:rPr>
        <w:t xml:space="preserve"> : Coast Weather Zone</w:t>
      </w:r>
      <w:r w:rsidR="0051299E" w:rsidRPr="00F163AD">
        <w:rPr>
          <w:b/>
          <w:u w:val="single"/>
        </w:rPr>
        <w:t xml:space="preserve"> </w:t>
      </w:r>
      <w:r w:rsidR="003115BF" w:rsidRPr="00F163AD">
        <w:rPr>
          <w:b/>
          <w:u w:val="single"/>
        </w:rPr>
        <w:t>August</w:t>
      </w:r>
      <w:r w:rsidR="003779B3" w:rsidRPr="00F163AD">
        <w:rPr>
          <w:b/>
          <w:u w:val="single"/>
        </w:rPr>
        <w:t xml:space="preserve"> 202</w:t>
      </w:r>
      <w:r w:rsidR="0057104E">
        <w:rPr>
          <w:b/>
          <w:u w:val="single"/>
        </w:rPr>
        <w:t>4</w:t>
      </w:r>
      <w:r w:rsidRPr="00F163AD">
        <w:rPr>
          <w:b/>
          <w:u w:val="single"/>
        </w:rPr>
        <w:t xml:space="preserve"> Forecast Scenarios</w:t>
      </w:r>
    </w:p>
    <w:p w14:paraId="34BB3265" w14:textId="77777777" w:rsidR="0051299E" w:rsidRPr="0051299E" w:rsidRDefault="0051299E" w:rsidP="00585512">
      <w:pPr>
        <w:spacing w:line="276" w:lineRule="auto"/>
        <w:jc w:val="center"/>
        <w:rPr>
          <w:u w:val="single"/>
        </w:rPr>
      </w:pPr>
    </w:p>
    <w:p w14:paraId="21CD0C67" w14:textId="6D775631" w:rsidR="003115BF" w:rsidRDefault="0008449A" w:rsidP="0029421A">
      <w:pPr>
        <w:spacing w:line="276" w:lineRule="auto"/>
        <w:jc w:val="center"/>
        <w:rPr>
          <w:rFonts w:asciiTheme="minorHAnsi" w:hAnsiTheme="minorHAnsi"/>
          <w:b/>
          <w:sz w:val="20"/>
        </w:rPr>
      </w:pPr>
      <w:r w:rsidRPr="00F163AD">
        <w:rPr>
          <w:rFonts w:asciiTheme="minorHAnsi" w:hAnsiTheme="minorHAnsi"/>
          <w:b/>
          <w:sz w:val="20"/>
        </w:rPr>
        <w:t>Historical Weather Year</w:t>
      </w:r>
    </w:p>
    <w:tbl>
      <w:tblPr>
        <w:tblW w:w="11298" w:type="dxa"/>
        <w:tblLook w:val="04A0" w:firstRow="1" w:lastRow="0" w:firstColumn="1" w:lastColumn="0" w:noHBand="0" w:noVBand="1"/>
      </w:tblPr>
      <w:tblGrid>
        <w:gridCol w:w="548"/>
        <w:gridCol w:w="662"/>
        <w:gridCol w:w="662"/>
        <w:gridCol w:w="662"/>
        <w:gridCol w:w="662"/>
        <w:gridCol w:w="662"/>
        <w:gridCol w:w="662"/>
        <w:gridCol w:w="662"/>
        <w:gridCol w:w="662"/>
        <w:gridCol w:w="662"/>
        <w:gridCol w:w="662"/>
        <w:gridCol w:w="662"/>
        <w:gridCol w:w="662"/>
        <w:gridCol w:w="662"/>
        <w:gridCol w:w="662"/>
        <w:gridCol w:w="662"/>
        <w:gridCol w:w="820"/>
      </w:tblGrid>
      <w:tr w:rsidR="007261C7" w14:paraId="06594A8B" w14:textId="77777777" w:rsidTr="007261C7">
        <w:trPr>
          <w:trHeight w:hRule="exact" w:val="20"/>
        </w:trPr>
        <w:tc>
          <w:tcPr>
            <w:tcW w:w="548" w:type="dxa"/>
            <w:tcBorders>
              <w:top w:val="nil"/>
              <w:left w:val="nil"/>
              <w:bottom w:val="nil"/>
              <w:right w:val="nil"/>
            </w:tcBorders>
            <w:shd w:val="clear" w:color="000000" w:fill="E2EFDA"/>
            <w:noWrap/>
            <w:vAlign w:val="bottom"/>
            <w:hideMark/>
          </w:tcPr>
          <w:p w14:paraId="1317B5D6" w14:textId="77777777" w:rsidR="007261C7" w:rsidRDefault="007261C7">
            <w:pPr>
              <w:rPr>
                <w:sz w:val="2"/>
              </w:rPr>
            </w:pPr>
            <w:bookmarkStart w:id="2" w:name="_3000a52a_582e_42c4_806b_b6bccb1b2f22"/>
          </w:p>
        </w:tc>
        <w:tc>
          <w:tcPr>
            <w:tcW w:w="662" w:type="dxa"/>
            <w:tcBorders>
              <w:top w:val="nil"/>
              <w:left w:val="nil"/>
              <w:bottom w:val="nil"/>
              <w:right w:val="nil"/>
            </w:tcBorders>
            <w:shd w:val="clear" w:color="000000" w:fill="E2EFDA"/>
            <w:noWrap/>
            <w:vAlign w:val="bottom"/>
            <w:hideMark/>
          </w:tcPr>
          <w:p w14:paraId="0FA79761" w14:textId="77777777" w:rsidR="007261C7" w:rsidRDefault="007261C7">
            <w:pPr>
              <w:rPr>
                <w:sz w:val="2"/>
              </w:rPr>
            </w:pPr>
          </w:p>
        </w:tc>
        <w:tc>
          <w:tcPr>
            <w:tcW w:w="662" w:type="dxa"/>
            <w:tcBorders>
              <w:top w:val="nil"/>
              <w:left w:val="nil"/>
              <w:bottom w:val="nil"/>
              <w:right w:val="nil"/>
            </w:tcBorders>
            <w:shd w:val="clear" w:color="000000" w:fill="E2EFDA"/>
            <w:noWrap/>
            <w:vAlign w:val="bottom"/>
            <w:hideMark/>
          </w:tcPr>
          <w:p w14:paraId="2B672667" w14:textId="77777777" w:rsidR="007261C7" w:rsidRDefault="007261C7">
            <w:pPr>
              <w:rPr>
                <w:sz w:val="2"/>
              </w:rPr>
            </w:pPr>
          </w:p>
        </w:tc>
        <w:tc>
          <w:tcPr>
            <w:tcW w:w="662" w:type="dxa"/>
            <w:tcBorders>
              <w:top w:val="nil"/>
              <w:left w:val="nil"/>
              <w:bottom w:val="nil"/>
              <w:right w:val="nil"/>
            </w:tcBorders>
            <w:shd w:val="clear" w:color="000000" w:fill="E2EFDA"/>
            <w:noWrap/>
            <w:vAlign w:val="bottom"/>
            <w:hideMark/>
          </w:tcPr>
          <w:p w14:paraId="2F38FFCE" w14:textId="77777777" w:rsidR="007261C7" w:rsidRDefault="007261C7">
            <w:pPr>
              <w:rPr>
                <w:sz w:val="2"/>
              </w:rPr>
            </w:pPr>
          </w:p>
        </w:tc>
        <w:tc>
          <w:tcPr>
            <w:tcW w:w="662" w:type="dxa"/>
            <w:tcBorders>
              <w:top w:val="nil"/>
              <w:left w:val="nil"/>
              <w:bottom w:val="nil"/>
              <w:right w:val="nil"/>
            </w:tcBorders>
            <w:shd w:val="clear" w:color="000000" w:fill="E2EFDA"/>
            <w:noWrap/>
            <w:vAlign w:val="bottom"/>
            <w:hideMark/>
          </w:tcPr>
          <w:p w14:paraId="38BA5921" w14:textId="77777777" w:rsidR="007261C7" w:rsidRDefault="007261C7">
            <w:pPr>
              <w:rPr>
                <w:sz w:val="2"/>
              </w:rPr>
            </w:pPr>
          </w:p>
        </w:tc>
        <w:tc>
          <w:tcPr>
            <w:tcW w:w="662" w:type="dxa"/>
            <w:tcBorders>
              <w:top w:val="nil"/>
              <w:left w:val="nil"/>
              <w:bottom w:val="nil"/>
              <w:right w:val="nil"/>
            </w:tcBorders>
            <w:shd w:val="clear" w:color="000000" w:fill="E2EFDA"/>
            <w:noWrap/>
            <w:vAlign w:val="bottom"/>
            <w:hideMark/>
          </w:tcPr>
          <w:p w14:paraId="5FFA11EA" w14:textId="77777777" w:rsidR="007261C7" w:rsidRDefault="007261C7">
            <w:pPr>
              <w:rPr>
                <w:sz w:val="2"/>
              </w:rPr>
            </w:pPr>
          </w:p>
        </w:tc>
        <w:tc>
          <w:tcPr>
            <w:tcW w:w="662" w:type="dxa"/>
            <w:tcBorders>
              <w:top w:val="nil"/>
              <w:left w:val="nil"/>
              <w:bottom w:val="nil"/>
              <w:right w:val="nil"/>
            </w:tcBorders>
            <w:shd w:val="clear" w:color="000000" w:fill="E2EFDA"/>
            <w:noWrap/>
            <w:vAlign w:val="bottom"/>
            <w:hideMark/>
          </w:tcPr>
          <w:p w14:paraId="178E306D" w14:textId="77777777" w:rsidR="007261C7" w:rsidRDefault="007261C7">
            <w:pPr>
              <w:rPr>
                <w:sz w:val="2"/>
              </w:rPr>
            </w:pPr>
          </w:p>
        </w:tc>
        <w:tc>
          <w:tcPr>
            <w:tcW w:w="662" w:type="dxa"/>
            <w:tcBorders>
              <w:top w:val="nil"/>
              <w:left w:val="nil"/>
              <w:bottom w:val="nil"/>
              <w:right w:val="nil"/>
            </w:tcBorders>
            <w:shd w:val="clear" w:color="000000" w:fill="E2EFDA"/>
            <w:noWrap/>
            <w:vAlign w:val="bottom"/>
            <w:hideMark/>
          </w:tcPr>
          <w:p w14:paraId="44E48716" w14:textId="77777777" w:rsidR="007261C7" w:rsidRDefault="007261C7">
            <w:pPr>
              <w:rPr>
                <w:sz w:val="2"/>
              </w:rPr>
            </w:pPr>
          </w:p>
        </w:tc>
        <w:tc>
          <w:tcPr>
            <w:tcW w:w="662" w:type="dxa"/>
            <w:tcBorders>
              <w:top w:val="nil"/>
              <w:left w:val="nil"/>
              <w:bottom w:val="nil"/>
              <w:right w:val="nil"/>
            </w:tcBorders>
            <w:shd w:val="clear" w:color="000000" w:fill="E2EFDA"/>
            <w:noWrap/>
            <w:vAlign w:val="bottom"/>
            <w:hideMark/>
          </w:tcPr>
          <w:p w14:paraId="0E1F2765" w14:textId="77777777" w:rsidR="007261C7" w:rsidRDefault="007261C7">
            <w:pPr>
              <w:rPr>
                <w:sz w:val="2"/>
              </w:rPr>
            </w:pPr>
          </w:p>
        </w:tc>
        <w:tc>
          <w:tcPr>
            <w:tcW w:w="662" w:type="dxa"/>
            <w:tcBorders>
              <w:top w:val="nil"/>
              <w:left w:val="nil"/>
              <w:bottom w:val="nil"/>
              <w:right w:val="nil"/>
            </w:tcBorders>
            <w:shd w:val="clear" w:color="000000" w:fill="E2EFDA"/>
            <w:noWrap/>
            <w:vAlign w:val="bottom"/>
            <w:hideMark/>
          </w:tcPr>
          <w:p w14:paraId="5C36FD58" w14:textId="77777777" w:rsidR="007261C7" w:rsidRDefault="007261C7">
            <w:pPr>
              <w:rPr>
                <w:sz w:val="2"/>
              </w:rPr>
            </w:pPr>
          </w:p>
        </w:tc>
        <w:tc>
          <w:tcPr>
            <w:tcW w:w="662" w:type="dxa"/>
            <w:tcBorders>
              <w:top w:val="nil"/>
              <w:left w:val="nil"/>
              <w:bottom w:val="nil"/>
              <w:right w:val="nil"/>
            </w:tcBorders>
            <w:shd w:val="clear" w:color="000000" w:fill="E2EFDA"/>
            <w:noWrap/>
            <w:vAlign w:val="bottom"/>
            <w:hideMark/>
          </w:tcPr>
          <w:p w14:paraId="44A206E3" w14:textId="77777777" w:rsidR="007261C7" w:rsidRDefault="007261C7">
            <w:pPr>
              <w:rPr>
                <w:sz w:val="2"/>
              </w:rPr>
            </w:pPr>
          </w:p>
        </w:tc>
        <w:tc>
          <w:tcPr>
            <w:tcW w:w="662" w:type="dxa"/>
            <w:tcBorders>
              <w:top w:val="nil"/>
              <w:left w:val="nil"/>
              <w:bottom w:val="nil"/>
              <w:right w:val="nil"/>
            </w:tcBorders>
            <w:shd w:val="clear" w:color="000000" w:fill="E2EFDA"/>
            <w:noWrap/>
            <w:vAlign w:val="bottom"/>
            <w:hideMark/>
          </w:tcPr>
          <w:p w14:paraId="16EF1E37" w14:textId="77777777" w:rsidR="007261C7" w:rsidRDefault="007261C7">
            <w:pPr>
              <w:rPr>
                <w:sz w:val="2"/>
              </w:rPr>
            </w:pPr>
          </w:p>
        </w:tc>
        <w:tc>
          <w:tcPr>
            <w:tcW w:w="662" w:type="dxa"/>
            <w:tcBorders>
              <w:top w:val="nil"/>
              <w:left w:val="nil"/>
              <w:bottom w:val="nil"/>
              <w:right w:val="nil"/>
            </w:tcBorders>
            <w:shd w:val="clear" w:color="000000" w:fill="E2EFDA"/>
            <w:noWrap/>
            <w:vAlign w:val="bottom"/>
            <w:hideMark/>
          </w:tcPr>
          <w:p w14:paraId="6E66DF19" w14:textId="77777777" w:rsidR="007261C7" w:rsidRDefault="007261C7">
            <w:pPr>
              <w:rPr>
                <w:sz w:val="2"/>
              </w:rPr>
            </w:pPr>
          </w:p>
        </w:tc>
        <w:tc>
          <w:tcPr>
            <w:tcW w:w="662" w:type="dxa"/>
            <w:tcBorders>
              <w:top w:val="nil"/>
              <w:left w:val="nil"/>
              <w:bottom w:val="nil"/>
              <w:right w:val="nil"/>
            </w:tcBorders>
            <w:shd w:val="clear" w:color="000000" w:fill="E2EFDA"/>
            <w:noWrap/>
            <w:vAlign w:val="bottom"/>
            <w:hideMark/>
          </w:tcPr>
          <w:p w14:paraId="7B89A7FB" w14:textId="77777777" w:rsidR="007261C7" w:rsidRDefault="007261C7">
            <w:pPr>
              <w:rPr>
                <w:sz w:val="2"/>
              </w:rPr>
            </w:pPr>
          </w:p>
        </w:tc>
        <w:tc>
          <w:tcPr>
            <w:tcW w:w="662" w:type="dxa"/>
            <w:tcBorders>
              <w:top w:val="nil"/>
              <w:left w:val="nil"/>
              <w:bottom w:val="nil"/>
              <w:right w:val="nil"/>
            </w:tcBorders>
            <w:shd w:val="clear" w:color="000000" w:fill="E2EFDA"/>
            <w:noWrap/>
            <w:vAlign w:val="bottom"/>
            <w:hideMark/>
          </w:tcPr>
          <w:p w14:paraId="6AFE4995" w14:textId="77777777" w:rsidR="007261C7" w:rsidRDefault="007261C7">
            <w:pPr>
              <w:rPr>
                <w:sz w:val="2"/>
              </w:rPr>
            </w:pPr>
          </w:p>
        </w:tc>
        <w:tc>
          <w:tcPr>
            <w:tcW w:w="662" w:type="dxa"/>
            <w:tcBorders>
              <w:top w:val="nil"/>
              <w:left w:val="nil"/>
              <w:bottom w:val="nil"/>
              <w:right w:val="nil"/>
            </w:tcBorders>
            <w:shd w:val="clear" w:color="000000" w:fill="E2EFDA"/>
            <w:noWrap/>
            <w:vAlign w:val="bottom"/>
            <w:hideMark/>
          </w:tcPr>
          <w:p w14:paraId="3859CDA5" w14:textId="77777777" w:rsidR="007261C7" w:rsidRDefault="007261C7">
            <w:pPr>
              <w:rPr>
                <w:sz w:val="2"/>
              </w:rPr>
            </w:pPr>
          </w:p>
        </w:tc>
        <w:tc>
          <w:tcPr>
            <w:tcW w:w="820" w:type="dxa"/>
            <w:tcBorders>
              <w:top w:val="nil"/>
              <w:left w:val="nil"/>
              <w:bottom w:val="nil"/>
              <w:right w:val="nil"/>
            </w:tcBorders>
            <w:shd w:val="clear" w:color="000000" w:fill="E2EFDA"/>
            <w:noWrap/>
            <w:vAlign w:val="bottom"/>
            <w:hideMark/>
          </w:tcPr>
          <w:p w14:paraId="6832F7CC" w14:textId="77777777" w:rsidR="007261C7" w:rsidRDefault="007261C7">
            <w:pPr>
              <w:rPr>
                <w:sz w:val="2"/>
              </w:rPr>
            </w:pPr>
          </w:p>
        </w:tc>
      </w:tr>
      <w:tr w:rsidR="007261C7" w14:paraId="54114A18" w14:textId="77777777" w:rsidTr="007261C7">
        <w:trPr>
          <w:trHeight w:val="300"/>
        </w:trPr>
        <w:tc>
          <w:tcPr>
            <w:tcW w:w="548" w:type="dxa"/>
            <w:tcBorders>
              <w:top w:val="nil"/>
              <w:left w:val="nil"/>
              <w:bottom w:val="nil"/>
              <w:right w:val="nil"/>
            </w:tcBorders>
            <w:shd w:val="clear" w:color="000000" w:fill="E2EFDA"/>
            <w:noWrap/>
            <w:vAlign w:val="bottom"/>
            <w:hideMark/>
          </w:tcPr>
          <w:p w14:paraId="2A8D6C85" w14:textId="77777777"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Rank</w:t>
            </w:r>
          </w:p>
        </w:tc>
        <w:tc>
          <w:tcPr>
            <w:tcW w:w="662" w:type="dxa"/>
            <w:tcBorders>
              <w:top w:val="nil"/>
              <w:left w:val="nil"/>
              <w:bottom w:val="nil"/>
              <w:right w:val="nil"/>
            </w:tcBorders>
            <w:shd w:val="clear" w:color="000000" w:fill="E2EFDA"/>
            <w:noWrap/>
            <w:vAlign w:val="bottom"/>
            <w:hideMark/>
          </w:tcPr>
          <w:p w14:paraId="0E8902BC" w14:textId="79058167"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200</w:t>
            </w:r>
            <w:r>
              <w:rPr>
                <w:rFonts w:ascii="Calibri" w:hAnsi="Calibri" w:cs="Calibri"/>
                <w:b/>
                <w:bCs/>
                <w:color w:val="000000"/>
                <w:sz w:val="16"/>
                <w:szCs w:val="16"/>
              </w:rPr>
              <w:t>8</w:t>
            </w:r>
          </w:p>
        </w:tc>
        <w:tc>
          <w:tcPr>
            <w:tcW w:w="662" w:type="dxa"/>
            <w:tcBorders>
              <w:top w:val="nil"/>
              <w:left w:val="nil"/>
              <w:bottom w:val="nil"/>
              <w:right w:val="nil"/>
            </w:tcBorders>
            <w:shd w:val="clear" w:color="000000" w:fill="E2EFDA"/>
            <w:noWrap/>
            <w:vAlign w:val="bottom"/>
            <w:hideMark/>
          </w:tcPr>
          <w:p w14:paraId="393AA6A9" w14:textId="030C0FB8"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200</w:t>
            </w:r>
            <w:r>
              <w:rPr>
                <w:rFonts w:ascii="Calibri" w:hAnsi="Calibri" w:cs="Calibri"/>
                <w:b/>
                <w:bCs/>
                <w:color w:val="000000"/>
                <w:sz w:val="16"/>
                <w:szCs w:val="16"/>
              </w:rPr>
              <w:t>9</w:t>
            </w:r>
          </w:p>
        </w:tc>
        <w:tc>
          <w:tcPr>
            <w:tcW w:w="662" w:type="dxa"/>
            <w:tcBorders>
              <w:top w:val="nil"/>
              <w:left w:val="nil"/>
              <w:bottom w:val="nil"/>
              <w:right w:val="nil"/>
            </w:tcBorders>
            <w:shd w:val="clear" w:color="000000" w:fill="E2EFDA"/>
            <w:noWrap/>
            <w:vAlign w:val="bottom"/>
            <w:hideMark/>
          </w:tcPr>
          <w:p w14:paraId="1A187C5C" w14:textId="602C5B77"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20</w:t>
            </w:r>
            <w:r w:rsidR="009C187D">
              <w:rPr>
                <w:rFonts w:ascii="Calibri" w:hAnsi="Calibri" w:cs="Calibri"/>
                <w:b/>
                <w:bCs/>
                <w:color w:val="000000"/>
                <w:sz w:val="16"/>
                <w:szCs w:val="16"/>
              </w:rPr>
              <w:t>10</w:t>
            </w:r>
          </w:p>
        </w:tc>
        <w:tc>
          <w:tcPr>
            <w:tcW w:w="662" w:type="dxa"/>
            <w:tcBorders>
              <w:top w:val="nil"/>
              <w:left w:val="nil"/>
              <w:bottom w:val="nil"/>
              <w:right w:val="nil"/>
            </w:tcBorders>
            <w:shd w:val="clear" w:color="000000" w:fill="E2EFDA"/>
            <w:noWrap/>
            <w:vAlign w:val="bottom"/>
            <w:hideMark/>
          </w:tcPr>
          <w:p w14:paraId="38679C88" w14:textId="09FEED7C"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9C187D">
              <w:rPr>
                <w:rFonts w:ascii="Calibri" w:hAnsi="Calibri" w:cs="Calibri"/>
                <w:b/>
                <w:bCs/>
                <w:color w:val="000000"/>
                <w:sz w:val="16"/>
                <w:szCs w:val="16"/>
              </w:rPr>
              <w:t>1</w:t>
            </w:r>
          </w:p>
        </w:tc>
        <w:tc>
          <w:tcPr>
            <w:tcW w:w="662" w:type="dxa"/>
            <w:tcBorders>
              <w:top w:val="nil"/>
              <w:left w:val="nil"/>
              <w:bottom w:val="nil"/>
              <w:right w:val="nil"/>
            </w:tcBorders>
            <w:shd w:val="clear" w:color="000000" w:fill="E2EFDA"/>
            <w:noWrap/>
            <w:vAlign w:val="bottom"/>
            <w:hideMark/>
          </w:tcPr>
          <w:p w14:paraId="79ECCF57" w14:textId="39A646E4"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9C187D">
              <w:rPr>
                <w:rFonts w:ascii="Calibri" w:hAnsi="Calibri" w:cs="Calibri"/>
                <w:b/>
                <w:bCs/>
                <w:color w:val="000000"/>
                <w:sz w:val="16"/>
                <w:szCs w:val="16"/>
              </w:rPr>
              <w:t>2</w:t>
            </w:r>
          </w:p>
        </w:tc>
        <w:tc>
          <w:tcPr>
            <w:tcW w:w="662" w:type="dxa"/>
            <w:tcBorders>
              <w:top w:val="nil"/>
              <w:left w:val="nil"/>
              <w:bottom w:val="nil"/>
              <w:right w:val="nil"/>
            </w:tcBorders>
            <w:shd w:val="clear" w:color="000000" w:fill="E2EFDA"/>
            <w:noWrap/>
            <w:vAlign w:val="bottom"/>
            <w:hideMark/>
          </w:tcPr>
          <w:p w14:paraId="0CDB36D1" w14:textId="3F175B0A"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9C187D">
              <w:rPr>
                <w:rFonts w:ascii="Calibri" w:hAnsi="Calibri" w:cs="Calibri"/>
                <w:b/>
                <w:bCs/>
                <w:color w:val="000000"/>
                <w:sz w:val="16"/>
                <w:szCs w:val="16"/>
              </w:rPr>
              <w:t>3</w:t>
            </w:r>
          </w:p>
        </w:tc>
        <w:tc>
          <w:tcPr>
            <w:tcW w:w="662" w:type="dxa"/>
            <w:tcBorders>
              <w:top w:val="nil"/>
              <w:left w:val="nil"/>
              <w:bottom w:val="nil"/>
              <w:right w:val="nil"/>
            </w:tcBorders>
            <w:shd w:val="clear" w:color="000000" w:fill="E2EFDA"/>
            <w:noWrap/>
            <w:vAlign w:val="bottom"/>
            <w:hideMark/>
          </w:tcPr>
          <w:p w14:paraId="50D2AD4B" w14:textId="08B8C322"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7357F9">
              <w:rPr>
                <w:rFonts w:ascii="Calibri" w:hAnsi="Calibri" w:cs="Calibri"/>
                <w:b/>
                <w:bCs/>
                <w:color w:val="000000"/>
                <w:sz w:val="16"/>
                <w:szCs w:val="16"/>
              </w:rPr>
              <w:t>4</w:t>
            </w:r>
          </w:p>
        </w:tc>
        <w:tc>
          <w:tcPr>
            <w:tcW w:w="662" w:type="dxa"/>
            <w:tcBorders>
              <w:top w:val="nil"/>
              <w:left w:val="nil"/>
              <w:bottom w:val="nil"/>
              <w:right w:val="nil"/>
            </w:tcBorders>
            <w:shd w:val="clear" w:color="000000" w:fill="E2EFDA"/>
            <w:noWrap/>
            <w:vAlign w:val="bottom"/>
            <w:hideMark/>
          </w:tcPr>
          <w:p w14:paraId="3D4EE705" w14:textId="5E4E1A37"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7357F9">
              <w:rPr>
                <w:rFonts w:ascii="Calibri" w:hAnsi="Calibri" w:cs="Calibri"/>
                <w:b/>
                <w:bCs/>
                <w:color w:val="000000"/>
                <w:sz w:val="16"/>
                <w:szCs w:val="16"/>
              </w:rPr>
              <w:t>5</w:t>
            </w:r>
          </w:p>
        </w:tc>
        <w:tc>
          <w:tcPr>
            <w:tcW w:w="662" w:type="dxa"/>
            <w:tcBorders>
              <w:top w:val="nil"/>
              <w:left w:val="nil"/>
              <w:bottom w:val="nil"/>
              <w:right w:val="nil"/>
            </w:tcBorders>
            <w:shd w:val="clear" w:color="000000" w:fill="E2EFDA"/>
            <w:noWrap/>
            <w:vAlign w:val="bottom"/>
            <w:hideMark/>
          </w:tcPr>
          <w:p w14:paraId="17017D51" w14:textId="02933D5D"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7357F9">
              <w:rPr>
                <w:rFonts w:ascii="Calibri" w:hAnsi="Calibri" w:cs="Calibri"/>
                <w:b/>
                <w:bCs/>
                <w:color w:val="000000"/>
                <w:sz w:val="16"/>
                <w:szCs w:val="16"/>
              </w:rPr>
              <w:t>6</w:t>
            </w:r>
          </w:p>
        </w:tc>
        <w:tc>
          <w:tcPr>
            <w:tcW w:w="662" w:type="dxa"/>
            <w:tcBorders>
              <w:top w:val="nil"/>
              <w:left w:val="nil"/>
              <w:bottom w:val="nil"/>
              <w:right w:val="nil"/>
            </w:tcBorders>
            <w:shd w:val="clear" w:color="000000" w:fill="E2EFDA"/>
            <w:noWrap/>
            <w:vAlign w:val="bottom"/>
            <w:hideMark/>
          </w:tcPr>
          <w:p w14:paraId="2F313F61" w14:textId="476B4EA7"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4079EC">
              <w:rPr>
                <w:rFonts w:ascii="Calibri" w:hAnsi="Calibri" w:cs="Calibri"/>
                <w:b/>
                <w:bCs/>
                <w:color w:val="000000"/>
                <w:sz w:val="16"/>
                <w:szCs w:val="16"/>
              </w:rPr>
              <w:t>7</w:t>
            </w:r>
          </w:p>
        </w:tc>
        <w:tc>
          <w:tcPr>
            <w:tcW w:w="662" w:type="dxa"/>
            <w:tcBorders>
              <w:top w:val="nil"/>
              <w:left w:val="nil"/>
              <w:bottom w:val="nil"/>
              <w:right w:val="nil"/>
            </w:tcBorders>
            <w:shd w:val="clear" w:color="000000" w:fill="E2EFDA"/>
            <w:noWrap/>
            <w:vAlign w:val="bottom"/>
            <w:hideMark/>
          </w:tcPr>
          <w:p w14:paraId="0F593380" w14:textId="63F289AD"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4079EC">
              <w:rPr>
                <w:rFonts w:ascii="Calibri" w:hAnsi="Calibri" w:cs="Calibri"/>
                <w:b/>
                <w:bCs/>
                <w:color w:val="000000"/>
                <w:sz w:val="16"/>
                <w:szCs w:val="16"/>
              </w:rPr>
              <w:t>8</w:t>
            </w:r>
          </w:p>
        </w:tc>
        <w:tc>
          <w:tcPr>
            <w:tcW w:w="662" w:type="dxa"/>
            <w:tcBorders>
              <w:top w:val="nil"/>
              <w:left w:val="nil"/>
              <w:bottom w:val="nil"/>
              <w:right w:val="nil"/>
            </w:tcBorders>
            <w:shd w:val="clear" w:color="000000" w:fill="E2EFDA"/>
            <w:noWrap/>
            <w:vAlign w:val="bottom"/>
            <w:hideMark/>
          </w:tcPr>
          <w:p w14:paraId="6C195F02" w14:textId="5CF27129"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4079EC">
              <w:rPr>
                <w:rFonts w:ascii="Calibri" w:hAnsi="Calibri" w:cs="Calibri"/>
                <w:b/>
                <w:bCs/>
                <w:color w:val="000000"/>
                <w:sz w:val="16"/>
                <w:szCs w:val="16"/>
              </w:rPr>
              <w:t>9</w:t>
            </w:r>
          </w:p>
        </w:tc>
        <w:tc>
          <w:tcPr>
            <w:tcW w:w="662" w:type="dxa"/>
            <w:tcBorders>
              <w:top w:val="nil"/>
              <w:left w:val="nil"/>
              <w:bottom w:val="nil"/>
              <w:right w:val="nil"/>
            </w:tcBorders>
            <w:shd w:val="clear" w:color="000000" w:fill="E2EFDA"/>
            <w:noWrap/>
            <w:vAlign w:val="bottom"/>
            <w:hideMark/>
          </w:tcPr>
          <w:p w14:paraId="245EC1B2" w14:textId="2B842604"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20</w:t>
            </w:r>
            <w:r w:rsidR="004079EC">
              <w:rPr>
                <w:rFonts w:ascii="Calibri" w:hAnsi="Calibri" w:cs="Calibri"/>
                <w:b/>
                <w:bCs/>
                <w:color w:val="000000"/>
                <w:sz w:val="16"/>
                <w:szCs w:val="16"/>
              </w:rPr>
              <w:t>20</w:t>
            </w:r>
          </w:p>
        </w:tc>
        <w:tc>
          <w:tcPr>
            <w:tcW w:w="662" w:type="dxa"/>
            <w:tcBorders>
              <w:top w:val="nil"/>
              <w:left w:val="nil"/>
              <w:bottom w:val="nil"/>
              <w:right w:val="nil"/>
            </w:tcBorders>
            <w:shd w:val="clear" w:color="000000" w:fill="E2EFDA"/>
            <w:noWrap/>
            <w:vAlign w:val="bottom"/>
            <w:hideMark/>
          </w:tcPr>
          <w:p w14:paraId="623987C7" w14:textId="3682CE2B"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202</w:t>
            </w:r>
            <w:r w:rsidR="004079EC">
              <w:rPr>
                <w:rFonts w:ascii="Calibri" w:hAnsi="Calibri" w:cs="Calibri"/>
                <w:b/>
                <w:bCs/>
                <w:color w:val="000000"/>
                <w:sz w:val="16"/>
                <w:szCs w:val="16"/>
              </w:rPr>
              <w:t>1</w:t>
            </w:r>
          </w:p>
        </w:tc>
        <w:tc>
          <w:tcPr>
            <w:tcW w:w="662" w:type="dxa"/>
            <w:tcBorders>
              <w:top w:val="nil"/>
              <w:left w:val="nil"/>
              <w:bottom w:val="nil"/>
              <w:right w:val="nil"/>
            </w:tcBorders>
            <w:shd w:val="clear" w:color="000000" w:fill="E2EFDA"/>
            <w:noWrap/>
            <w:vAlign w:val="bottom"/>
            <w:hideMark/>
          </w:tcPr>
          <w:p w14:paraId="541ACD63" w14:textId="1102A6E9"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202</w:t>
            </w:r>
            <w:r w:rsidR="004079EC">
              <w:rPr>
                <w:rFonts w:ascii="Calibri" w:hAnsi="Calibri" w:cs="Calibri"/>
                <w:b/>
                <w:bCs/>
                <w:color w:val="000000"/>
                <w:sz w:val="16"/>
                <w:szCs w:val="16"/>
              </w:rPr>
              <w:t>2</w:t>
            </w:r>
          </w:p>
        </w:tc>
        <w:tc>
          <w:tcPr>
            <w:tcW w:w="820" w:type="dxa"/>
            <w:tcBorders>
              <w:top w:val="nil"/>
              <w:left w:val="nil"/>
              <w:bottom w:val="nil"/>
              <w:right w:val="nil"/>
            </w:tcBorders>
            <w:shd w:val="clear" w:color="000000" w:fill="E2EFDA"/>
            <w:noWrap/>
            <w:vAlign w:val="bottom"/>
            <w:hideMark/>
          </w:tcPr>
          <w:p w14:paraId="23461E9E" w14:textId="77777777" w:rsidR="007261C7" w:rsidRPr="00B748FF" w:rsidRDefault="007261C7" w:rsidP="005904AE">
            <w:pPr>
              <w:jc w:val="center"/>
              <w:rPr>
                <w:rFonts w:ascii="Calibri" w:hAnsi="Calibri" w:cs="Calibri"/>
                <w:b/>
                <w:bCs/>
                <w:color w:val="000000"/>
                <w:sz w:val="16"/>
                <w:szCs w:val="16"/>
              </w:rPr>
            </w:pPr>
            <w:r w:rsidRPr="00B748FF">
              <w:rPr>
                <w:rFonts w:ascii="Calibri" w:hAnsi="Calibri" w:cs="Calibri"/>
                <w:b/>
                <w:bCs/>
                <w:color w:val="000000"/>
                <w:sz w:val="16"/>
                <w:szCs w:val="16"/>
              </w:rPr>
              <w:t>Average</w:t>
            </w:r>
          </w:p>
        </w:tc>
      </w:tr>
      <w:tr w:rsidR="007261C7" w14:paraId="1B01ECC6" w14:textId="77777777" w:rsidTr="00664EDF">
        <w:trPr>
          <w:trHeight w:val="300"/>
        </w:trPr>
        <w:tc>
          <w:tcPr>
            <w:tcW w:w="548" w:type="dxa"/>
            <w:tcBorders>
              <w:top w:val="nil"/>
              <w:left w:val="nil"/>
              <w:bottom w:val="nil"/>
              <w:right w:val="nil"/>
            </w:tcBorders>
            <w:shd w:val="clear" w:color="000000" w:fill="E2EFDA"/>
            <w:noWrap/>
            <w:vAlign w:val="bottom"/>
            <w:hideMark/>
          </w:tcPr>
          <w:p w14:paraId="36546B7D" w14:textId="77777777" w:rsidR="007261C7" w:rsidRPr="00B748FF" w:rsidRDefault="007261C7" w:rsidP="005904AE">
            <w:pPr>
              <w:jc w:val="center"/>
              <w:rPr>
                <w:rFonts w:ascii="Calibri" w:hAnsi="Calibri" w:cs="Calibri"/>
                <w:color w:val="000000"/>
                <w:sz w:val="16"/>
                <w:szCs w:val="16"/>
              </w:rPr>
            </w:pPr>
            <w:r w:rsidRPr="00B748FF">
              <w:rPr>
                <w:rFonts w:ascii="Calibri" w:hAnsi="Calibri" w:cs="Calibri"/>
                <w:color w:val="000000"/>
                <w:sz w:val="16"/>
                <w:szCs w:val="16"/>
              </w:rPr>
              <w:t>1</w:t>
            </w:r>
          </w:p>
        </w:tc>
        <w:tc>
          <w:tcPr>
            <w:tcW w:w="662" w:type="dxa"/>
            <w:tcBorders>
              <w:top w:val="nil"/>
              <w:left w:val="nil"/>
              <w:right w:val="nil"/>
            </w:tcBorders>
            <w:shd w:val="clear" w:color="000000" w:fill="E2EFDA"/>
            <w:noWrap/>
            <w:vAlign w:val="bottom"/>
            <w:hideMark/>
          </w:tcPr>
          <w:p w14:paraId="5FAC5C0C" w14:textId="6ECA4438" w:rsidR="007261C7" w:rsidRPr="00B748FF" w:rsidRDefault="007261C7" w:rsidP="005904AE">
            <w:pPr>
              <w:jc w:val="center"/>
              <w:rPr>
                <w:rFonts w:ascii="Calibri" w:hAnsi="Calibri" w:cs="Calibri"/>
                <w:color w:val="000000"/>
                <w:sz w:val="16"/>
                <w:szCs w:val="16"/>
              </w:rPr>
            </w:pPr>
            <w:r w:rsidRPr="00B748FF">
              <w:rPr>
                <w:rFonts w:ascii="Calibri" w:hAnsi="Calibri" w:cs="Calibri"/>
                <w:color w:val="000000"/>
                <w:sz w:val="16"/>
                <w:szCs w:val="16"/>
              </w:rPr>
              <w:t>2</w:t>
            </w:r>
            <w:r w:rsidR="009C187D">
              <w:rPr>
                <w:rFonts w:ascii="Calibri" w:hAnsi="Calibri" w:cs="Calibri"/>
                <w:color w:val="000000"/>
                <w:sz w:val="16"/>
                <w:szCs w:val="16"/>
              </w:rPr>
              <w:t>1,</w:t>
            </w:r>
            <w:r w:rsidR="00AD6758">
              <w:rPr>
                <w:rFonts w:ascii="Calibri" w:hAnsi="Calibri" w:cs="Calibri"/>
                <w:color w:val="000000"/>
                <w:sz w:val="16"/>
                <w:szCs w:val="16"/>
              </w:rPr>
              <w:t>546</w:t>
            </w:r>
          </w:p>
        </w:tc>
        <w:tc>
          <w:tcPr>
            <w:tcW w:w="662" w:type="dxa"/>
            <w:tcBorders>
              <w:top w:val="nil"/>
              <w:left w:val="nil"/>
              <w:right w:val="nil"/>
            </w:tcBorders>
            <w:shd w:val="clear" w:color="000000" w:fill="E2EFDA"/>
            <w:noWrap/>
            <w:vAlign w:val="bottom"/>
            <w:hideMark/>
          </w:tcPr>
          <w:p w14:paraId="725416B1" w14:textId="080B3776" w:rsidR="007261C7" w:rsidRPr="00B748FF" w:rsidRDefault="007261C7" w:rsidP="005904AE">
            <w:pPr>
              <w:jc w:val="center"/>
              <w:rPr>
                <w:rFonts w:ascii="Calibri" w:hAnsi="Calibri" w:cs="Calibri"/>
                <w:color w:val="000000"/>
                <w:sz w:val="16"/>
                <w:szCs w:val="16"/>
              </w:rPr>
            </w:pPr>
            <w:r w:rsidRPr="00B748FF">
              <w:rPr>
                <w:rFonts w:ascii="Calibri" w:hAnsi="Calibri" w:cs="Calibri"/>
                <w:color w:val="000000"/>
                <w:sz w:val="16"/>
                <w:szCs w:val="16"/>
              </w:rPr>
              <w:t>2</w:t>
            </w:r>
            <w:r w:rsidR="009C187D">
              <w:rPr>
                <w:rFonts w:ascii="Calibri" w:hAnsi="Calibri" w:cs="Calibri"/>
                <w:color w:val="000000"/>
                <w:sz w:val="16"/>
                <w:szCs w:val="16"/>
              </w:rPr>
              <w:t>1,</w:t>
            </w:r>
            <w:r w:rsidR="00AD6758">
              <w:rPr>
                <w:rFonts w:ascii="Calibri" w:hAnsi="Calibri" w:cs="Calibri"/>
                <w:color w:val="000000"/>
                <w:sz w:val="16"/>
                <w:szCs w:val="16"/>
              </w:rPr>
              <w:t>801</w:t>
            </w:r>
          </w:p>
        </w:tc>
        <w:tc>
          <w:tcPr>
            <w:tcW w:w="662" w:type="dxa"/>
            <w:tcBorders>
              <w:top w:val="nil"/>
              <w:left w:val="nil"/>
              <w:right w:val="nil"/>
            </w:tcBorders>
            <w:shd w:val="clear" w:color="000000" w:fill="E2EFDA"/>
            <w:noWrap/>
            <w:vAlign w:val="bottom"/>
            <w:hideMark/>
          </w:tcPr>
          <w:p w14:paraId="1EF77871" w14:textId="1C937FD3" w:rsidR="007261C7" w:rsidRPr="00B748FF" w:rsidRDefault="007261C7" w:rsidP="005904AE">
            <w:pPr>
              <w:jc w:val="center"/>
              <w:rPr>
                <w:rFonts w:ascii="Calibri" w:hAnsi="Calibri" w:cs="Calibri"/>
                <w:color w:val="000000"/>
                <w:sz w:val="16"/>
                <w:szCs w:val="16"/>
              </w:rPr>
            </w:pPr>
            <w:r w:rsidRPr="00B748FF">
              <w:rPr>
                <w:rFonts w:ascii="Calibri" w:hAnsi="Calibri" w:cs="Calibri"/>
                <w:color w:val="000000"/>
                <w:sz w:val="16"/>
                <w:szCs w:val="16"/>
              </w:rPr>
              <w:t>2</w:t>
            </w:r>
            <w:r w:rsidR="009C187D">
              <w:rPr>
                <w:rFonts w:ascii="Calibri" w:hAnsi="Calibri" w:cs="Calibri"/>
                <w:color w:val="000000"/>
                <w:sz w:val="16"/>
                <w:szCs w:val="16"/>
              </w:rPr>
              <w:t>1,</w:t>
            </w:r>
            <w:r w:rsidR="00AD6758">
              <w:rPr>
                <w:rFonts w:ascii="Calibri" w:hAnsi="Calibri" w:cs="Calibri"/>
                <w:color w:val="000000"/>
                <w:sz w:val="16"/>
                <w:szCs w:val="16"/>
              </w:rPr>
              <w:t>869</w:t>
            </w:r>
          </w:p>
        </w:tc>
        <w:tc>
          <w:tcPr>
            <w:tcW w:w="662" w:type="dxa"/>
            <w:tcBorders>
              <w:top w:val="nil"/>
              <w:left w:val="nil"/>
              <w:right w:val="nil"/>
            </w:tcBorders>
            <w:shd w:val="clear" w:color="000000" w:fill="E2EFDA"/>
            <w:noWrap/>
            <w:vAlign w:val="bottom"/>
            <w:hideMark/>
          </w:tcPr>
          <w:p w14:paraId="16D44F82" w14:textId="27240BA5" w:rsidR="007261C7" w:rsidRPr="00B748FF" w:rsidRDefault="007261C7" w:rsidP="005904AE">
            <w:pPr>
              <w:jc w:val="center"/>
              <w:rPr>
                <w:rFonts w:ascii="Calibri" w:hAnsi="Calibri" w:cs="Calibri"/>
                <w:color w:val="000000"/>
                <w:sz w:val="16"/>
                <w:szCs w:val="16"/>
              </w:rPr>
            </w:pPr>
            <w:r w:rsidRPr="00B748FF">
              <w:rPr>
                <w:rFonts w:ascii="Calibri" w:hAnsi="Calibri" w:cs="Calibri"/>
                <w:color w:val="000000"/>
                <w:sz w:val="16"/>
                <w:szCs w:val="16"/>
              </w:rPr>
              <w:t>22,</w:t>
            </w:r>
            <w:r w:rsidR="00AD6758">
              <w:rPr>
                <w:rFonts w:ascii="Calibri" w:hAnsi="Calibri" w:cs="Calibri"/>
                <w:color w:val="000000"/>
                <w:sz w:val="16"/>
                <w:szCs w:val="16"/>
              </w:rPr>
              <w:t>537</w:t>
            </w:r>
          </w:p>
        </w:tc>
        <w:tc>
          <w:tcPr>
            <w:tcW w:w="662" w:type="dxa"/>
            <w:tcBorders>
              <w:top w:val="nil"/>
              <w:left w:val="nil"/>
              <w:right w:val="nil"/>
            </w:tcBorders>
            <w:shd w:val="clear" w:color="000000" w:fill="E2EFDA"/>
            <w:noWrap/>
            <w:vAlign w:val="bottom"/>
            <w:hideMark/>
          </w:tcPr>
          <w:p w14:paraId="69FAFA80" w14:textId="2EEE2FBC" w:rsidR="007261C7" w:rsidRPr="00B748FF" w:rsidRDefault="007261C7" w:rsidP="005904AE">
            <w:pPr>
              <w:jc w:val="center"/>
              <w:rPr>
                <w:rFonts w:ascii="Calibri" w:hAnsi="Calibri" w:cs="Calibri"/>
                <w:color w:val="000000"/>
                <w:sz w:val="16"/>
                <w:szCs w:val="16"/>
              </w:rPr>
            </w:pPr>
            <w:r w:rsidRPr="00B748FF">
              <w:rPr>
                <w:rFonts w:ascii="Calibri" w:hAnsi="Calibri" w:cs="Calibri"/>
                <w:color w:val="000000"/>
                <w:sz w:val="16"/>
                <w:szCs w:val="16"/>
              </w:rPr>
              <w:t>2</w:t>
            </w:r>
            <w:r w:rsidR="009C187D">
              <w:rPr>
                <w:rFonts w:ascii="Calibri" w:hAnsi="Calibri" w:cs="Calibri"/>
                <w:color w:val="000000"/>
                <w:sz w:val="16"/>
                <w:szCs w:val="16"/>
              </w:rPr>
              <w:t>1,</w:t>
            </w:r>
            <w:r w:rsidR="00AD6758">
              <w:rPr>
                <w:rFonts w:ascii="Calibri" w:hAnsi="Calibri" w:cs="Calibri"/>
                <w:color w:val="000000"/>
                <w:sz w:val="16"/>
                <w:szCs w:val="16"/>
              </w:rPr>
              <w:t>927</w:t>
            </w:r>
          </w:p>
        </w:tc>
        <w:tc>
          <w:tcPr>
            <w:tcW w:w="662" w:type="dxa"/>
            <w:tcBorders>
              <w:top w:val="nil"/>
              <w:left w:val="nil"/>
              <w:right w:val="nil"/>
            </w:tcBorders>
            <w:shd w:val="clear" w:color="000000" w:fill="E2EFDA"/>
            <w:noWrap/>
            <w:vAlign w:val="bottom"/>
            <w:hideMark/>
          </w:tcPr>
          <w:p w14:paraId="5C68FD41" w14:textId="1A3739EB" w:rsidR="007261C7" w:rsidRPr="00B748FF" w:rsidRDefault="007261C7" w:rsidP="005904AE">
            <w:pPr>
              <w:jc w:val="center"/>
              <w:rPr>
                <w:rFonts w:ascii="Calibri" w:hAnsi="Calibri" w:cs="Calibri"/>
                <w:color w:val="000000"/>
                <w:sz w:val="16"/>
                <w:szCs w:val="16"/>
              </w:rPr>
            </w:pPr>
            <w:r w:rsidRPr="00B748FF">
              <w:rPr>
                <w:rFonts w:ascii="Calibri" w:hAnsi="Calibri" w:cs="Calibri"/>
                <w:color w:val="000000"/>
                <w:sz w:val="16"/>
                <w:szCs w:val="16"/>
              </w:rPr>
              <w:t>2</w:t>
            </w:r>
            <w:r w:rsidR="009C187D">
              <w:rPr>
                <w:rFonts w:ascii="Calibri" w:hAnsi="Calibri" w:cs="Calibri"/>
                <w:color w:val="000000"/>
                <w:sz w:val="16"/>
                <w:szCs w:val="16"/>
              </w:rPr>
              <w:t>1</w:t>
            </w:r>
            <w:r w:rsidRPr="00B748FF">
              <w:rPr>
                <w:rFonts w:ascii="Calibri" w:hAnsi="Calibri" w:cs="Calibri"/>
                <w:color w:val="000000"/>
                <w:sz w:val="16"/>
                <w:szCs w:val="16"/>
              </w:rPr>
              <w:t>,</w:t>
            </w:r>
            <w:r w:rsidR="00AD6758">
              <w:rPr>
                <w:rFonts w:ascii="Calibri" w:hAnsi="Calibri" w:cs="Calibri"/>
                <w:color w:val="000000"/>
                <w:sz w:val="16"/>
                <w:szCs w:val="16"/>
              </w:rPr>
              <w:t>621</w:t>
            </w:r>
          </w:p>
        </w:tc>
        <w:tc>
          <w:tcPr>
            <w:tcW w:w="662" w:type="dxa"/>
            <w:tcBorders>
              <w:top w:val="nil"/>
              <w:left w:val="nil"/>
              <w:right w:val="nil"/>
            </w:tcBorders>
            <w:shd w:val="clear" w:color="000000" w:fill="E2EFDA"/>
            <w:noWrap/>
            <w:vAlign w:val="bottom"/>
            <w:hideMark/>
          </w:tcPr>
          <w:p w14:paraId="42C89103" w14:textId="772E213E" w:rsidR="007261C7" w:rsidRPr="00B748FF" w:rsidRDefault="007261C7" w:rsidP="005904AE">
            <w:pPr>
              <w:jc w:val="center"/>
              <w:rPr>
                <w:rFonts w:ascii="Calibri" w:hAnsi="Calibri" w:cs="Calibri"/>
                <w:color w:val="000000"/>
                <w:sz w:val="16"/>
                <w:szCs w:val="16"/>
              </w:rPr>
            </w:pPr>
            <w:r w:rsidRPr="00B748FF">
              <w:rPr>
                <w:rFonts w:ascii="Calibri" w:hAnsi="Calibri" w:cs="Calibri"/>
                <w:color w:val="000000"/>
                <w:sz w:val="16"/>
                <w:szCs w:val="16"/>
              </w:rPr>
              <w:t>2</w:t>
            </w:r>
            <w:r w:rsidR="007357F9">
              <w:rPr>
                <w:rFonts w:ascii="Calibri" w:hAnsi="Calibri" w:cs="Calibri"/>
                <w:color w:val="000000"/>
                <w:sz w:val="16"/>
                <w:szCs w:val="16"/>
              </w:rPr>
              <w:t>1</w:t>
            </w:r>
            <w:r w:rsidRPr="00B748FF">
              <w:rPr>
                <w:rFonts w:ascii="Calibri" w:hAnsi="Calibri" w:cs="Calibri"/>
                <w:color w:val="000000"/>
                <w:sz w:val="16"/>
                <w:szCs w:val="16"/>
              </w:rPr>
              <w:t>,</w:t>
            </w:r>
            <w:r w:rsidR="00AD6758">
              <w:rPr>
                <w:rFonts w:ascii="Calibri" w:hAnsi="Calibri" w:cs="Calibri"/>
                <w:color w:val="000000"/>
                <w:sz w:val="16"/>
                <w:szCs w:val="16"/>
              </w:rPr>
              <w:t>595</w:t>
            </w:r>
          </w:p>
        </w:tc>
        <w:tc>
          <w:tcPr>
            <w:tcW w:w="662" w:type="dxa"/>
            <w:tcBorders>
              <w:top w:val="nil"/>
              <w:left w:val="nil"/>
              <w:right w:val="nil"/>
            </w:tcBorders>
            <w:shd w:val="clear" w:color="000000" w:fill="E2EFDA"/>
            <w:noWrap/>
            <w:vAlign w:val="bottom"/>
            <w:hideMark/>
          </w:tcPr>
          <w:p w14:paraId="236FF73C" w14:textId="79F1BE6D" w:rsidR="007261C7" w:rsidRPr="00B748FF" w:rsidRDefault="007261C7" w:rsidP="005904AE">
            <w:pPr>
              <w:jc w:val="center"/>
              <w:rPr>
                <w:rFonts w:ascii="Calibri" w:hAnsi="Calibri" w:cs="Calibri"/>
                <w:color w:val="000000"/>
                <w:sz w:val="16"/>
                <w:szCs w:val="16"/>
              </w:rPr>
            </w:pPr>
            <w:r w:rsidRPr="00B748FF">
              <w:rPr>
                <w:rFonts w:ascii="Calibri" w:hAnsi="Calibri" w:cs="Calibri"/>
                <w:color w:val="000000"/>
                <w:sz w:val="16"/>
                <w:szCs w:val="16"/>
              </w:rPr>
              <w:t>22,</w:t>
            </w:r>
            <w:r w:rsidR="00AD6758">
              <w:rPr>
                <w:rFonts w:ascii="Calibri" w:hAnsi="Calibri" w:cs="Calibri"/>
                <w:color w:val="000000"/>
                <w:sz w:val="16"/>
                <w:szCs w:val="16"/>
              </w:rPr>
              <w:t>343</w:t>
            </w:r>
          </w:p>
        </w:tc>
        <w:tc>
          <w:tcPr>
            <w:tcW w:w="662" w:type="dxa"/>
            <w:tcBorders>
              <w:top w:val="nil"/>
              <w:left w:val="nil"/>
              <w:right w:val="nil"/>
            </w:tcBorders>
            <w:shd w:val="clear" w:color="000000" w:fill="E2EFDA"/>
            <w:noWrap/>
            <w:vAlign w:val="bottom"/>
            <w:hideMark/>
          </w:tcPr>
          <w:p w14:paraId="196C75CB" w14:textId="06E30D6F" w:rsidR="007261C7" w:rsidRPr="00B748FF" w:rsidRDefault="007261C7" w:rsidP="005904AE">
            <w:pPr>
              <w:jc w:val="center"/>
              <w:rPr>
                <w:rFonts w:ascii="Calibri" w:hAnsi="Calibri" w:cs="Calibri"/>
                <w:color w:val="000000"/>
                <w:sz w:val="16"/>
                <w:szCs w:val="16"/>
              </w:rPr>
            </w:pPr>
            <w:r w:rsidRPr="00B748FF">
              <w:rPr>
                <w:rFonts w:ascii="Calibri" w:hAnsi="Calibri" w:cs="Calibri"/>
                <w:color w:val="000000"/>
                <w:sz w:val="16"/>
                <w:szCs w:val="16"/>
              </w:rPr>
              <w:t>2</w:t>
            </w:r>
            <w:r w:rsidR="007357F9">
              <w:rPr>
                <w:rFonts w:ascii="Calibri" w:hAnsi="Calibri" w:cs="Calibri"/>
                <w:color w:val="000000"/>
                <w:sz w:val="16"/>
                <w:szCs w:val="16"/>
              </w:rPr>
              <w:t>1,</w:t>
            </w:r>
            <w:r w:rsidR="00AD6758">
              <w:rPr>
                <w:rFonts w:ascii="Calibri" w:hAnsi="Calibri" w:cs="Calibri"/>
                <w:color w:val="000000"/>
                <w:sz w:val="16"/>
                <w:szCs w:val="16"/>
              </w:rPr>
              <w:t>686</w:t>
            </w:r>
          </w:p>
        </w:tc>
        <w:tc>
          <w:tcPr>
            <w:tcW w:w="662" w:type="dxa"/>
            <w:tcBorders>
              <w:top w:val="nil"/>
              <w:left w:val="nil"/>
              <w:right w:val="nil"/>
            </w:tcBorders>
            <w:shd w:val="clear" w:color="000000" w:fill="E2EFDA"/>
            <w:noWrap/>
            <w:vAlign w:val="bottom"/>
            <w:hideMark/>
          </w:tcPr>
          <w:p w14:paraId="70EF9AAD" w14:textId="3E789FCE" w:rsidR="007261C7" w:rsidRPr="00B748FF" w:rsidRDefault="007261C7" w:rsidP="005904AE">
            <w:pPr>
              <w:jc w:val="center"/>
              <w:rPr>
                <w:rFonts w:ascii="Calibri" w:hAnsi="Calibri" w:cs="Calibri"/>
                <w:color w:val="000000"/>
                <w:sz w:val="16"/>
                <w:szCs w:val="16"/>
              </w:rPr>
            </w:pPr>
            <w:r w:rsidRPr="00B748FF">
              <w:rPr>
                <w:rFonts w:ascii="Calibri" w:hAnsi="Calibri" w:cs="Calibri"/>
                <w:color w:val="000000"/>
                <w:sz w:val="16"/>
                <w:szCs w:val="16"/>
              </w:rPr>
              <w:t>2</w:t>
            </w:r>
            <w:r w:rsidR="004079EC">
              <w:rPr>
                <w:rFonts w:ascii="Calibri" w:hAnsi="Calibri" w:cs="Calibri"/>
                <w:color w:val="000000"/>
                <w:sz w:val="16"/>
                <w:szCs w:val="16"/>
              </w:rPr>
              <w:t>1</w:t>
            </w:r>
            <w:r w:rsidRPr="00B748FF">
              <w:rPr>
                <w:rFonts w:ascii="Calibri" w:hAnsi="Calibri" w:cs="Calibri"/>
                <w:color w:val="000000"/>
                <w:sz w:val="16"/>
                <w:szCs w:val="16"/>
              </w:rPr>
              <w:t>,</w:t>
            </w:r>
            <w:r w:rsidR="00AD6758">
              <w:rPr>
                <w:rFonts w:ascii="Calibri" w:hAnsi="Calibri" w:cs="Calibri"/>
                <w:color w:val="000000"/>
                <w:sz w:val="16"/>
                <w:szCs w:val="16"/>
              </w:rPr>
              <w:t>165</w:t>
            </w:r>
          </w:p>
        </w:tc>
        <w:tc>
          <w:tcPr>
            <w:tcW w:w="662" w:type="dxa"/>
            <w:tcBorders>
              <w:top w:val="nil"/>
              <w:left w:val="nil"/>
              <w:right w:val="nil"/>
            </w:tcBorders>
            <w:shd w:val="clear" w:color="000000" w:fill="E2EFDA"/>
            <w:noWrap/>
            <w:vAlign w:val="bottom"/>
            <w:hideMark/>
          </w:tcPr>
          <w:p w14:paraId="330DC5F3" w14:textId="054E7582" w:rsidR="007261C7" w:rsidRPr="00B748FF" w:rsidRDefault="007261C7" w:rsidP="005904AE">
            <w:pPr>
              <w:jc w:val="center"/>
              <w:rPr>
                <w:rFonts w:ascii="Calibri" w:hAnsi="Calibri" w:cs="Calibri"/>
                <w:color w:val="000000"/>
                <w:sz w:val="16"/>
                <w:szCs w:val="16"/>
              </w:rPr>
            </w:pPr>
            <w:r w:rsidRPr="00B748FF">
              <w:rPr>
                <w:rFonts w:ascii="Calibri" w:hAnsi="Calibri" w:cs="Calibri"/>
                <w:color w:val="000000"/>
                <w:sz w:val="16"/>
                <w:szCs w:val="16"/>
              </w:rPr>
              <w:t>21,</w:t>
            </w:r>
            <w:r w:rsidR="00AD6758">
              <w:rPr>
                <w:rFonts w:ascii="Calibri" w:hAnsi="Calibri" w:cs="Calibri"/>
                <w:color w:val="000000"/>
                <w:sz w:val="16"/>
                <w:szCs w:val="16"/>
              </w:rPr>
              <w:t>587</w:t>
            </w:r>
          </w:p>
        </w:tc>
        <w:tc>
          <w:tcPr>
            <w:tcW w:w="662" w:type="dxa"/>
            <w:tcBorders>
              <w:top w:val="nil"/>
              <w:left w:val="nil"/>
              <w:right w:val="nil"/>
            </w:tcBorders>
            <w:shd w:val="clear" w:color="000000" w:fill="E2EFDA"/>
            <w:noWrap/>
            <w:vAlign w:val="bottom"/>
            <w:hideMark/>
          </w:tcPr>
          <w:p w14:paraId="326FD2B8" w14:textId="2DC36669" w:rsidR="007261C7" w:rsidRPr="00B748FF" w:rsidRDefault="007261C7" w:rsidP="005904AE">
            <w:pPr>
              <w:jc w:val="center"/>
              <w:rPr>
                <w:rFonts w:ascii="Calibri" w:hAnsi="Calibri" w:cs="Calibri"/>
                <w:color w:val="000000"/>
                <w:sz w:val="16"/>
                <w:szCs w:val="16"/>
              </w:rPr>
            </w:pPr>
            <w:r w:rsidRPr="00B748FF">
              <w:rPr>
                <w:rFonts w:ascii="Calibri" w:hAnsi="Calibri" w:cs="Calibri"/>
                <w:color w:val="000000"/>
                <w:sz w:val="16"/>
                <w:szCs w:val="16"/>
              </w:rPr>
              <w:t>21,</w:t>
            </w:r>
            <w:r w:rsidR="00AD6758">
              <w:rPr>
                <w:rFonts w:ascii="Calibri" w:hAnsi="Calibri" w:cs="Calibri"/>
                <w:color w:val="000000"/>
                <w:sz w:val="16"/>
                <w:szCs w:val="16"/>
              </w:rPr>
              <w:t>98</w:t>
            </w:r>
            <w:r w:rsidR="004079EC">
              <w:rPr>
                <w:rFonts w:ascii="Calibri" w:hAnsi="Calibri" w:cs="Calibri"/>
                <w:color w:val="000000"/>
                <w:sz w:val="16"/>
                <w:szCs w:val="16"/>
              </w:rPr>
              <w:t>4</w:t>
            </w:r>
          </w:p>
        </w:tc>
        <w:tc>
          <w:tcPr>
            <w:tcW w:w="662" w:type="dxa"/>
            <w:tcBorders>
              <w:top w:val="nil"/>
              <w:left w:val="nil"/>
              <w:right w:val="nil"/>
            </w:tcBorders>
            <w:shd w:val="clear" w:color="000000" w:fill="E2EFDA"/>
            <w:noWrap/>
            <w:vAlign w:val="bottom"/>
            <w:hideMark/>
          </w:tcPr>
          <w:p w14:paraId="06F3B5B6" w14:textId="6825261E" w:rsidR="007261C7" w:rsidRPr="00B748FF" w:rsidRDefault="007261C7" w:rsidP="005904AE">
            <w:pPr>
              <w:jc w:val="center"/>
              <w:rPr>
                <w:rFonts w:ascii="Calibri" w:hAnsi="Calibri" w:cs="Calibri"/>
                <w:color w:val="000000"/>
                <w:sz w:val="16"/>
                <w:szCs w:val="16"/>
              </w:rPr>
            </w:pPr>
            <w:r w:rsidRPr="00B748FF">
              <w:rPr>
                <w:rFonts w:ascii="Calibri" w:hAnsi="Calibri" w:cs="Calibri"/>
                <w:color w:val="000000"/>
                <w:sz w:val="16"/>
                <w:szCs w:val="16"/>
              </w:rPr>
              <w:t>2</w:t>
            </w:r>
            <w:r w:rsidR="004079EC">
              <w:rPr>
                <w:rFonts w:ascii="Calibri" w:hAnsi="Calibri" w:cs="Calibri"/>
                <w:color w:val="000000"/>
                <w:sz w:val="16"/>
                <w:szCs w:val="16"/>
              </w:rPr>
              <w:t>1</w:t>
            </w:r>
            <w:r w:rsidRPr="00B748FF">
              <w:rPr>
                <w:rFonts w:ascii="Calibri" w:hAnsi="Calibri" w:cs="Calibri"/>
                <w:color w:val="000000"/>
                <w:sz w:val="16"/>
                <w:szCs w:val="16"/>
              </w:rPr>
              <w:t>,</w:t>
            </w:r>
            <w:r w:rsidR="00AD6758">
              <w:rPr>
                <w:rFonts w:ascii="Calibri" w:hAnsi="Calibri" w:cs="Calibri"/>
                <w:color w:val="000000"/>
                <w:sz w:val="16"/>
                <w:szCs w:val="16"/>
              </w:rPr>
              <w:t>831</w:t>
            </w:r>
          </w:p>
        </w:tc>
        <w:tc>
          <w:tcPr>
            <w:tcW w:w="662" w:type="dxa"/>
            <w:tcBorders>
              <w:top w:val="nil"/>
              <w:left w:val="nil"/>
              <w:right w:val="nil"/>
            </w:tcBorders>
            <w:shd w:val="clear" w:color="000000" w:fill="E2EFDA"/>
            <w:noWrap/>
            <w:vAlign w:val="bottom"/>
            <w:hideMark/>
          </w:tcPr>
          <w:p w14:paraId="4E8ECAED" w14:textId="2995823C" w:rsidR="007261C7" w:rsidRPr="00B748FF" w:rsidRDefault="004079EC" w:rsidP="005904AE">
            <w:pPr>
              <w:jc w:val="center"/>
              <w:rPr>
                <w:rFonts w:ascii="Calibri" w:hAnsi="Calibri" w:cs="Calibri"/>
                <w:color w:val="000000"/>
                <w:sz w:val="16"/>
                <w:szCs w:val="16"/>
              </w:rPr>
            </w:pPr>
            <w:r>
              <w:rPr>
                <w:rFonts w:ascii="Calibri" w:hAnsi="Calibri" w:cs="Calibri"/>
                <w:color w:val="000000"/>
                <w:sz w:val="16"/>
                <w:szCs w:val="16"/>
              </w:rPr>
              <w:t>21,</w:t>
            </w:r>
            <w:r w:rsidR="00AD6758">
              <w:rPr>
                <w:rFonts w:ascii="Calibri" w:hAnsi="Calibri" w:cs="Calibri"/>
                <w:color w:val="000000"/>
                <w:sz w:val="16"/>
                <w:szCs w:val="16"/>
              </w:rPr>
              <w:t>550</w:t>
            </w:r>
          </w:p>
        </w:tc>
        <w:tc>
          <w:tcPr>
            <w:tcW w:w="662" w:type="dxa"/>
            <w:tcBorders>
              <w:top w:val="nil"/>
              <w:left w:val="nil"/>
              <w:right w:val="nil"/>
            </w:tcBorders>
            <w:shd w:val="clear" w:color="000000" w:fill="E2EFDA"/>
            <w:noWrap/>
            <w:vAlign w:val="bottom"/>
            <w:hideMark/>
          </w:tcPr>
          <w:p w14:paraId="570BCEB2" w14:textId="3A01DA43" w:rsidR="007261C7" w:rsidRPr="00B748FF" w:rsidRDefault="007261C7" w:rsidP="005904AE">
            <w:pPr>
              <w:jc w:val="center"/>
              <w:rPr>
                <w:rFonts w:ascii="Calibri" w:hAnsi="Calibri" w:cs="Calibri"/>
                <w:color w:val="000000"/>
                <w:sz w:val="16"/>
                <w:szCs w:val="16"/>
              </w:rPr>
            </w:pPr>
            <w:r w:rsidRPr="00B748FF">
              <w:rPr>
                <w:rFonts w:ascii="Calibri" w:hAnsi="Calibri" w:cs="Calibri"/>
                <w:color w:val="000000"/>
                <w:sz w:val="16"/>
                <w:szCs w:val="16"/>
              </w:rPr>
              <w:t>2</w:t>
            </w:r>
            <w:r w:rsidR="004079EC">
              <w:rPr>
                <w:rFonts w:ascii="Calibri" w:hAnsi="Calibri" w:cs="Calibri"/>
                <w:color w:val="000000"/>
                <w:sz w:val="16"/>
                <w:szCs w:val="16"/>
              </w:rPr>
              <w:t>1,</w:t>
            </w:r>
            <w:r w:rsidR="00AD6758">
              <w:rPr>
                <w:rFonts w:ascii="Calibri" w:hAnsi="Calibri" w:cs="Calibri"/>
                <w:color w:val="000000"/>
                <w:sz w:val="16"/>
                <w:szCs w:val="16"/>
              </w:rPr>
              <w:t>762</w:t>
            </w:r>
          </w:p>
        </w:tc>
        <w:tc>
          <w:tcPr>
            <w:tcW w:w="820" w:type="dxa"/>
            <w:tcBorders>
              <w:top w:val="nil"/>
              <w:left w:val="nil"/>
              <w:right w:val="nil"/>
            </w:tcBorders>
            <w:shd w:val="clear" w:color="000000" w:fill="E2EFDA"/>
            <w:noWrap/>
            <w:vAlign w:val="bottom"/>
            <w:hideMark/>
          </w:tcPr>
          <w:p w14:paraId="7B057261" w14:textId="4BCD8A67" w:rsidR="007261C7" w:rsidRPr="00B748FF" w:rsidRDefault="004079EC" w:rsidP="005904AE">
            <w:pPr>
              <w:jc w:val="center"/>
              <w:rPr>
                <w:rFonts w:ascii="Calibri" w:hAnsi="Calibri" w:cs="Calibri"/>
                <w:color w:val="000000"/>
                <w:sz w:val="16"/>
                <w:szCs w:val="16"/>
              </w:rPr>
            </w:pPr>
            <w:r>
              <w:rPr>
                <w:rFonts w:ascii="Calibri" w:hAnsi="Calibri" w:cs="Calibri"/>
                <w:color w:val="000000"/>
                <w:sz w:val="16"/>
                <w:szCs w:val="16"/>
              </w:rPr>
              <w:t>21,</w:t>
            </w:r>
            <w:r w:rsidR="00AD6758">
              <w:rPr>
                <w:rFonts w:ascii="Calibri" w:hAnsi="Calibri" w:cs="Calibri"/>
                <w:color w:val="000000"/>
                <w:sz w:val="16"/>
                <w:szCs w:val="16"/>
              </w:rPr>
              <w:t>787</w:t>
            </w:r>
          </w:p>
        </w:tc>
      </w:tr>
      <w:tr w:rsidR="00664EDF" w14:paraId="1E5C5EB8" w14:textId="77777777" w:rsidTr="00664EDF">
        <w:trPr>
          <w:trHeight w:val="300"/>
        </w:trPr>
        <w:tc>
          <w:tcPr>
            <w:tcW w:w="548" w:type="dxa"/>
            <w:tcBorders>
              <w:top w:val="nil"/>
              <w:left w:val="nil"/>
              <w:bottom w:val="nil"/>
              <w:right w:val="nil"/>
            </w:tcBorders>
            <w:shd w:val="clear" w:color="000000" w:fill="E2EFDA"/>
            <w:noWrap/>
            <w:vAlign w:val="bottom"/>
            <w:hideMark/>
          </w:tcPr>
          <w:p w14:paraId="33E53362"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2</w:t>
            </w:r>
          </w:p>
        </w:tc>
        <w:tc>
          <w:tcPr>
            <w:tcW w:w="662" w:type="dxa"/>
            <w:tcBorders>
              <w:top w:val="nil"/>
              <w:left w:val="nil"/>
              <w:bottom w:val="nil"/>
              <w:right w:val="nil"/>
            </w:tcBorders>
            <w:shd w:val="clear" w:color="auto" w:fill="EAF1DD" w:themeFill="accent3" w:themeFillTint="33"/>
            <w:noWrap/>
            <w:vAlign w:val="bottom"/>
            <w:hideMark/>
          </w:tcPr>
          <w:p w14:paraId="7AF10D11" w14:textId="6AC56CB7"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21,328</w:t>
            </w:r>
          </w:p>
        </w:tc>
        <w:tc>
          <w:tcPr>
            <w:tcW w:w="662" w:type="dxa"/>
            <w:tcBorders>
              <w:top w:val="nil"/>
              <w:left w:val="nil"/>
              <w:bottom w:val="nil"/>
              <w:right w:val="nil"/>
            </w:tcBorders>
            <w:shd w:val="clear" w:color="auto" w:fill="EAF1DD" w:themeFill="accent3" w:themeFillTint="33"/>
            <w:noWrap/>
            <w:vAlign w:val="bottom"/>
            <w:hideMark/>
          </w:tcPr>
          <w:p w14:paraId="0C8F368C" w14:textId="23038EAB"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21,642</w:t>
            </w:r>
          </w:p>
        </w:tc>
        <w:tc>
          <w:tcPr>
            <w:tcW w:w="662" w:type="dxa"/>
            <w:tcBorders>
              <w:top w:val="nil"/>
              <w:left w:val="nil"/>
              <w:bottom w:val="nil"/>
              <w:right w:val="nil"/>
            </w:tcBorders>
            <w:shd w:val="clear" w:color="auto" w:fill="EAF1DD" w:themeFill="accent3" w:themeFillTint="33"/>
            <w:noWrap/>
            <w:vAlign w:val="bottom"/>
            <w:hideMark/>
          </w:tcPr>
          <w:p w14:paraId="6D2C4597" w14:textId="39BFF036"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21,812</w:t>
            </w:r>
          </w:p>
        </w:tc>
        <w:tc>
          <w:tcPr>
            <w:tcW w:w="662" w:type="dxa"/>
            <w:tcBorders>
              <w:top w:val="nil"/>
              <w:left w:val="nil"/>
              <w:bottom w:val="nil"/>
              <w:right w:val="nil"/>
            </w:tcBorders>
            <w:shd w:val="clear" w:color="auto" w:fill="EAF1DD" w:themeFill="accent3" w:themeFillTint="33"/>
            <w:noWrap/>
            <w:vAlign w:val="bottom"/>
            <w:hideMark/>
          </w:tcPr>
          <w:p w14:paraId="56769C8D" w14:textId="2594E305"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22,502</w:t>
            </w:r>
          </w:p>
        </w:tc>
        <w:tc>
          <w:tcPr>
            <w:tcW w:w="662" w:type="dxa"/>
            <w:tcBorders>
              <w:top w:val="nil"/>
              <w:left w:val="nil"/>
              <w:bottom w:val="nil"/>
              <w:right w:val="nil"/>
            </w:tcBorders>
            <w:shd w:val="clear" w:color="auto" w:fill="EAF1DD" w:themeFill="accent3" w:themeFillTint="33"/>
            <w:noWrap/>
            <w:vAlign w:val="bottom"/>
            <w:hideMark/>
          </w:tcPr>
          <w:p w14:paraId="1F60C03D" w14:textId="3ADD1626"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21,913</w:t>
            </w:r>
          </w:p>
        </w:tc>
        <w:tc>
          <w:tcPr>
            <w:tcW w:w="662" w:type="dxa"/>
            <w:tcBorders>
              <w:top w:val="nil"/>
              <w:left w:val="nil"/>
              <w:bottom w:val="nil"/>
              <w:right w:val="nil"/>
            </w:tcBorders>
            <w:shd w:val="clear" w:color="auto" w:fill="EAF1DD" w:themeFill="accent3" w:themeFillTint="33"/>
            <w:noWrap/>
            <w:vAlign w:val="bottom"/>
            <w:hideMark/>
          </w:tcPr>
          <w:p w14:paraId="5DBBB708" w14:textId="0AEB410B"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21,614</w:t>
            </w:r>
          </w:p>
        </w:tc>
        <w:tc>
          <w:tcPr>
            <w:tcW w:w="662" w:type="dxa"/>
            <w:tcBorders>
              <w:top w:val="nil"/>
              <w:left w:val="nil"/>
              <w:bottom w:val="nil"/>
              <w:right w:val="nil"/>
            </w:tcBorders>
            <w:shd w:val="clear" w:color="auto" w:fill="EAF1DD" w:themeFill="accent3" w:themeFillTint="33"/>
            <w:noWrap/>
            <w:vAlign w:val="bottom"/>
            <w:hideMark/>
          </w:tcPr>
          <w:p w14:paraId="056983B4" w14:textId="4F1F0A12"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21,520</w:t>
            </w:r>
          </w:p>
        </w:tc>
        <w:tc>
          <w:tcPr>
            <w:tcW w:w="662" w:type="dxa"/>
            <w:tcBorders>
              <w:top w:val="nil"/>
              <w:left w:val="nil"/>
              <w:bottom w:val="nil"/>
              <w:right w:val="nil"/>
            </w:tcBorders>
            <w:shd w:val="clear" w:color="auto" w:fill="EAF1DD" w:themeFill="accent3" w:themeFillTint="33"/>
            <w:noWrap/>
            <w:vAlign w:val="bottom"/>
            <w:hideMark/>
          </w:tcPr>
          <w:p w14:paraId="3BEE430B" w14:textId="3FF93D83"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22,187</w:t>
            </w:r>
          </w:p>
        </w:tc>
        <w:tc>
          <w:tcPr>
            <w:tcW w:w="662" w:type="dxa"/>
            <w:tcBorders>
              <w:top w:val="nil"/>
              <w:left w:val="nil"/>
              <w:bottom w:val="nil"/>
              <w:right w:val="nil"/>
            </w:tcBorders>
            <w:shd w:val="clear" w:color="auto" w:fill="EAF1DD" w:themeFill="accent3" w:themeFillTint="33"/>
            <w:noWrap/>
            <w:vAlign w:val="bottom"/>
            <w:hideMark/>
          </w:tcPr>
          <w:p w14:paraId="3E8ECEBE" w14:textId="072DE9EA"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21,655</w:t>
            </w:r>
          </w:p>
        </w:tc>
        <w:tc>
          <w:tcPr>
            <w:tcW w:w="662" w:type="dxa"/>
            <w:tcBorders>
              <w:top w:val="nil"/>
              <w:left w:val="nil"/>
              <w:bottom w:val="nil"/>
              <w:right w:val="nil"/>
            </w:tcBorders>
            <w:shd w:val="clear" w:color="auto" w:fill="EAF1DD" w:themeFill="accent3" w:themeFillTint="33"/>
            <w:noWrap/>
            <w:vAlign w:val="bottom"/>
            <w:hideMark/>
          </w:tcPr>
          <w:p w14:paraId="079E2F63" w14:textId="70D954C5"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21,161</w:t>
            </w:r>
          </w:p>
        </w:tc>
        <w:tc>
          <w:tcPr>
            <w:tcW w:w="662" w:type="dxa"/>
            <w:tcBorders>
              <w:top w:val="nil"/>
              <w:left w:val="nil"/>
              <w:bottom w:val="nil"/>
              <w:right w:val="nil"/>
            </w:tcBorders>
            <w:shd w:val="clear" w:color="auto" w:fill="EAF1DD" w:themeFill="accent3" w:themeFillTint="33"/>
            <w:noWrap/>
            <w:vAlign w:val="bottom"/>
            <w:hideMark/>
          </w:tcPr>
          <w:p w14:paraId="5A8C8CB4" w14:textId="002D3CE8"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21,499</w:t>
            </w:r>
          </w:p>
        </w:tc>
        <w:tc>
          <w:tcPr>
            <w:tcW w:w="662" w:type="dxa"/>
            <w:tcBorders>
              <w:top w:val="nil"/>
              <w:left w:val="nil"/>
              <w:bottom w:val="nil"/>
              <w:right w:val="nil"/>
            </w:tcBorders>
            <w:shd w:val="clear" w:color="auto" w:fill="EAF1DD" w:themeFill="accent3" w:themeFillTint="33"/>
            <w:noWrap/>
            <w:vAlign w:val="bottom"/>
            <w:hideMark/>
          </w:tcPr>
          <w:p w14:paraId="5CFEC7E1" w14:textId="5543CB3E"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21,984</w:t>
            </w:r>
          </w:p>
        </w:tc>
        <w:tc>
          <w:tcPr>
            <w:tcW w:w="662" w:type="dxa"/>
            <w:tcBorders>
              <w:top w:val="nil"/>
              <w:left w:val="nil"/>
              <w:bottom w:val="nil"/>
              <w:right w:val="nil"/>
            </w:tcBorders>
            <w:shd w:val="clear" w:color="auto" w:fill="EAF1DD" w:themeFill="accent3" w:themeFillTint="33"/>
            <w:noWrap/>
            <w:vAlign w:val="bottom"/>
            <w:hideMark/>
          </w:tcPr>
          <w:p w14:paraId="3546F18F" w14:textId="30748E80"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21,707</w:t>
            </w:r>
          </w:p>
        </w:tc>
        <w:tc>
          <w:tcPr>
            <w:tcW w:w="662" w:type="dxa"/>
            <w:tcBorders>
              <w:top w:val="nil"/>
              <w:left w:val="nil"/>
              <w:bottom w:val="nil"/>
              <w:right w:val="nil"/>
            </w:tcBorders>
            <w:shd w:val="clear" w:color="auto" w:fill="EAF1DD" w:themeFill="accent3" w:themeFillTint="33"/>
            <w:noWrap/>
            <w:vAlign w:val="bottom"/>
            <w:hideMark/>
          </w:tcPr>
          <w:p w14:paraId="7DADC739" w14:textId="3FA57408"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21,475</w:t>
            </w:r>
          </w:p>
        </w:tc>
        <w:tc>
          <w:tcPr>
            <w:tcW w:w="662" w:type="dxa"/>
            <w:tcBorders>
              <w:top w:val="nil"/>
              <w:left w:val="nil"/>
              <w:bottom w:val="nil"/>
              <w:right w:val="nil"/>
            </w:tcBorders>
            <w:shd w:val="clear" w:color="auto" w:fill="EAF1DD" w:themeFill="accent3" w:themeFillTint="33"/>
            <w:noWrap/>
            <w:vAlign w:val="bottom"/>
            <w:hideMark/>
          </w:tcPr>
          <w:p w14:paraId="0EC0D277" w14:textId="2E16F4E7"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21,740</w:t>
            </w:r>
          </w:p>
        </w:tc>
        <w:tc>
          <w:tcPr>
            <w:tcW w:w="820" w:type="dxa"/>
            <w:tcBorders>
              <w:top w:val="nil"/>
              <w:left w:val="nil"/>
              <w:bottom w:val="nil"/>
              <w:right w:val="nil"/>
            </w:tcBorders>
            <w:shd w:val="clear" w:color="auto" w:fill="EAF1DD" w:themeFill="accent3" w:themeFillTint="33"/>
            <w:noWrap/>
            <w:vAlign w:val="bottom"/>
            <w:hideMark/>
          </w:tcPr>
          <w:p w14:paraId="1656E358" w14:textId="338C868C"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21,716</w:t>
            </w:r>
          </w:p>
        </w:tc>
      </w:tr>
      <w:tr w:rsidR="00664EDF" w14:paraId="34A801F9" w14:textId="77777777" w:rsidTr="00664EDF">
        <w:trPr>
          <w:trHeight w:val="300"/>
        </w:trPr>
        <w:tc>
          <w:tcPr>
            <w:tcW w:w="548" w:type="dxa"/>
            <w:tcBorders>
              <w:top w:val="nil"/>
              <w:left w:val="nil"/>
              <w:bottom w:val="nil"/>
              <w:right w:val="nil"/>
            </w:tcBorders>
            <w:shd w:val="clear" w:color="000000" w:fill="E2EFDA"/>
            <w:noWrap/>
            <w:vAlign w:val="bottom"/>
            <w:hideMark/>
          </w:tcPr>
          <w:p w14:paraId="58AA71B7"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3</w:t>
            </w:r>
          </w:p>
        </w:tc>
        <w:tc>
          <w:tcPr>
            <w:tcW w:w="662" w:type="dxa"/>
            <w:tcBorders>
              <w:top w:val="nil"/>
              <w:left w:val="nil"/>
              <w:bottom w:val="nil"/>
              <w:right w:val="nil"/>
            </w:tcBorders>
            <w:shd w:val="clear" w:color="auto" w:fill="EAF1DD" w:themeFill="accent3" w:themeFillTint="33"/>
            <w:noWrap/>
            <w:vAlign w:val="bottom"/>
            <w:hideMark/>
          </w:tcPr>
          <w:p w14:paraId="1DD94E27" w14:textId="2EC257FA"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21,261</w:t>
            </w:r>
          </w:p>
        </w:tc>
        <w:tc>
          <w:tcPr>
            <w:tcW w:w="662" w:type="dxa"/>
            <w:tcBorders>
              <w:top w:val="nil"/>
              <w:left w:val="nil"/>
              <w:bottom w:val="nil"/>
              <w:right w:val="nil"/>
            </w:tcBorders>
            <w:shd w:val="clear" w:color="auto" w:fill="EAF1DD" w:themeFill="accent3" w:themeFillTint="33"/>
            <w:noWrap/>
            <w:vAlign w:val="bottom"/>
            <w:hideMark/>
          </w:tcPr>
          <w:p w14:paraId="3497EB63" w14:textId="0AAEEBA5"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21,561</w:t>
            </w:r>
          </w:p>
        </w:tc>
        <w:tc>
          <w:tcPr>
            <w:tcW w:w="662" w:type="dxa"/>
            <w:tcBorders>
              <w:top w:val="nil"/>
              <w:left w:val="nil"/>
              <w:bottom w:val="nil"/>
              <w:right w:val="nil"/>
            </w:tcBorders>
            <w:shd w:val="clear" w:color="auto" w:fill="EAF1DD" w:themeFill="accent3" w:themeFillTint="33"/>
            <w:noWrap/>
            <w:vAlign w:val="bottom"/>
            <w:hideMark/>
          </w:tcPr>
          <w:p w14:paraId="432DF7CD" w14:textId="60E9FFDA"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21,802</w:t>
            </w:r>
          </w:p>
        </w:tc>
        <w:tc>
          <w:tcPr>
            <w:tcW w:w="662" w:type="dxa"/>
            <w:tcBorders>
              <w:top w:val="nil"/>
              <w:left w:val="nil"/>
              <w:bottom w:val="nil"/>
              <w:right w:val="nil"/>
            </w:tcBorders>
            <w:shd w:val="clear" w:color="auto" w:fill="EAF1DD" w:themeFill="accent3" w:themeFillTint="33"/>
            <w:noWrap/>
            <w:vAlign w:val="bottom"/>
            <w:hideMark/>
          </w:tcPr>
          <w:p w14:paraId="55884E36" w14:textId="5A7F02D5"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22,238</w:t>
            </w:r>
          </w:p>
        </w:tc>
        <w:tc>
          <w:tcPr>
            <w:tcW w:w="662" w:type="dxa"/>
            <w:tcBorders>
              <w:top w:val="nil"/>
              <w:left w:val="nil"/>
              <w:bottom w:val="nil"/>
              <w:right w:val="nil"/>
            </w:tcBorders>
            <w:shd w:val="clear" w:color="auto" w:fill="EAF1DD" w:themeFill="accent3" w:themeFillTint="33"/>
            <w:noWrap/>
            <w:vAlign w:val="bottom"/>
            <w:hideMark/>
          </w:tcPr>
          <w:p w14:paraId="692D462E" w14:textId="6FF19734"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21,745</w:t>
            </w:r>
          </w:p>
        </w:tc>
        <w:tc>
          <w:tcPr>
            <w:tcW w:w="662" w:type="dxa"/>
            <w:tcBorders>
              <w:top w:val="nil"/>
              <w:left w:val="nil"/>
              <w:bottom w:val="nil"/>
              <w:right w:val="nil"/>
            </w:tcBorders>
            <w:shd w:val="clear" w:color="auto" w:fill="EAF1DD" w:themeFill="accent3" w:themeFillTint="33"/>
            <w:noWrap/>
            <w:vAlign w:val="bottom"/>
            <w:hideMark/>
          </w:tcPr>
          <w:p w14:paraId="08EA4761" w14:textId="6EF3DA9B"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21,595</w:t>
            </w:r>
          </w:p>
        </w:tc>
        <w:tc>
          <w:tcPr>
            <w:tcW w:w="662" w:type="dxa"/>
            <w:tcBorders>
              <w:top w:val="nil"/>
              <w:left w:val="nil"/>
              <w:bottom w:val="nil"/>
              <w:right w:val="nil"/>
            </w:tcBorders>
            <w:shd w:val="clear" w:color="auto" w:fill="EAF1DD" w:themeFill="accent3" w:themeFillTint="33"/>
            <w:noWrap/>
            <w:vAlign w:val="bottom"/>
            <w:hideMark/>
          </w:tcPr>
          <w:p w14:paraId="1EC10099" w14:textId="2098EE95"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21,442</w:t>
            </w:r>
          </w:p>
        </w:tc>
        <w:tc>
          <w:tcPr>
            <w:tcW w:w="662" w:type="dxa"/>
            <w:tcBorders>
              <w:top w:val="nil"/>
              <w:left w:val="nil"/>
              <w:bottom w:val="nil"/>
              <w:right w:val="nil"/>
            </w:tcBorders>
            <w:shd w:val="clear" w:color="auto" w:fill="EAF1DD" w:themeFill="accent3" w:themeFillTint="33"/>
            <w:noWrap/>
            <w:vAlign w:val="bottom"/>
            <w:hideMark/>
          </w:tcPr>
          <w:p w14:paraId="6D40B570" w14:textId="3D120513"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22,003</w:t>
            </w:r>
          </w:p>
        </w:tc>
        <w:tc>
          <w:tcPr>
            <w:tcW w:w="662" w:type="dxa"/>
            <w:tcBorders>
              <w:top w:val="nil"/>
              <w:left w:val="nil"/>
              <w:bottom w:val="nil"/>
              <w:right w:val="nil"/>
            </w:tcBorders>
            <w:shd w:val="clear" w:color="auto" w:fill="EAF1DD" w:themeFill="accent3" w:themeFillTint="33"/>
            <w:noWrap/>
            <w:vAlign w:val="bottom"/>
            <w:hideMark/>
          </w:tcPr>
          <w:p w14:paraId="667D6AF1" w14:textId="3ED55091"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21,611</w:t>
            </w:r>
          </w:p>
        </w:tc>
        <w:tc>
          <w:tcPr>
            <w:tcW w:w="662" w:type="dxa"/>
            <w:tcBorders>
              <w:top w:val="nil"/>
              <w:left w:val="nil"/>
              <w:bottom w:val="nil"/>
              <w:right w:val="nil"/>
            </w:tcBorders>
            <w:shd w:val="clear" w:color="auto" w:fill="EAF1DD" w:themeFill="accent3" w:themeFillTint="33"/>
            <w:noWrap/>
            <w:vAlign w:val="bottom"/>
            <w:hideMark/>
          </w:tcPr>
          <w:p w14:paraId="747C970F" w14:textId="1C2E16DE"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21,082</w:t>
            </w:r>
          </w:p>
        </w:tc>
        <w:tc>
          <w:tcPr>
            <w:tcW w:w="662" w:type="dxa"/>
            <w:tcBorders>
              <w:top w:val="nil"/>
              <w:left w:val="nil"/>
              <w:bottom w:val="nil"/>
              <w:right w:val="nil"/>
            </w:tcBorders>
            <w:shd w:val="clear" w:color="auto" w:fill="EAF1DD" w:themeFill="accent3" w:themeFillTint="33"/>
            <w:noWrap/>
            <w:vAlign w:val="bottom"/>
            <w:hideMark/>
          </w:tcPr>
          <w:p w14:paraId="6ABC0FC9" w14:textId="5E7AB5DD"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21,425</w:t>
            </w:r>
          </w:p>
        </w:tc>
        <w:tc>
          <w:tcPr>
            <w:tcW w:w="662" w:type="dxa"/>
            <w:tcBorders>
              <w:top w:val="nil"/>
              <w:left w:val="nil"/>
              <w:bottom w:val="nil"/>
              <w:right w:val="nil"/>
            </w:tcBorders>
            <w:shd w:val="clear" w:color="auto" w:fill="EAF1DD" w:themeFill="accent3" w:themeFillTint="33"/>
            <w:noWrap/>
            <w:vAlign w:val="bottom"/>
            <w:hideMark/>
          </w:tcPr>
          <w:p w14:paraId="4BB67D3E" w14:textId="214B32BE"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21,944</w:t>
            </w:r>
          </w:p>
        </w:tc>
        <w:tc>
          <w:tcPr>
            <w:tcW w:w="662" w:type="dxa"/>
            <w:tcBorders>
              <w:top w:val="nil"/>
              <w:left w:val="nil"/>
              <w:bottom w:val="nil"/>
              <w:right w:val="nil"/>
            </w:tcBorders>
            <w:shd w:val="clear" w:color="auto" w:fill="EAF1DD" w:themeFill="accent3" w:themeFillTint="33"/>
            <w:noWrap/>
            <w:vAlign w:val="bottom"/>
            <w:hideMark/>
          </w:tcPr>
          <w:p w14:paraId="32EF8A97" w14:textId="10094AB4"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21,645</w:t>
            </w:r>
          </w:p>
        </w:tc>
        <w:tc>
          <w:tcPr>
            <w:tcW w:w="662" w:type="dxa"/>
            <w:tcBorders>
              <w:top w:val="nil"/>
              <w:left w:val="nil"/>
              <w:bottom w:val="nil"/>
              <w:right w:val="nil"/>
            </w:tcBorders>
            <w:shd w:val="clear" w:color="auto" w:fill="EAF1DD" w:themeFill="accent3" w:themeFillTint="33"/>
            <w:noWrap/>
            <w:vAlign w:val="bottom"/>
            <w:hideMark/>
          </w:tcPr>
          <w:p w14:paraId="2AA49F3E" w14:textId="06659CCE"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21,411</w:t>
            </w:r>
          </w:p>
        </w:tc>
        <w:tc>
          <w:tcPr>
            <w:tcW w:w="662" w:type="dxa"/>
            <w:tcBorders>
              <w:top w:val="nil"/>
              <w:left w:val="nil"/>
              <w:bottom w:val="nil"/>
              <w:right w:val="nil"/>
            </w:tcBorders>
            <w:shd w:val="clear" w:color="auto" w:fill="EAF1DD" w:themeFill="accent3" w:themeFillTint="33"/>
            <w:noWrap/>
            <w:vAlign w:val="bottom"/>
            <w:hideMark/>
          </w:tcPr>
          <w:p w14:paraId="087DE5F1" w14:textId="601C0E44"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21,719</w:t>
            </w:r>
          </w:p>
        </w:tc>
        <w:tc>
          <w:tcPr>
            <w:tcW w:w="820" w:type="dxa"/>
            <w:tcBorders>
              <w:top w:val="nil"/>
              <w:left w:val="nil"/>
              <w:bottom w:val="nil"/>
              <w:right w:val="nil"/>
            </w:tcBorders>
            <w:shd w:val="clear" w:color="auto" w:fill="EAF1DD" w:themeFill="accent3" w:themeFillTint="33"/>
            <w:noWrap/>
            <w:vAlign w:val="bottom"/>
            <w:hideMark/>
          </w:tcPr>
          <w:p w14:paraId="60EB0EEA" w14:textId="7FE5B44D"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21,632</w:t>
            </w:r>
          </w:p>
        </w:tc>
      </w:tr>
      <w:tr w:rsidR="00664EDF" w14:paraId="6BA87392" w14:textId="77777777" w:rsidTr="00664EDF">
        <w:trPr>
          <w:trHeight w:val="300"/>
        </w:trPr>
        <w:tc>
          <w:tcPr>
            <w:tcW w:w="548" w:type="dxa"/>
            <w:tcBorders>
              <w:top w:val="nil"/>
              <w:left w:val="nil"/>
              <w:bottom w:val="nil"/>
              <w:right w:val="nil"/>
            </w:tcBorders>
            <w:shd w:val="clear" w:color="000000" w:fill="E2EFDA"/>
            <w:noWrap/>
            <w:vAlign w:val="bottom"/>
            <w:hideMark/>
          </w:tcPr>
          <w:p w14:paraId="2C607491"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4</w:t>
            </w:r>
          </w:p>
        </w:tc>
        <w:tc>
          <w:tcPr>
            <w:tcW w:w="662" w:type="dxa"/>
            <w:tcBorders>
              <w:top w:val="nil"/>
              <w:left w:val="nil"/>
              <w:bottom w:val="nil"/>
              <w:right w:val="nil"/>
            </w:tcBorders>
            <w:shd w:val="clear" w:color="auto" w:fill="EAF1DD" w:themeFill="accent3" w:themeFillTint="33"/>
            <w:noWrap/>
            <w:vAlign w:val="bottom"/>
            <w:hideMark/>
          </w:tcPr>
          <w:p w14:paraId="0B64A09E" w14:textId="639B72D2"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21,231</w:t>
            </w:r>
          </w:p>
        </w:tc>
        <w:tc>
          <w:tcPr>
            <w:tcW w:w="662" w:type="dxa"/>
            <w:tcBorders>
              <w:top w:val="nil"/>
              <w:left w:val="nil"/>
              <w:bottom w:val="nil"/>
              <w:right w:val="nil"/>
            </w:tcBorders>
            <w:shd w:val="clear" w:color="auto" w:fill="EAF1DD" w:themeFill="accent3" w:themeFillTint="33"/>
            <w:noWrap/>
            <w:vAlign w:val="bottom"/>
            <w:hideMark/>
          </w:tcPr>
          <w:p w14:paraId="2E727AE2" w14:textId="18230668"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21,553</w:t>
            </w:r>
          </w:p>
        </w:tc>
        <w:tc>
          <w:tcPr>
            <w:tcW w:w="662" w:type="dxa"/>
            <w:tcBorders>
              <w:top w:val="nil"/>
              <w:left w:val="nil"/>
              <w:bottom w:val="nil"/>
              <w:right w:val="nil"/>
            </w:tcBorders>
            <w:shd w:val="clear" w:color="auto" w:fill="EAF1DD" w:themeFill="accent3" w:themeFillTint="33"/>
            <w:noWrap/>
            <w:vAlign w:val="bottom"/>
            <w:hideMark/>
          </w:tcPr>
          <w:p w14:paraId="78E0ED64" w14:textId="7445A0ED"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21,800</w:t>
            </w:r>
          </w:p>
        </w:tc>
        <w:tc>
          <w:tcPr>
            <w:tcW w:w="662" w:type="dxa"/>
            <w:tcBorders>
              <w:top w:val="nil"/>
              <w:left w:val="nil"/>
              <w:bottom w:val="nil"/>
              <w:right w:val="nil"/>
            </w:tcBorders>
            <w:shd w:val="clear" w:color="auto" w:fill="EAF1DD" w:themeFill="accent3" w:themeFillTint="33"/>
            <w:noWrap/>
            <w:vAlign w:val="bottom"/>
            <w:hideMark/>
          </w:tcPr>
          <w:p w14:paraId="6800057E" w14:textId="3D5DBADC"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22,193</w:t>
            </w:r>
          </w:p>
        </w:tc>
        <w:tc>
          <w:tcPr>
            <w:tcW w:w="662" w:type="dxa"/>
            <w:tcBorders>
              <w:top w:val="nil"/>
              <w:left w:val="nil"/>
              <w:bottom w:val="nil"/>
              <w:right w:val="nil"/>
            </w:tcBorders>
            <w:shd w:val="clear" w:color="auto" w:fill="EAF1DD" w:themeFill="accent3" w:themeFillTint="33"/>
            <w:noWrap/>
            <w:vAlign w:val="bottom"/>
            <w:hideMark/>
          </w:tcPr>
          <w:p w14:paraId="63DFAFD4" w14:textId="6F73195D"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21,724</w:t>
            </w:r>
          </w:p>
        </w:tc>
        <w:tc>
          <w:tcPr>
            <w:tcW w:w="662" w:type="dxa"/>
            <w:tcBorders>
              <w:top w:val="nil"/>
              <w:left w:val="nil"/>
              <w:bottom w:val="nil"/>
              <w:right w:val="nil"/>
            </w:tcBorders>
            <w:shd w:val="clear" w:color="auto" w:fill="EAF1DD" w:themeFill="accent3" w:themeFillTint="33"/>
            <w:noWrap/>
            <w:vAlign w:val="bottom"/>
            <w:hideMark/>
          </w:tcPr>
          <w:p w14:paraId="176937ED" w14:textId="10CE4330"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21,586</w:t>
            </w:r>
          </w:p>
        </w:tc>
        <w:tc>
          <w:tcPr>
            <w:tcW w:w="662" w:type="dxa"/>
            <w:tcBorders>
              <w:top w:val="nil"/>
              <w:left w:val="nil"/>
              <w:bottom w:val="nil"/>
              <w:right w:val="nil"/>
            </w:tcBorders>
            <w:shd w:val="clear" w:color="auto" w:fill="EAF1DD" w:themeFill="accent3" w:themeFillTint="33"/>
            <w:noWrap/>
            <w:vAlign w:val="bottom"/>
            <w:hideMark/>
          </w:tcPr>
          <w:p w14:paraId="3A9345C1" w14:textId="5ACDFBA3"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21,348</w:t>
            </w:r>
          </w:p>
        </w:tc>
        <w:tc>
          <w:tcPr>
            <w:tcW w:w="662" w:type="dxa"/>
            <w:tcBorders>
              <w:top w:val="nil"/>
              <w:left w:val="nil"/>
              <w:bottom w:val="nil"/>
              <w:right w:val="nil"/>
            </w:tcBorders>
            <w:shd w:val="clear" w:color="auto" w:fill="EAF1DD" w:themeFill="accent3" w:themeFillTint="33"/>
            <w:noWrap/>
            <w:vAlign w:val="bottom"/>
            <w:hideMark/>
          </w:tcPr>
          <w:p w14:paraId="3EE7E1F8" w14:textId="24AB178F"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21,887</w:t>
            </w:r>
          </w:p>
        </w:tc>
        <w:tc>
          <w:tcPr>
            <w:tcW w:w="662" w:type="dxa"/>
            <w:tcBorders>
              <w:top w:val="nil"/>
              <w:left w:val="nil"/>
              <w:bottom w:val="nil"/>
              <w:right w:val="nil"/>
            </w:tcBorders>
            <w:shd w:val="clear" w:color="auto" w:fill="EAF1DD" w:themeFill="accent3" w:themeFillTint="33"/>
            <w:noWrap/>
            <w:vAlign w:val="bottom"/>
            <w:hideMark/>
          </w:tcPr>
          <w:p w14:paraId="60D4AD4D" w14:textId="4EC124D7"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21,578</w:t>
            </w:r>
          </w:p>
        </w:tc>
        <w:tc>
          <w:tcPr>
            <w:tcW w:w="662" w:type="dxa"/>
            <w:tcBorders>
              <w:top w:val="nil"/>
              <w:left w:val="nil"/>
              <w:bottom w:val="nil"/>
              <w:right w:val="nil"/>
            </w:tcBorders>
            <w:shd w:val="clear" w:color="auto" w:fill="EAF1DD" w:themeFill="accent3" w:themeFillTint="33"/>
            <w:noWrap/>
            <w:vAlign w:val="bottom"/>
            <w:hideMark/>
          </w:tcPr>
          <w:p w14:paraId="5A094461" w14:textId="76BF4A85"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21,070</w:t>
            </w:r>
          </w:p>
        </w:tc>
        <w:tc>
          <w:tcPr>
            <w:tcW w:w="662" w:type="dxa"/>
            <w:tcBorders>
              <w:top w:val="nil"/>
              <w:left w:val="nil"/>
              <w:bottom w:val="nil"/>
              <w:right w:val="nil"/>
            </w:tcBorders>
            <w:shd w:val="clear" w:color="auto" w:fill="EAF1DD" w:themeFill="accent3" w:themeFillTint="33"/>
            <w:noWrap/>
            <w:vAlign w:val="bottom"/>
            <w:hideMark/>
          </w:tcPr>
          <w:p w14:paraId="30911C2C" w14:textId="0364057B"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21,398</w:t>
            </w:r>
          </w:p>
        </w:tc>
        <w:tc>
          <w:tcPr>
            <w:tcW w:w="662" w:type="dxa"/>
            <w:tcBorders>
              <w:top w:val="nil"/>
              <w:left w:val="nil"/>
              <w:bottom w:val="nil"/>
              <w:right w:val="nil"/>
            </w:tcBorders>
            <w:shd w:val="clear" w:color="auto" w:fill="EAF1DD" w:themeFill="accent3" w:themeFillTint="33"/>
            <w:noWrap/>
            <w:vAlign w:val="bottom"/>
            <w:hideMark/>
          </w:tcPr>
          <w:p w14:paraId="49F2A325" w14:textId="51175886"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21,935</w:t>
            </w:r>
          </w:p>
        </w:tc>
        <w:tc>
          <w:tcPr>
            <w:tcW w:w="662" w:type="dxa"/>
            <w:tcBorders>
              <w:top w:val="nil"/>
              <w:left w:val="nil"/>
              <w:bottom w:val="nil"/>
              <w:right w:val="nil"/>
            </w:tcBorders>
            <w:shd w:val="clear" w:color="auto" w:fill="EAF1DD" w:themeFill="accent3" w:themeFillTint="33"/>
            <w:noWrap/>
            <w:vAlign w:val="bottom"/>
            <w:hideMark/>
          </w:tcPr>
          <w:p w14:paraId="7C699024" w14:textId="678F3B4F"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21,638</w:t>
            </w:r>
          </w:p>
        </w:tc>
        <w:tc>
          <w:tcPr>
            <w:tcW w:w="662" w:type="dxa"/>
            <w:tcBorders>
              <w:top w:val="nil"/>
              <w:left w:val="nil"/>
              <w:bottom w:val="nil"/>
              <w:right w:val="nil"/>
            </w:tcBorders>
            <w:shd w:val="clear" w:color="auto" w:fill="EAF1DD" w:themeFill="accent3" w:themeFillTint="33"/>
            <w:noWrap/>
            <w:vAlign w:val="bottom"/>
            <w:hideMark/>
          </w:tcPr>
          <w:p w14:paraId="78CB9CC7" w14:textId="308B5F50"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21,403</w:t>
            </w:r>
          </w:p>
        </w:tc>
        <w:tc>
          <w:tcPr>
            <w:tcW w:w="662" w:type="dxa"/>
            <w:tcBorders>
              <w:top w:val="nil"/>
              <w:left w:val="nil"/>
              <w:bottom w:val="nil"/>
              <w:right w:val="nil"/>
            </w:tcBorders>
            <w:shd w:val="clear" w:color="auto" w:fill="EAF1DD" w:themeFill="accent3" w:themeFillTint="33"/>
            <w:noWrap/>
            <w:vAlign w:val="bottom"/>
            <w:hideMark/>
          </w:tcPr>
          <w:p w14:paraId="364A671E" w14:textId="070DFEA5"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21,668</w:t>
            </w:r>
          </w:p>
        </w:tc>
        <w:tc>
          <w:tcPr>
            <w:tcW w:w="820" w:type="dxa"/>
            <w:tcBorders>
              <w:top w:val="nil"/>
              <w:left w:val="nil"/>
              <w:bottom w:val="nil"/>
              <w:right w:val="nil"/>
            </w:tcBorders>
            <w:shd w:val="clear" w:color="auto" w:fill="EAF1DD" w:themeFill="accent3" w:themeFillTint="33"/>
            <w:noWrap/>
            <w:vAlign w:val="bottom"/>
            <w:hideMark/>
          </w:tcPr>
          <w:p w14:paraId="5F62C83B" w14:textId="66AADE70"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21,601</w:t>
            </w:r>
          </w:p>
        </w:tc>
      </w:tr>
      <w:tr w:rsidR="00664EDF" w14:paraId="7C55B839" w14:textId="77777777" w:rsidTr="00664EDF">
        <w:trPr>
          <w:trHeight w:val="300"/>
        </w:trPr>
        <w:tc>
          <w:tcPr>
            <w:tcW w:w="548" w:type="dxa"/>
            <w:tcBorders>
              <w:top w:val="nil"/>
              <w:left w:val="nil"/>
              <w:bottom w:val="nil"/>
              <w:right w:val="nil"/>
            </w:tcBorders>
            <w:shd w:val="clear" w:color="000000" w:fill="E2EFDA"/>
            <w:noWrap/>
            <w:vAlign w:val="bottom"/>
            <w:hideMark/>
          </w:tcPr>
          <w:p w14:paraId="386696B5"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5</w:t>
            </w:r>
          </w:p>
        </w:tc>
        <w:tc>
          <w:tcPr>
            <w:tcW w:w="662" w:type="dxa"/>
            <w:tcBorders>
              <w:top w:val="nil"/>
              <w:left w:val="nil"/>
              <w:bottom w:val="nil"/>
              <w:right w:val="nil"/>
            </w:tcBorders>
            <w:shd w:val="clear" w:color="auto" w:fill="EAF1DD" w:themeFill="accent3" w:themeFillTint="33"/>
            <w:noWrap/>
            <w:vAlign w:val="bottom"/>
            <w:hideMark/>
          </w:tcPr>
          <w:p w14:paraId="52B08288" w14:textId="415AD98E"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21,141</w:t>
            </w:r>
          </w:p>
        </w:tc>
        <w:tc>
          <w:tcPr>
            <w:tcW w:w="662" w:type="dxa"/>
            <w:tcBorders>
              <w:top w:val="nil"/>
              <w:left w:val="nil"/>
              <w:bottom w:val="nil"/>
              <w:right w:val="nil"/>
            </w:tcBorders>
            <w:shd w:val="clear" w:color="auto" w:fill="EAF1DD" w:themeFill="accent3" w:themeFillTint="33"/>
            <w:noWrap/>
            <w:vAlign w:val="bottom"/>
            <w:hideMark/>
          </w:tcPr>
          <w:p w14:paraId="588C8102" w14:textId="536AE8D1"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21,550</w:t>
            </w:r>
          </w:p>
        </w:tc>
        <w:tc>
          <w:tcPr>
            <w:tcW w:w="662" w:type="dxa"/>
            <w:tcBorders>
              <w:top w:val="nil"/>
              <w:left w:val="nil"/>
              <w:bottom w:val="nil"/>
              <w:right w:val="nil"/>
            </w:tcBorders>
            <w:shd w:val="clear" w:color="auto" w:fill="EAF1DD" w:themeFill="accent3" w:themeFillTint="33"/>
            <w:noWrap/>
            <w:vAlign w:val="bottom"/>
            <w:hideMark/>
          </w:tcPr>
          <w:p w14:paraId="213E0F42" w14:textId="0EDB2057"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21,763</w:t>
            </w:r>
          </w:p>
        </w:tc>
        <w:tc>
          <w:tcPr>
            <w:tcW w:w="662" w:type="dxa"/>
            <w:tcBorders>
              <w:top w:val="nil"/>
              <w:left w:val="nil"/>
              <w:bottom w:val="nil"/>
              <w:right w:val="nil"/>
            </w:tcBorders>
            <w:shd w:val="clear" w:color="auto" w:fill="EAF1DD" w:themeFill="accent3" w:themeFillTint="33"/>
            <w:noWrap/>
            <w:vAlign w:val="bottom"/>
            <w:hideMark/>
          </w:tcPr>
          <w:p w14:paraId="64DC0F2C" w14:textId="18A7A356"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22,175</w:t>
            </w:r>
          </w:p>
        </w:tc>
        <w:tc>
          <w:tcPr>
            <w:tcW w:w="662" w:type="dxa"/>
            <w:tcBorders>
              <w:top w:val="nil"/>
              <w:left w:val="nil"/>
              <w:bottom w:val="nil"/>
              <w:right w:val="nil"/>
            </w:tcBorders>
            <w:shd w:val="clear" w:color="auto" w:fill="EAF1DD" w:themeFill="accent3" w:themeFillTint="33"/>
            <w:noWrap/>
            <w:vAlign w:val="bottom"/>
            <w:hideMark/>
          </w:tcPr>
          <w:p w14:paraId="693EEDAA" w14:textId="7B40A26D"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21,557</w:t>
            </w:r>
          </w:p>
        </w:tc>
        <w:tc>
          <w:tcPr>
            <w:tcW w:w="662" w:type="dxa"/>
            <w:tcBorders>
              <w:top w:val="nil"/>
              <w:left w:val="nil"/>
              <w:bottom w:val="nil"/>
              <w:right w:val="nil"/>
            </w:tcBorders>
            <w:shd w:val="clear" w:color="auto" w:fill="EAF1DD" w:themeFill="accent3" w:themeFillTint="33"/>
            <w:noWrap/>
            <w:vAlign w:val="bottom"/>
            <w:hideMark/>
          </w:tcPr>
          <w:p w14:paraId="2E307511" w14:textId="2B321891"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21,577</w:t>
            </w:r>
          </w:p>
        </w:tc>
        <w:tc>
          <w:tcPr>
            <w:tcW w:w="662" w:type="dxa"/>
            <w:tcBorders>
              <w:top w:val="nil"/>
              <w:left w:val="nil"/>
              <w:bottom w:val="nil"/>
              <w:right w:val="nil"/>
            </w:tcBorders>
            <w:shd w:val="clear" w:color="auto" w:fill="EAF1DD" w:themeFill="accent3" w:themeFillTint="33"/>
            <w:noWrap/>
            <w:vAlign w:val="bottom"/>
            <w:hideMark/>
          </w:tcPr>
          <w:p w14:paraId="1407CCA5" w14:textId="62B5E3AA"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21,275</w:t>
            </w:r>
          </w:p>
        </w:tc>
        <w:tc>
          <w:tcPr>
            <w:tcW w:w="662" w:type="dxa"/>
            <w:tcBorders>
              <w:top w:val="nil"/>
              <w:left w:val="nil"/>
              <w:bottom w:val="nil"/>
              <w:right w:val="nil"/>
            </w:tcBorders>
            <w:shd w:val="clear" w:color="auto" w:fill="EAF1DD" w:themeFill="accent3" w:themeFillTint="33"/>
            <w:noWrap/>
            <w:vAlign w:val="bottom"/>
            <w:hideMark/>
          </w:tcPr>
          <w:p w14:paraId="0A4283A7" w14:textId="501B51FE"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21,840</w:t>
            </w:r>
          </w:p>
        </w:tc>
        <w:tc>
          <w:tcPr>
            <w:tcW w:w="662" w:type="dxa"/>
            <w:tcBorders>
              <w:top w:val="nil"/>
              <w:left w:val="nil"/>
              <w:bottom w:val="nil"/>
              <w:right w:val="nil"/>
            </w:tcBorders>
            <w:shd w:val="clear" w:color="auto" w:fill="EAF1DD" w:themeFill="accent3" w:themeFillTint="33"/>
            <w:noWrap/>
            <w:vAlign w:val="bottom"/>
            <w:hideMark/>
          </w:tcPr>
          <w:p w14:paraId="34C14981" w14:textId="0C57B085"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21,567</w:t>
            </w:r>
          </w:p>
        </w:tc>
        <w:tc>
          <w:tcPr>
            <w:tcW w:w="662" w:type="dxa"/>
            <w:tcBorders>
              <w:top w:val="nil"/>
              <w:left w:val="nil"/>
              <w:bottom w:val="nil"/>
              <w:right w:val="nil"/>
            </w:tcBorders>
            <w:shd w:val="clear" w:color="auto" w:fill="EAF1DD" w:themeFill="accent3" w:themeFillTint="33"/>
            <w:noWrap/>
            <w:vAlign w:val="bottom"/>
            <w:hideMark/>
          </w:tcPr>
          <w:p w14:paraId="762D974D" w14:textId="0A8FB79D"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21,059</w:t>
            </w:r>
          </w:p>
        </w:tc>
        <w:tc>
          <w:tcPr>
            <w:tcW w:w="662" w:type="dxa"/>
            <w:tcBorders>
              <w:top w:val="nil"/>
              <w:left w:val="nil"/>
              <w:bottom w:val="nil"/>
              <w:right w:val="nil"/>
            </w:tcBorders>
            <w:shd w:val="clear" w:color="auto" w:fill="EAF1DD" w:themeFill="accent3" w:themeFillTint="33"/>
            <w:noWrap/>
            <w:vAlign w:val="bottom"/>
            <w:hideMark/>
          </w:tcPr>
          <w:p w14:paraId="4E126314" w14:textId="4586B7E2"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21,396</w:t>
            </w:r>
          </w:p>
        </w:tc>
        <w:tc>
          <w:tcPr>
            <w:tcW w:w="662" w:type="dxa"/>
            <w:tcBorders>
              <w:top w:val="nil"/>
              <w:left w:val="nil"/>
              <w:bottom w:val="nil"/>
              <w:right w:val="nil"/>
            </w:tcBorders>
            <w:shd w:val="clear" w:color="auto" w:fill="EAF1DD" w:themeFill="accent3" w:themeFillTint="33"/>
            <w:noWrap/>
            <w:vAlign w:val="bottom"/>
            <w:hideMark/>
          </w:tcPr>
          <w:p w14:paraId="326FC4B7" w14:textId="7F2E597A"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21,898</w:t>
            </w:r>
          </w:p>
        </w:tc>
        <w:tc>
          <w:tcPr>
            <w:tcW w:w="662" w:type="dxa"/>
            <w:tcBorders>
              <w:top w:val="nil"/>
              <w:left w:val="nil"/>
              <w:bottom w:val="nil"/>
              <w:right w:val="nil"/>
            </w:tcBorders>
            <w:shd w:val="clear" w:color="auto" w:fill="EAF1DD" w:themeFill="accent3" w:themeFillTint="33"/>
            <w:noWrap/>
            <w:vAlign w:val="bottom"/>
            <w:hideMark/>
          </w:tcPr>
          <w:p w14:paraId="04DA8124" w14:textId="1571E1FB"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21,598</w:t>
            </w:r>
          </w:p>
        </w:tc>
        <w:tc>
          <w:tcPr>
            <w:tcW w:w="662" w:type="dxa"/>
            <w:tcBorders>
              <w:top w:val="nil"/>
              <w:left w:val="nil"/>
              <w:bottom w:val="nil"/>
              <w:right w:val="nil"/>
            </w:tcBorders>
            <w:shd w:val="clear" w:color="auto" w:fill="EAF1DD" w:themeFill="accent3" w:themeFillTint="33"/>
            <w:noWrap/>
            <w:vAlign w:val="bottom"/>
            <w:hideMark/>
          </w:tcPr>
          <w:p w14:paraId="4D9901B1" w14:textId="3CD0FE32"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21,375</w:t>
            </w:r>
          </w:p>
        </w:tc>
        <w:tc>
          <w:tcPr>
            <w:tcW w:w="662" w:type="dxa"/>
            <w:tcBorders>
              <w:top w:val="nil"/>
              <w:left w:val="nil"/>
              <w:bottom w:val="nil"/>
              <w:right w:val="nil"/>
            </w:tcBorders>
            <w:shd w:val="clear" w:color="auto" w:fill="EAF1DD" w:themeFill="accent3" w:themeFillTint="33"/>
            <w:noWrap/>
            <w:vAlign w:val="bottom"/>
            <w:hideMark/>
          </w:tcPr>
          <w:p w14:paraId="01E2C550" w14:textId="04AB37B4"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21,667</w:t>
            </w:r>
          </w:p>
        </w:tc>
        <w:tc>
          <w:tcPr>
            <w:tcW w:w="820" w:type="dxa"/>
            <w:tcBorders>
              <w:top w:val="nil"/>
              <w:left w:val="nil"/>
              <w:bottom w:val="nil"/>
              <w:right w:val="nil"/>
            </w:tcBorders>
            <w:shd w:val="clear" w:color="auto" w:fill="EAF1DD" w:themeFill="accent3" w:themeFillTint="33"/>
            <w:noWrap/>
            <w:vAlign w:val="bottom"/>
            <w:hideMark/>
          </w:tcPr>
          <w:p w14:paraId="73B831A7" w14:textId="7593738D" w:rsidR="00664EDF" w:rsidRPr="00B748FF" w:rsidRDefault="00664EDF" w:rsidP="00664EDF">
            <w:pPr>
              <w:jc w:val="center"/>
              <w:rPr>
                <w:rFonts w:ascii="Calibri" w:hAnsi="Calibri" w:cs="Calibri"/>
                <w:color w:val="000000"/>
                <w:sz w:val="16"/>
                <w:szCs w:val="16"/>
              </w:rPr>
            </w:pPr>
            <w:r>
              <w:rPr>
                <w:rFonts w:ascii="Calibri" w:hAnsi="Calibri" w:cs="Calibri"/>
                <w:color w:val="000000"/>
                <w:sz w:val="16"/>
                <w:szCs w:val="16"/>
              </w:rPr>
              <w:t>21,563</w:t>
            </w:r>
          </w:p>
        </w:tc>
      </w:tr>
      <w:tr w:rsidR="00664EDF" w14:paraId="4E770023" w14:textId="77777777" w:rsidTr="007261C7">
        <w:trPr>
          <w:trHeight w:val="300"/>
        </w:trPr>
        <w:tc>
          <w:tcPr>
            <w:tcW w:w="548" w:type="dxa"/>
            <w:tcBorders>
              <w:top w:val="nil"/>
              <w:left w:val="nil"/>
              <w:bottom w:val="nil"/>
              <w:right w:val="nil"/>
            </w:tcBorders>
            <w:shd w:val="clear" w:color="000000" w:fill="E2EFDA"/>
            <w:noWrap/>
            <w:vAlign w:val="bottom"/>
            <w:hideMark/>
          </w:tcPr>
          <w:p w14:paraId="7F894A7B"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 </w:t>
            </w:r>
          </w:p>
        </w:tc>
        <w:tc>
          <w:tcPr>
            <w:tcW w:w="662" w:type="dxa"/>
            <w:tcBorders>
              <w:top w:val="nil"/>
              <w:left w:val="nil"/>
              <w:bottom w:val="nil"/>
              <w:right w:val="nil"/>
            </w:tcBorders>
            <w:shd w:val="clear" w:color="000000" w:fill="E2EFDA"/>
            <w:noWrap/>
            <w:vAlign w:val="bottom"/>
            <w:hideMark/>
          </w:tcPr>
          <w:p w14:paraId="50FB408D"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51E84267"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564859CF"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30AA45B9"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0F4196C9"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624268EC"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28BFFFA6"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68BF5BF1"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10372830"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2F0D61AD"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2F68F214"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681BC700"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0CAE2DC2"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111E2E64"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4DE66DAC"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820" w:type="dxa"/>
            <w:tcBorders>
              <w:top w:val="nil"/>
              <w:left w:val="nil"/>
              <w:bottom w:val="nil"/>
              <w:right w:val="nil"/>
            </w:tcBorders>
            <w:shd w:val="clear" w:color="000000" w:fill="E2EFDA"/>
            <w:noWrap/>
            <w:vAlign w:val="bottom"/>
            <w:hideMark/>
          </w:tcPr>
          <w:p w14:paraId="1C0A33EE"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r>
      <w:tr w:rsidR="00664EDF" w14:paraId="2895EDFB" w14:textId="77777777" w:rsidTr="007261C7">
        <w:trPr>
          <w:trHeight w:val="300"/>
        </w:trPr>
        <w:tc>
          <w:tcPr>
            <w:tcW w:w="548" w:type="dxa"/>
            <w:tcBorders>
              <w:top w:val="nil"/>
              <w:left w:val="nil"/>
              <w:bottom w:val="nil"/>
              <w:right w:val="nil"/>
            </w:tcBorders>
            <w:shd w:val="clear" w:color="000000" w:fill="E2EFDA"/>
            <w:noWrap/>
            <w:vAlign w:val="bottom"/>
            <w:hideMark/>
          </w:tcPr>
          <w:p w14:paraId="464D0DEA"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 </w:t>
            </w:r>
          </w:p>
        </w:tc>
        <w:tc>
          <w:tcPr>
            <w:tcW w:w="662" w:type="dxa"/>
            <w:tcBorders>
              <w:top w:val="nil"/>
              <w:left w:val="nil"/>
              <w:bottom w:val="nil"/>
              <w:right w:val="nil"/>
            </w:tcBorders>
            <w:shd w:val="clear" w:color="000000" w:fill="E2EFDA"/>
            <w:noWrap/>
            <w:vAlign w:val="bottom"/>
            <w:hideMark/>
          </w:tcPr>
          <w:p w14:paraId="151BA3A0"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6060EDE4"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01932996"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05AF063C"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268EDBC1"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519143AD"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4CDE261E"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01691C07"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3864E4D4"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11AB59E8"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75A4E3C2"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51C27872"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2C9387B4"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32C9D983"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04AA3742"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820" w:type="dxa"/>
            <w:tcBorders>
              <w:top w:val="nil"/>
              <w:left w:val="nil"/>
              <w:bottom w:val="nil"/>
              <w:right w:val="nil"/>
            </w:tcBorders>
            <w:shd w:val="clear" w:color="000000" w:fill="E2EFDA"/>
            <w:noWrap/>
            <w:vAlign w:val="bottom"/>
            <w:hideMark/>
          </w:tcPr>
          <w:p w14:paraId="11168917"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r>
      <w:tr w:rsidR="00664EDF" w14:paraId="575476A8" w14:textId="77777777" w:rsidTr="008F4D0E">
        <w:trPr>
          <w:trHeight w:val="300"/>
        </w:trPr>
        <w:tc>
          <w:tcPr>
            <w:tcW w:w="548" w:type="dxa"/>
            <w:tcBorders>
              <w:top w:val="nil"/>
              <w:left w:val="nil"/>
              <w:bottom w:val="nil"/>
              <w:right w:val="nil"/>
            </w:tcBorders>
            <w:shd w:val="clear" w:color="000000" w:fill="E2EFDA"/>
            <w:noWrap/>
            <w:vAlign w:val="bottom"/>
            <w:hideMark/>
          </w:tcPr>
          <w:p w14:paraId="1AD7799F"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 </w:t>
            </w:r>
          </w:p>
        </w:tc>
        <w:tc>
          <w:tcPr>
            <w:tcW w:w="662" w:type="dxa"/>
            <w:tcBorders>
              <w:top w:val="nil"/>
              <w:left w:val="nil"/>
              <w:right w:val="nil"/>
            </w:tcBorders>
            <w:shd w:val="clear" w:color="000000" w:fill="E2EFDA"/>
            <w:noWrap/>
            <w:vAlign w:val="bottom"/>
            <w:hideMark/>
          </w:tcPr>
          <w:p w14:paraId="57618E85"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54A56247"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67B80F17"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1B27C245"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5F548D88"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49C68AA6"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60C1DFE3"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08B702A7"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6FED6575"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015A1A77"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78B5FC80"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78A4C052"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6372FEE6"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4DA9BA29"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0357935C"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c>
          <w:tcPr>
            <w:tcW w:w="820" w:type="dxa"/>
            <w:tcBorders>
              <w:top w:val="nil"/>
              <w:left w:val="nil"/>
              <w:right w:val="nil"/>
            </w:tcBorders>
            <w:shd w:val="clear" w:color="000000" w:fill="E2EFDA"/>
            <w:noWrap/>
            <w:vAlign w:val="bottom"/>
            <w:hideMark/>
          </w:tcPr>
          <w:p w14:paraId="51BCE971" w14:textId="77777777" w:rsidR="00664EDF" w:rsidRPr="00B748FF" w:rsidRDefault="00664EDF" w:rsidP="00664EDF">
            <w:pPr>
              <w:jc w:val="center"/>
              <w:rPr>
                <w:rFonts w:ascii="Calibri" w:hAnsi="Calibri" w:cs="Calibri"/>
                <w:color w:val="000000"/>
                <w:sz w:val="16"/>
                <w:szCs w:val="16"/>
              </w:rPr>
            </w:pPr>
            <w:r w:rsidRPr="00B748FF">
              <w:rPr>
                <w:rFonts w:ascii="Calibri" w:hAnsi="Calibri" w:cs="Calibri"/>
                <w:color w:val="000000"/>
                <w:sz w:val="16"/>
                <w:szCs w:val="16"/>
              </w:rPr>
              <w:t>.</w:t>
            </w:r>
          </w:p>
        </w:tc>
      </w:tr>
      <w:tr w:rsidR="008F4D0E" w14:paraId="4A8E4A69" w14:textId="77777777" w:rsidTr="008F4D0E">
        <w:trPr>
          <w:trHeight w:val="300"/>
        </w:trPr>
        <w:tc>
          <w:tcPr>
            <w:tcW w:w="548" w:type="dxa"/>
            <w:tcBorders>
              <w:top w:val="nil"/>
              <w:left w:val="nil"/>
              <w:bottom w:val="nil"/>
              <w:right w:val="nil"/>
            </w:tcBorders>
            <w:shd w:val="clear" w:color="000000" w:fill="E2EFDA"/>
            <w:noWrap/>
            <w:vAlign w:val="bottom"/>
            <w:hideMark/>
          </w:tcPr>
          <w:p w14:paraId="5E58E65E" w14:textId="77777777" w:rsidR="008F4D0E" w:rsidRPr="00B748FF" w:rsidRDefault="008F4D0E" w:rsidP="008F4D0E">
            <w:pPr>
              <w:jc w:val="center"/>
              <w:rPr>
                <w:rFonts w:ascii="Calibri" w:hAnsi="Calibri" w:cs="Calibri"/>
                <w:color w:val="000000"/>
                <w:sz w:val="16"/>
                <w:szCs w:val="16"/>
              </w:rPr>
            </w:pPr>
            <w:r w:rsidRPr="00B748FF">
              <w:rPr>
                <w:rFonts w:ascii="Calibri" w:hAnsi="Calibri" w:cs="Calibri"/>
                <w:color w:val="000000"/>
                <w:sz w:val="16"/>
                <w:szCs w:val="16"/>
              </w:rPr>
              <w:t>740</w:t>
            </w:r>
          </w:p>
        </w:tc>
        <w:tc>
          <w:tcPr>
            <w:tcW w:w="662" w:type="dxa"/>
            <w:tcBorders>
              <w:top w:val="nil"/>
              <w:left w:val="nil"/>
              <w:bottom w:val="nil"/>
              <w:right w:val="nil"/>
            </w:tcBorders>
            <w:shd w:val="clear" w:color="auto" w:fill="EAF1DD" w:themeFill="accent3" w:themeFillTint="33"/>
            <w:noWrap/>
            <w:vAlign w:val="bottom"/>
            <w:hideMark/>
          </w:tcPr>
          <w:p w14:paraId="138A8E1A" w14:textId="33047AEF"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12,284</w:t>
            </w:r>
          </w:p>
        </w:tc>
        <w:tc>
          <w:tcPr>
            <w:tcW w:w="662" w:type="dxa"/>
            <w:tcBorders>
              <w:top w:val="nil"/>
              <w:left w:val="nil"/>
              <w:bottom w:val="nil"/>
              <w:right w:val="nil"/>
            </w:tcBorders>
            <w:shd w:val="clear" w:color="auto" w:fill="EAF1DD" w:themeFill="accent3" w:themeFillTint="33"/>
            <w:noWrap/>
            <w:vAlign w:val="bottom"/>
            <w:hideMark/>
          </w:tcPr>
          <w:p w14:paraId="457A28C7" w14:textId="142D9F65"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12,605</w:t>
            </w:r>
          </w:p>
        </w:tc>
        <w:tc>
          <w:tcPr>
            <w:tcW w:w="662" w:type="dxa"/>
            <w:tcBorders>
              <w:top w:val="nil"/>
              <w:left w:val="nil"/>
              <w:bottom w:val="nil"/>
              <w:right w:val="nil"/>
            </w:tcBorders>
            <w:shd w:val="clear" w:color="auto" w:fill="EAF1DD" w:themeFill="accent3" w:themeFillTint="33"/>
            <w:noWrap/>
            <w:vAlign w:val="bottom"/>
            <w:hideMark/>
          </w:tcPr>
          <w:p w14:paraId="7A7B3002" w14:textId="3E342C44"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12,654</w:t>
            </w:r>
          </w:p>
        </w:tc>
        <w:tc>
          <w:tcPr>
            <w:tcW w:w="662" w:type="dxa"/>
            <w:tcBorders>
              <w:top w:val="nil"/>
              <w:left w:val="nil"/>
              <w:bottom w:val="nil"/>
              <w:right w:val="nil"/>
            </w:tcBorders>
            <w:shd w:val="clear" w:color="auto" w:fill="EAF1DD" w:themeFill="accent3" w:themeFillTint="33"/>
            <w:noWrap/>
            <w:vAlign w:val="bottom"/>
            <w:hideMark/>
          </w:tcPr>
          <w:p w14:paraId="62EDB522" w14:textId="0D6BF44D"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13,398</w:t>
            </w:r>
          </w:p>
        </w:tc>
        <w:tc>
          <w:tcPr>
            <w:tcW w:w="662" w:type="dxa"/>
            <w:tcBorders>
              <w:top w:val="nil"/>
              <w:left w:val="nil"/>
              <w:bottom w:val="nil"/>
              <w:right w:val="nil"/>
            </w:tcBorders>
            <w:shd w:val="clear" w:color="auto" w:fill="EAF1DD" w:themeFill="accent3" w:themeFillTint="33"/>
            <w:noWrap/>
            <w:vAlign w:val="bottom"/>
            <w:hideMark/>
          </w:tcPr>
          <w:p w14:paraId="544AD5A8" w14:textId="557083FB"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12,574</w:t>
            </w:r>
          </w:p>
        </w:tc>
        <w:tc>
          <w:tcPr>
            <w:tcW w:w="662" w:type="dxa"/>
            <w:tcBorders>
              <w:top w:val="nil"/>
              <w:left w:val="nil"/>
              <w:bottom w:val="nil"/>
              <w:right w:val="nil"/>
            </w:tcBorders>
            <w:shd w:val="clear" w:color="auto" w:fill="EAF1DD" w:themeFill="accent3" w:themeFillTint="33"/>
            <w:noWrap/>
            <w:vAlign w:val="bottom"/>
            <w:hideMark/>
          </w:tcPr>
          <w:p w14:paraId="55F374FB" w14:textId="60A73072"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12,394</w:t>
            </w:r>
          </w:p>
        </w:tc>
        <w:tc>
          <w:tcPr>
            <w:tcW w:w="662" w:type="dxa"/>
            <w:tcBorders>
              <w:top w:val="nil"/>
              <w:left w:val="nil"/>
              <w:bottom w:val="nil"/>
              <w:right w:val="nil"/>
            </w:tcBorders>
            <w:shd w:val="clear" w:color="auto" w:fill="EAF1DD" w:themeFill="accent3" w:themeFillTint="33"/>
            <w:noWrap/>
            <w:vAlign w:val="bottom"/>
            <w:hideMark/>
          </w:tcPr>
          <w:p w14:paraId="77DBB10C" w14:textId="0CF07B11"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12,112</w:t>
            </w:r>
          </w:p>
        </w:tc>
        <w:tc>
          <w:tcPr>
            <w:tcW w:w="662" w:type="dxa"/>
            <w:tcBorders>
              <w:top w:val="nil"/>
              <w:left w:val="nil"/>
              <w:bottom w:val="nil"/>
              <w:right w:val="nil"/>
            </w:tcBorders>
            <w:shd w:val="clear" w:color="auto" w:fill="EAF1DD" w:themeFill="accent3" w:themeFillTint="33"/>
            <w:noWrap/>
            <w:vAlign w:val="bottom"/>
            <w:hideMark/>
          </w:tcPr>
          <w:p w14:paraId="422420D4" w14:textId="2C58A674"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12,114</w:t>
            </w:r>
          </w:p>
        </w:tc>
        <w:tc>
          <w:tcPr>
            <w:tcW w:w="662" w:type="dxa"/>
            <w:tcBorders>
              <w:top w:val="nil"/>
              <w:left w:val="nil"/>
              <w:bottom w:val="nil"/>
              <w:right w:val="nil"/>
            </w:tcBorders>
            <w:shd w:val="clear" w:color="auto" w:fill="EAF1DD" w:themeFill="accent3" w:themeFillTint="33"/>
            <w:noWrap/>
            <w:vAlign w:val="bottom"/>
            <w:hideMark/>
          </w:tcPr>
          <w:p w14:paraId="7F0C4E70" w14:textId="0CD984BC"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12,418</w:t>
            </w:r>
          </w:p>
        </w:tc>
        <w:tc>
          <w:tcPr>
            <w:tcW w:w="662" w:type="dxa"/>
            <w:tcBorders>
              <w:top w:val="nil"/>
              <w:left w:val="nil"/>
              <w:bottom w:val="nil"/>
              <w:right w:val="nil"/>
            </w:tcBorders>
            <w:shd w:val="clear" w:color="auto" w:fill="EAF1DD" w:themeFill="accent3" w:themeFillTint="33"/>
            <w:noWrap/>
            <w:vAlign w:val="bottom"/>
            <w:hideMark/>
          </w:tcPr>
          <w:p w14:paraId="162A0E55" w14:textId="35BE690E"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11,935</w:t>
            </w:r>
          </w:p>
        </w:tc>
        <w:tc>
          <w:tcPr>
            <w:tcW w:w="662" w:type="dxa"/>
            <w:tcBorders>
              <w:top w:val="nil"/>
              <w:left w:val="nil"/>
              <w:bottom w:val="nil"/>
              <w:right w:val="nil"/>
            </w:tcBorders>
            <w:shd w:val="clear" w:color="auto" w:fill="EAF1DD" w:themeFill="accent3" w:themeFillTint="33"/>
            <w:noWrap/>
            <w:vAlign w:val="bottom"/>
            <w:hideMark/>
          </w:tcPr>
          <w:p w14:paraId="66749F3B" w14:textId="452DC9A8"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12,589</w:t>
            </w:r>
          </w:p>
        </w:tc>
        <w:tc>
          <w:tcPr>
            <w:tcW w:w="662" w:type="dxa"/>
            <w:tcBorders>
              <w:top w:val="nil"/>
              <w:left w:val="nil"/>
              <w:bottom w:val="nil"/>
              <w:right w:val="nil"/>
            </w:tcBorders>
            <w:shd w:val="clear" w:color="auto" w:fill="EAF1DD" w:themeFill="accent3" w:themeFillTint="33"/>
            <w:noWrap/>
            <w:vAlign w:val="bottom"/>
            <w:hideMark/>
          </w:tcPr>
          <w:p w14:paraId="230D77CC" w14:textId="32B01662"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13,142</w:t>
            </w:r>
          </w:p>
        </w:tc>
        <w:tc>
          <w:tcPr>
            <w:tcW w:w="662" w:type="dxa"/>
            <w:tcBorders>
              <w:top w:val="nil"/>
              <w:left w:val="nil"/>
              <w:bottom w:val="nil"/>
              <w:right w:val="nil"/>
            </w:tcBorders>
            <w:shd w:val="clear" w:color="auto" w:fill="EAF1DD" w:themeFill="accent3" w:themeFillTint="33"/>
            <w:noWrap/>
            <w:vAlign w:val="bottom"/>
            <w:hideMark/>
          </w:tcPr>
          <w:p w14:paraId="56B98D06" w14:textId="3E8F8745"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12,455</w:t>
            </w:r>
          </w:p>
        </w:tc>
        <w:tc>
          <w:tcPr>
            <w:tcW w:w="662" w:type="dxa"/>
            <w:tcBorders>
              <w:top w:val="nil"/>
              <w:left w:val="nil"/>
              <w:bottom w:val="nil"/>
              <w:right w:val="nil"/>
            </w:tcBorders>
            <w:shd w:val="clear" w:color="auto" w:fill="EAF1DD" w:themeFill="accent3" w:themeFillTint="33"/>
            <w:noWrap/>
            <w:vAlign w:val="bottom"/>
            <w:hideMark/>
          </w:tcPr>
          <w:p w14:paraId="2763F6B3" w14:textId="31576D9F"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12,790</w:t>
            </w:r>
          </w:p>
        </w:tc>
        <w:tc>
          <w:tcPr>
            <w:tcW w:w="662" w:type="dxa"/>
            <w:tcBorders>
              <w:top w:val="nil"/>
              <w:left w:val="nil"/>
              <w:bottom w:val="nil"/>
              <w:right w:val="nil"/>
            </w:tcBorders>
            <w:shd w:val="clear" w:color="auto" w:fill="EAF1DD" w:themeFill="accent3" w:themeFillTint="33"/>
            <w:noWrap/>
            <w:vAlign w:val="bottom"/>
            <w:hideMark/>
          </w:tcPr>
          <w:p w14:paraId="40FBEA7F" w14:textId="0093A98D"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12,911</w:t>
            </w:r>
          </w:p>
        </w:tc>
        <w:tc>
          <w:tcPr>
            <w:tcW w:w="820" w:type="dxa"/>
            <w:tcBorders>
              <w:top w:val="nil"/>
              <w:left w:val="nil"/>
              <w:bottom w:val="nil"/>
              <w:right w:val="nil"/>
            </w:tcBorders>
            <w:shd w:val="clear" w:color="auto" w:fill="EAF1DD" w:themeFill="accent3" w:themeFillTint="33"/>
            <w:noWrap/>
            <w:vAlign w:val="bottom"/>
            <w:hideMark/>
          </w:tcPr>
          <w:p w14:paraId="1B5FF031" w14:textId="095F5F0E"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12,558</w:t>
            </w:r>
          </w:p>
        </w:tc>
      </w:tr>
      <w:tr w:rsidR="008F4D0E" w14:paraId="4D12F513" w14:textId="77777777" w:rsidTr="008F4D0E">
        <w:trPr>
          <w:trHeight w:val="300"/>
        </w:trPr>
        <w:tc>
          <w:tcPr>
            <w:tcW w:w="548" w:type="dxa"/>
            <w:tcBorders>
              <w:top w:val="nil"/>
              <w:left w:val="nil"/>
              <w:bottom w:val="nil"/>
              <w:right w:val="nil"/>
            </w:tcBorders>
            <w:shd w:val="clear" w:color="000000" w:fill="E2EFDA"/>
            <w:noWrap/>
            <w:vAlign w:val="bottom"/>
            <w:hideMark/>
          </w:tcPr>
          <w:p w14:paraId="4FC98A57" w14:textId="77777777" w:rsidR="008F4D0E" w:rsidRPr="00B748FF" w:rsidRDefault="008F4D0E" w:rsidP="008F4D0E">
            <w:pPr>
              <w:jc w:val="center"/>
              <w:rPr>
                <w:rFonts w:ascii="Calibri" w:hAnsi="Calibri" w:cs="Calibri"/>
                <w:color w:val="000000"/>
                <w:sz w:val="16"/>
                <w:szCs w:val="16"/>
              </w:rPr>
            </w:pPr>
            <w:r w:rsidRPr="00B748FF">
              <w:rPr>
                <w:rFonts w:ascii="Calibri" w:hAnsi="Calibri" w:cs="Calibri"/>
                <w:color w:val="000000"/>
                <w:sz w:val="16"/>
                <w:szCs w:val="16"/>
              </w:rPr>
              <w:t>741</w:t>
            </w:r>
          </w:p>
        </w:tc>
        <w:tc>
          <w:tcPr>
            <w:tcW w:w="662" w:type="dxa"/>
            <w:tcBorders>
              <w:top w:val="nil"/>
              <w:left w:val="nil"/>
              <w:bottom w:val="nil"/>
              <w:right w:val="nil"/>
            </w:tcBorders>
            <w:shd w:val="clear" w:color="auto" w:fill="EAF1DD" w:themeFill="accent3" w:themeFillTint="33"/>
            <w:noWrap/>
            <w:vAlign w:val="bottom"/>
            <w:hideMark/>
          </w:tcPr>
          <w:p w14:paraId="01CD108A" w14:textId="48D4AD37"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12,283</w:t>
            </w:r>
          </w:p>
        </w:tc>
        <w:tc>
          <w:tcPr>
            <w:tcW w:w="662" w:type="dxa"/>
            <w:tcBorders>
              <w:top w:val="nil"/>
              <w:left w:val="nil"/>
              <w:bottom w:val="nil"/>
              <w:right w:val="nil"/>
            </w:tcBorders>
            <w:shd w:val="clear" w:color="auto" w:fill="EAF1DD" w:themeFill="accent3" w:themeFillTint="33"/>
            <w:noWrap/>
            <w:vAlign w:val="bottom"/>
            <w:hideMark/>
          </w:tcPr>
          <w:p w14:paraId="330024F2" w14:textId="5A2DCBDD"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12,589</w:t>
            </w:r>
          </w:p>
        </w:tc>
        <w:tc>
          <w:tcPr>
            <w:tcW w:w="662" w:type="dxa"/>
            <w:tcBorders>
              <w:top w:val="nil"/>
              <w:left w:val="nil"/>
              <w:bottom w:val="nil"/>
              <w:right w:val="nil"/>
            </w:tcBorders>
            <w:shd w:val="clear" w:color="auto" w:fill="EAF1DD" w:themeFill="accent3" w:themeFillTint="33"/>
            <w:noWrap/>
            <w:vAlign w:val="bottom"/>
            <w:hideMark/>
          </w:tcPr>
          <w:p w14:paraId="27963534" w14:textId="610325CD"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12,628</w:t>
            </w:r>
          </w:p>
        </w:tc>
        <w:tc>
          <w:tcPr>
            <w:tcW w:w="662" w:type="dxa"/>
            <w:tcBorders>
              <w:top w:val="nil"/>
              <w:left w:val="nil"/>
              <w:bottom w:val="nil"/>
              <w:right w:val="nil"/>
            </w:tcBorders>
            <w:shd w:val="clear" w:color="auto" w:fill="EAF1DD" w:themeFill="accent3" w:themeFillTint="33"/>
            <w:noWrap/>
            <w:vAlign w:val="bottom"/>
            <w:hideMark/>
          </w:tcPr>
          <w:p w14:paraId="4883DBD7" w14:textId="0DFC9C39"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13,338</w:t>
            </w:r>
          </w:p>
        </w:tc>
        <w:tc>
          <w:tcPr>
            <w:tcW w:w="662" w:type="dxa"/>
            <w:tcBorders>
              <w:top w:val="nil"/>
              <w:left w:val="nil"/>
              <w:bottom w:val="nil"/>
              <w:right w:val="nil"/>
            </w:tcBorders>
            <w:shd w:val="clear" w:color="auto" w:fill="EAF1DD" w:themeFill="accent3" w:themeFillTint="33"/>
            <w:noWrap/>
            <w:vAlign w:val="bottom"/>
            <w:hideMark/>
          </w:tcPr>
          <w:p w14:paraId="059599AE" w14:textId="7A6A5D3F"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12,558</w:t>
            </w:r>
          </w:p>
        </w:tc>
        <w:tc>
          <w:tcPr>
            <w:tcW w:w="662" w:type="dxa"/>
            <w:tcBorders>
              <w:top w:val="nil"/>
              <w:left w:val="nil"/>
              <w:bottom w:val="nil"/>
              <w:right w:val="nil"/>
            </w:tcBorders>
            <w:shd w:val="clear" w:color="auto" w:fill="EAF1DD" w:themeFill="accent3" w:themeFillTint="33"/>
            <w:noWrap/>
            <w:vAlign w:val="bottom"/>
            <w:hideMark/>
          </w:tcPr>
          <w:p w14:paraId="57356221" w14:textId="4F1DAB09"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12,147</w:t>
            </w:r>
          </w:p>
        </w:tc>
        <w:tc>
          <w:tcPr>
            <w:tcW w:w="662" w:type="dxa"/>
            <w:tcBorders>
              <w:top w:val="nil"/>
              <w:left w:val="nil"/>
              <w:bottom w:val="nil"/>
              <w:right w:val="nil"/>
            </w:tcBorders>
            <w:shd w:val="clear" w:color="auto" w:fill="EAF1DD" w:themeFill="accent3" w:themeFillTint="33"/>
            <w:noWrap/>
            <w:vAlign w:val="bottom"/>
            <w:hideMark/>
          </w:tcPr>
          <w:p w14:paraId="3602757D" w14:textId="2483F749"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11,967</w:t>
            </w:r>
          </w:p>
        </w:tc>
        <w:tc>
          <w:tcPr>
            <w:tcW w:w="662" w:type="dxa"/>
            <w:tcBorders>
              <w:top w:val="nil"/>
              <w:left w:val="nil"/>
              <w:bottom w:val="nil"/>
              <w:right w:val="nil"/>
            </w:tcBorders>
            <w:shd w:val="clear" w:color="auto" w:fill="EAF1DD" w:themeFill="accent3" w:themeFillTint="33"/>
            <w:noWrap/>
            <w:vAlign w:val="bottom"/>
            <w:hideMark/>
          </w:tcPr>
          <w:p w14:paraId="17620CA9" w14:textId="5BB8D758"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11,986</w:t>
            </w:r>
          </w:p>
        </w:tc>
        <w:tc>
          <w:tcPr>
            <w:tcW w:w="662" w:type="dxa"/>
            <w:tcBorders>
              <w:top w:val="nil"/>
              <w:left w:val="nil"/>
              <w:bottom w:val="nil"/>
              <w:right w:val="nil"/>
            </w:tcBorders>
            <w:shd w:val="clear" w:color="auto" w:fill="EAF1DD" w:themeFill="accent3" w:themeFillTint="33"/>
            <w:noWrap/>
            <w:vAlign w:val="bottom"/>
            <w:hideMark/>
          </w:tcPr>
          <w:p w14:paraId="278C777A" w14:textId="36C154A1"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12,345</w:t>
            </w:r>
          </w:p>
        </w:tc>
        <w:tc>
          <w:tcPr>
            <w:tcW w:w="662" w:type="dxa"/>
            <w:tcBorders>
              <w:top w:val="nil"/>
              <w:left w:val="nil"/>
              <w:bottom w:val="nil"/>
              <w:right w:val="nil"/>
            </w:tcBorders>
            <w:shd w:val="clear" w:color="auto" w:fill="EAF1DD" w:themeFill="accent3" w:themeFillTint="33"/>
            <w:noWrap/>
            <w:vAlign w:val="bottom"/>
            <w:hideMark/>
          </w:tcPr>
          <w:p w14:paraId="52D0531E" w14:textId="56A48E85"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11,900</w:t>
            </w:r>
          </w:p>
        </w:tc>
        <w:tc>
          <w:tcPr>
            <w:tcW w:w="662" w:type="dxa"/>
            <w:tcBorders>
              <w:top w:val="nil"/>
              <w:left w:val="nil"/>
              <w:bottom w:val="nil"/>
              <w:right w:val="nil"/>
            </w:tcBorders>
            <w:shd w:val="clear" w:color="auto" w:fill="EAF1DD" w:themeFill="accent3" w:themeFillTint="33"/>
            <w:noWrap/>
            <w:vAlign w:val="bottom"/>
            <w:hideMark/>
          </w:tcPr>
          <w:p w14:paraId="1D1190E6" w14:textId="48CF008D"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12,524</w:t>
            </w:r>
          </w:p>
        </w:tc>
        <w:tc>
          <w:tcPr>
            <w:tcW w:w="662" w:type="dxa"/>
            <w:tcBorders>
              <w:top w:val="nil"/>
              <w:left w:val="nil"/>
              <w:bottom w:val="nil"/>
              <w:right w:val="nil"/>
            </w:tcBorders>
            <w:shd w:val="clear" w:color="auto" w:fill="EAF1DD" w:themeFill="accent3" w:themeFillTint="33"/>
            <w:noWrap/>
            <w:vAlign w:val="bottom"/>
            <w:hideMark/>
          </w:tcPr>
          <w:p w14:paraId="45F089B7" w14:textId="7CC95929"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13,124</w:t>
            </w:r>
          </w:p>
        </w:tc>
        <w:tc>
          <w:tcPr>
            <w:tcW w:w="662" w:type="dxa"/>
            <w:tcBorders>
              <w:top w:val="nil"/>
              <w:left w:val="nil"/>
              <w:bottom w:val="nil"/>
              <w:right w:val="nil"/>
            </w:tcBorders>
            <w:shd w:val="clear" w:color="auto" w:fill="EAF1DD" w:themeFill="accent3" w:themeFillTint="33"/>
            <w:noWrap/>
            <w:vAlign w:val="bottom"/>
            <w:hideMark/>
          </w:tcPr>
          <w:p w14:paraId="37E01A3B" w14:textId="4ED0941A"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12,444</w:t>
            </w:r>
          </w:p>
        </w:tc>
        <w:tc>
          <w:tcPr>
            <w:tcW w:w="662" w:type="dxa"/>
            <w:tcBorders>
              <w:top w:val="nil"/>
              <w:left w:val="nil"/>
              <w:bottom w:val="nil"/>
              <w:right w:val="nil"/>
            </w:tcBorders>
            <w:shd w:val="clear" w:color="auto" w:fill="EAF1DD" w:themeFill="accent3" w:themeFillTint="33"/>
            <w:noWrap/>
            <w:vAlign w:val="bottom"/>
            <w:hideMark/>
          </w:tcPr>
          <w:p w14:paraId="2B5B20BA" w14:textId="3B3B4EE7"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12,768</w:t>
            </w:r>
          </w:p>
        </w:tc>
        <w:tc>
          <w:tcPr>
            <w:tcW w:w="662" w:type="dxa"/>
            <w:tcBorders>
              <w:top w:val="nil"/>
              <w:left w:val="nil"/>
              <w:bottom w:val="nil"/>
              <w:right w:val="nil"/>
            </w:tcBorders>
            <w:shd w:val="clear" w:color="auto" w:fill="EAF1DD" w:themeFill="accent3" w:themeFillTint="33"/>
            <w:noWrap/>
            <w:vAlign w:val="bottom"/>
            <w:hideMark/>
          </w:tcPr>
          <w:p w14:paraId="62034A7F" w14:textId="026C4656"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12,895</w:t>
            </w:r>
          </w:p>
        </w:tc>
        <w:tc>
          <w:tcPr>
            <w:tcW w:w="820" w:type="dxa"/>
            <w:tcBorders>
              <w:top w:val="nil"/>
              <w:left w:val="nil"/>
              <w:bottom w:val="nil"/>
              <w:right w:val="nil"/>
            </w:tcBorders>
            <w:shd w:val="clear" w:color="auto" w:fill="EAF1DD" w:themeFill="accent3" w:themeFillTint="33"/>
            <w:noWrap/>
            <w:vAlign w:val="bottom"/>
            <w:hideMark/>
          </w:tcPr>
          <w:p w14:paraId="334DDC8E" w14:textId="4E3571DE"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12,500</w:t>
            </w:r>
          </w:p>
        </w:tc>
      </w:tr>
      <w:tr w:rsidR="008F4D0E" w14:paraId="28DBE5F4" w14:textId="77777777" w:rsidTr="008F4D0E">
        <w:trPr>
          <w:trHeight w:val="300"/>
        </w:trPr>
        <w:tc>
          <w:tcPr>
            <w:tcW w:w="548" w:type="dxa"/>
            <w:tcBorders>
              <w:top w:val="nil"/>
              <w:left w:val="nil"/>
              <w:bottom w:val="nil"/>
              <w:right w:val="nil"/>
            </w:tcBorders>
            <w:shd w:val="clear" w:color="000000" w:fill="E2EFDA"/>
            <w:noWrap/>
            <w:vAlign w:val="bottom"/>
            <w:hideMark/>
          </w:tcPr>
          <w:p w14:paraId="6B50AA4C" w14:textId="77777777" w:rsidR="008F4D0E" w:rsidRPr="00B748FF" w:rsidRDefault="008F4D0E" w:rsidP="008F4D0E">
            <w:pPr>
              <w:jc w:val="center"/>
              <w:rPr>
                <w:rFonts w:ascii="Calibri" w:hAnsi="Calibri" w:cs="Calibri"/>
                <w:color w:val="000000"/>
                <w:sz w:val="16"/>
                <w:szCs w:val="16"/>
              </w:rPr>
            </w:pPr>
            <w:r w:rsidRPr="00B748FF">
              <w:rPr>
                <w:rFonts w:ascii="Calibri" w:hAnsi="Calibri" w:cs="Calibri"/>
                <w:color w:val="000000"/>
                <w:sz w:val="16"/>
                <w:szCs w:val="16"/>
              </w:rPr>
              <w:t>742</w:t>
            </w:r>
          </w:p>
        </w:tc>
        <w:tc>
          <w:tcPr>
            <w:tcW w:w="662" w:type="dxa"/>
            <w:tcBorders>
              <w:top w:val="nil"/>
              <w:left w:val="nil"/>
              <w:bottom w:val="nil"/>
              <w:right w:val="nil"/>
            </w:tcBorders>
            <w:shd w:val="clear" w:color="auto" w:fill="EAF1DD" w:themeFill="accent3" w:themeFillTint="33"/>
            <w:noWrap/>
            <w:vAlign w:val="bottom"/>
            <w:hideMark/>
          </w:tcPr>
          <w:p w14:paraId="10A221FE" w14:textId="7CA923BF"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12,253</w:t>
            </w:r>
          </w:p>
        </w:tc>
        <w:tc>
          <w:tcPr>
            <w:tcW w:w="662" w:type="dxa"/>
            <w:tcBorders>
              <w:top w:val="nil"/>
              <w:left w:val="nil"/>
              <w:bottom w:val="nil"/>
              <w:right w:val="nil"/>
            </w:tcBorders>
            <w:shd w:val="clear" w:color="auto" w:fill="EAF1DD" w:themeFill="accent3" w:themeFillTint="33"/>
            <w:noWrap/>
            <w:vAlign w:val="bottom"/>
            <w:hideMark/>
          </w:tcPr>
          <w:p w14:paraId="36FED4D5" w14:textId="017A47E3"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12,561</w:t>
            </w:r>
          </w:p>
        </w:tc>
        <w:tc>
          <w:tcPr>
            <w:tcW w:w="662" w:type="dxa"/>
            <w:tcBorders>
              <w:top w:val="nil"/>
              <w:left w:val="nil"/>
              <w:bottom w:val="nil"/>
              <w:right w:val="nil"/>
            </w:tcBorders>
            <w:shd w:val="clear" w:color="auto" w:fill="EAF1DD" w:themeFill="accent3" w:themeFillTint="33"/>
            <w:noWrap/>
            <w:vAlign w:val="bottom"/>
            <w:hideMark/>
          </w:tcPr>
          <w:p w14:paraId="6937B4C3" w14:textId="4FEBC9D0"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12,611</w:t>
            </w:r>
          </w:p>
        </w:tc>
        <w:tc>
          <w:tcPr>
            <w:tcW w:w="662" w:type="dxa"/>
            <w:tcBorders>
              <w:top w:val="nil"/>
              <w:left w:val="nil"/>
              <w:bottom w:val="nil"/>
              <w:right w:val="nil"/>
            </w:tcBorders>
            <w:shd w:val="clear" w:color="auto" w:fill="EAF1DD" w:themeFill="accent3" w:themeFillTint="33"/>
            <w:noWrap/>
            <w:vAlign w:val="bottom"/>
            <w:hideMark/>
          </w:tcPr>
          <w:p w14:paraId="191E7E53" w14:textId="4F6BEB6C"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13,301</w:t>
            </w:r>
          </w:p>
        </w:tc>
        <w:tc>
          <w:tcPr>
            <w:tcW w:w="662" w:type="dxa"/>
            <w:tcBorders>
              <w:top w:val="nil"/>
              <w:left w:val="nil"/>
              <w:bottom w:val="nil"/>
              <w:right w:val="nil"/>
            </w:tcBorders>
            <w:shd w:val="clear" w:color="auto" w:fill="EAF1DD" w:themeFill="accent3" w:themeFillTint="33"/>
            <w:noWrap/>
            <w:vAlign w:val="bottom"/>
            <w:hideMark/>
          </w:tcPr>
          <w:p w14:paraId="41E0F5B1" w14:textId="23123CB8"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12,545</w:t>
            </w:r>
          </w:p>
        </w:tc>
        <w:tc>
          <w:tcPr>
            <w:tcW w:w="662" w:type="dxa"/>
            <w:tcBorders>
              <w:top w:val="nil"/>
              <w:left w:val="nil"/>
              <w:bottom w:val="nil"/>
              <w:right w:val="nil"/>
            </w:tcBorders>
            <w:shd w:val="clear" w:color="auto" w:fill="EAF1DD" w:themeFill="accent3" w:themeFillTint="33"/>
            <w:noWrap/>
            <w:vAlign w:val="bottom"/>
            <w:hideMark/>
          </w:tcPr>
          <w:p w14:paraId="6E3E6256" w14:textId="3B89EE1C"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12,018</w:t>
            </w:r>
          </w:p>
        </w:tc>
        <w:tc>
          <w:tcPr>
            <w:tcW w:w="662" w:type="dxa"/>
            <w:tcBorders>
              <w:top w:val="nil"/>
              <w:left w:val="nil"/>
              <w:bottom w:val="nil"/>
              <w:right w:val="nil"/>
            </w:tcBorders>
            <w:shd w:val="clear" w:color="auto" w:fill="EAF1DD" w:themeFill="accent3" w:themeFillTint="33"/>
            <w:noWrap/>
            <w:vAlign w:val="bottom"/>
            <w:hideMark/>
          </w:tcPr>
          <w:p w14:paraId="6A4F71AE" w14:textId="1E19BDFD"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11,933</w:t>
            </w:r>
          </w:p>
        </w:tc>
        <w:tc>
          <w:tcPr>
            <w:tcW w:w="662" w:type="dxa"/>
            <w:tcBorders>
              <w:top w:val="nil"/>
              <w:left w:val="nil"/>
              <w:bottom w:val="nil"/>
              <w:right w:val="nil"/>
            </w:tcBorders>
            <w:shd w:val="clear" w:color="auto" w:fill="EAF1DD" w:themeFill="accent3" w:themeFillTint="33"/>
            <w:noWrap/>
            <w:vAlign w:val="bottom"/>
            <w:hideMark/>
          </w:tcPr>
          <w:p w14:paraId="04C9048B" w14:textId="2784FEE1"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11,981</w:t>
            </w:r>
          </w:p>
        </w:tc>
        <w:tc>
          <w:tcPr>
            <w:tcW w:w="662" w:type="dxa"/>
            <w:tcBorders>
              <w:top w:val="nil"/>
              <w:left w:val="nil"/>
              <w:bottom w:val="nil"/>
              <w:right w:val="nil"/>
            </w:tcBorders>
            <w:shd w:val="clear" w:color="auto" w:fill="EAF1DD" w:themeFill="accent3" w:themeFillTint="33"/>
            <w:noWrap/>
            <w:vAlign w:val="bottom"/>
            <w:hideMark/>
          </w:tcPr>
          <w:p w14:paraId="2EC0044A" w14:textId="183E1739"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12,279</w:t>
            </w:r>
          </w:p>
        </w:tc>
        <w:tc>
          <w:tcPr>
            <w:tcW w:w="662" w:type="dxa"/>
            <w:tcBorders>
              <w:top w:val="nil"/>
              <w:left w:val="nil"/>
              <w:bottom w:val="nil"/>
              <w:right w:val="nil"/>
            </w:tcBorders>
            <w:shd w:val="clear" w:color="auto" w:fill="EAF1DD" w:themeFill="accent3" w:themeFillTint="33"/>
            <w:noWrap/>
            <w:vAlign w:val="bottom"/>
            <w:hideMark/>
          </w:tcPr>
          <w:p w14:paraId="177162C7" w14:textId="2477D231"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11,881</w:t>
            </w:r>
          </w:p>
        </w:tc>
        <w:tc>
          <w:tcPr>
            <w:tcW w:w="662" w:type="dxa"/>
            <w:tcBorders>
              <w:top w:val="nil"/>
              <w:left w:val="nil"/>
              <w:bottom w:val="nil"/>
              <w:right w:val="nil"/>
            </w:tcBorders>
            <w:shd w:val="clear" w:color="auto" w:fill="EAF1DD" w:themeFill="accent3" w:themeFillTint="33"/>
            <w:noWrap/>
            <w:vAlign w:val="bottom"/>
            <w:hideMark/>
          </w:tcPr>
          <w:p w14:paraId="73E7223D" w14:textId="359762FE"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12,423</w:t>
            </w:r>
          </w:p>
        </w:tc>
        <w:tc>
          <w:tcPr>
            <w:tcW w:w="662" w:type="dxa"/>
            <w:tcBorders>
              <w:top w:val="nil"/>
              <w:left w:val="nil"/>
              <w:bottom w:val="nil"/>
              <w:right w:val="nil"/>
            </w:tcBorders>
            <w:shd w:val="clear" w:color="auto" w:fill="EAF1DD" w:themeFill="accent3" w:themeFillTint="33"/>
            <w:noWrap/>
            <w:vAlign w:val="bottom"/>
            <w:hideMark/>
          </w:tcPr>
          <w:p w14:paraId="051975F9" w14:textId="01DB0EB1"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13,117</w:t>
            </w:r>
          </w:p>
        </w:tc>
        <w:tc>
          <w:tcPr>
            <w:tcW w:w="662" w:type="dxa"/>
            <w:tcBorders>
              <w:top w:val="nil"/>
              <w:left w:val="nil"/>
              <w:bottom w:val="nil"/>
              <w:right w:val="nil"/>
            </w:tcBorders>
            <w:shd w:val="clear" w:color="auto" w:fill="EAF1DD" w:themeFill="accent3" w:themeFillTint="33"/>
            <w:noWrap/>
            <w:vAlign w:val="bottom"/>
            <w:hideMark/>
          </w:tcPr>
          <w:p w14:paraId="3CCF9604" w14:textId="6BC41080"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12,414</w:t>
            </w:r>
          </w:p>
        </w:tc>
        <w:tc>
          <w:tcPr>
            <w:tcW w:w="662" w:type="dxa"/>
            <w:tcBorders>
              <w:top w:val="nil"/>
              <w:left w:val="nil"/>
              <w:bottom w:val="nil"/>
              <w:right w:val="nil"/>
            </w:tcBorders>
            <w:shd w:val="clear" w:color="auto" w:fill="EAF1DD" w:themeFill="accent3" w:themeFillTint="33"/>
            <w:noWrap/>
            <w:vAlign w:val="bottom"/>
            <w:hideMark/>
          </w:tcPr>
          <w:p w14:paraId="02BAF904" w14:textId="04EC6513"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12,746</w:t>
            </w:r>
          </w:p>
        </w:tc>
        <w:tc>
          <w:tcPr>
            <w:tcW w:w="662" w:type="dxa"/>
            <w:tcBorders>
              <w:top w:val="nil"/>
              <w:left w:val="nil"/>
              <w:bottom w:val="nil"/>
              <w:right w:val="nil"/>
            </w:tcBorders>
            <w:shd w:val="clear" w:color="auto" w:fill="EAF1DD" w:themeFill="accent3" w:themeFillTint="33"/>
            <w:noWrap/>
            <w:vAlign w:val="bottom"/>
            <w:hideMark/>
          </w:tcPr>
          <w:p w14:paraId="59EFAE99" w14:textId="002B0798"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12,856</w:t>
            </w:r>
          </w:p>
        </w:tc>
        <w:tc>
          <w:tcPr>
            <w:tcW w:w="820" w:type="dxa"/>
            <w:tcBorders>
              <w:top w:val="nil"/>
              <w:left w:val="nil"/>
              <w:bottom w:val="nil"/>
              <w:right w:val="nil"/>
            </w:tcBorders>
            <w:shd w:val="clear" w:color="auto" w:fill="EAF1DD" w:themeFill="accent3" w:themeFillTint="33"/>
            <w:noWrap/>
            <w:vAlign w:val="bottom"/>
            <w:hideMark/>
          </w:tcPr>
          <w:p w14:paraId="5B09FA80" w14:textId="5706B2C6"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12,461</w:t>
            </w:r>
          </w:p>
        </w:tc>
      </w:tr>
      <w:tr w:rsidR="008F4D0E" w14:paraId="42FC9DE5" w14:textId="77777777" w:rsidTr="008F4D0E">
        <w:trPr>
          <w:trHeight w:val="300"/>
        </w:trPr>
        <w:tc>
          <w:tcPr>
            <w:tcW w:w="548" w:type="dxa"/>
            <w:tcBorders>
              <w:top w:val="nil"/>
              <w:left w:val="nil"/>
              <w:bottom w:val="nil"/>
              <w:right w:val="nil"/>
            </w:tcBorders>
            <w:shd w:val="clear" w:color="000000" w:fill="E2EFDA"/>
            <w:noWrap/>
            <w:vAlign w:val="bottom"/>
            <w:hideMark/>
          </w:tcPr>
          <w:p w14:paraId="1711993C" w14:textId="77777777" w:rsidR="008F4D0E" w:rsidRPr="00B748FF" w:rsidRDefault="008F4D0E" w:rsidP="008F4D0E">
            <w:pPr>
              <w:jc w:val="center"/>
              <w:rPr>
                <w:rFonts w:ascii="Calibri" w:hAnsi="Calibri" w:cs="Calibri"/>
                <w:color w:val="000000"/>
                <w:sz w:val="16"/>
                <w:szCs w:val="16"/>
              </w:rPr>
            </w:pPr>
            <w:r w:rsidRPr="00B748FF">
              <w:rPr>
                <w:rFonts w:ascii="Calibri" w:hAnsi="Calibri" w:cs="Calibri"/>
                <w:color w:val="000000"/>
                <w:sz w:val="16"/>
                <w:szCs w:val="16"/>
              </w:rPr>
              <w:t>743</w:t>
            </w:r>
          </w:p>
        </w:tc>
        <w:tc>
          <w:tcPr>
            <w:tcW w:w="662" w:type="dxa"/>
            <w:tcBorders>
              <w:top w:val="nil"/>
              <w:left w:val="nil"/>
              <w:bottom w:val="nil"/>
              <w:right w:val="nil"/>
            </w:tcBorders>
            <w:shd w:val="clear" w:color="auto" w:fill="EAF1DD" w:themeFill="accent3" w:themeFillTint="33"/>
            <w:noWrap/>
            <w:vAlign w:val="bottom"/>
            <w:hideMark/>
          </w:tcPr>
          <w:p w14:paraId="1930533D" w14:textId="5BDABFBD"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12,249</w:t>
            </w:r>
          </w:p>
        </w:tc>
        <w:tc>
          <w:tcPr>
            <w:tcW w:w="662" w:type="dxa"/>
            <w:tcBorders>
              <w:top w:val="nil"/>
              <w:left w:val="nil"/>
              <w:bottom w:val="nil"/>
              <w:right w:val="nil"/>
            </w:tcBorders>
            <w:shd w:val="clear" w:color="auto" w:fill="EAF1DD" w:themeFill="accent3" w:themeFillTint="33"/>
            <w:noWrap/>
            <w:vAlign w:val="bottom"/>
            <w:hideMark/>
          </w:tcPr>
          <w:p w14:paraId="6DF606BA" w14:textId="35B603C8"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12,550</w:t>
            </w:r>
          </w:p>
        </w:tc>
        <w:tc>
          <w:tcPr>
            <w:tcW w:w="662" w:type="dxa"/>
            <w:tcBorders>
              <w:top w:val="nil"/>
              <w:left w:val="nil"/>
              <w:bottom w:val="nil"/>
              <w:right w:val="nil"/>
            </w:tcBorders>
            <w:shd w:val="clear" w:color="auto" w:fill="EAF1DD" w:themeFill="accent3" w:themeFillTint="33"/>
            <w:noWrap/>
            <w:vAlign w:val="bottom"/>
            <w:hideMark/>
          </w:tcPr>
          <w:p w14:paraId="126CF6EC" w14:textId="1F2A311A"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12,527</w:t>
            </w:r>
          </w:p>
        </w:tc>
        <w:tc>
          <w:tcPr>
            <w:tcW w:w="662" w:type="dxa"/>
            <w:tcBorders>
              <w:top w:val="nil"/>
              <w:left w:val="nil"/>
              <w:bottom w:val="nil"/>
              <w:right w:val="nil"/>
            </w:tcBorders>
            <w:shd w:val="clear" w:color="auto" w:fill="EAF1DD" w:themeFill="accent3" w:themeFillTint="33"/>
            <w:noWrap/>
            <w:vAlign w:val="bottom"/>
            <w:hideMark/>
          </w:tcPr>
          <w:p w14:paraId="79497E31" w14:textId="178A3894"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13,256</w:t>
            </w:r>
          </w:p>
        </w:tc>
        <w:tc>
          <w:tcPr>
            <w:tcW w:w="662" w:type="dxa"/>
            <w:tcBorders>
              <w:top w:val="nil"/>
              <w:left w:val="nil"/>
              <w:bottom w:val="nil"/>
              <w:right w:val="nil"/>
            </w:tcBorders>
            <w:shd w:val="clear" w:color="auto" w:fill="EAF1DD" w:themeFill="accent3" w:themeFillTint="33"/>
            <w:noWrap/>
            <w:vAlign w:val="bottom"/>
            <w:hideMark/>
          </w:tcPr>
          <w:p w14:paraId="137B226D" w14:textId="727617A9"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12,447</w:t>
            </w:r>
          </w:p>
        </w:tc>
        <w:tc>
          <w:tcPr>
            <w:tcW w:w="662" w:type="dxa"/>
            <w:tcBorders>
              <w:top w:val="nil"/>
              <w:left w:val="nil"/>
              <w:bottom w:val="nil"/>
              <w:right w:val="nil"/>
            </w:tcBorders>
            <w:shd w:val="clear" w:color="auto" w:fill="EAF1DD" w:themeFill="accent3" w:themeFillTint="33"/>
            <w:noWrap/>
            <w:vAlign w:val="bottom"/>
            <w:hideMark/>
          </w:tcPr>
          <w:p w14:paraId="75E4768D" w14:textId="5B661FBF"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11,928</w:t>
            </w:r>
          </w:p>
        </w:tc>
        <w:tc>
          <w:tcPr>
            <w:tcW w:w="662" w:type="dxa"/>
            <w:tcBorders>
              <w:top w:val="nil"/>
              <w:left w:val="nil"/>
              <w:bottom w:val="nil"/>
              <w:right w:val="nil"/>
            </w:tcBorders>
            <w:shd w:val="clear" w:color="auto" w:fill="EAF1DD" w:themeFill="accent3" w:themeFillTint="33"/>
            <w:noWrap/>
            <w:vAlign w:val="bottom"/>
            <w:hideMark/>
          </w:tcPr>
          <w:p w14:paraId="58A4FFF3" w14:textId="6C80D3F8"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11,923</w:t>
            </w:r>
          </w:p>
        </w:tc>
        <w:tc>
          <w:tcPr>
            <w:tcW w:w="662" w:type="dxa"/>
            <w:tcBorders>
              <w:top w:val="nil"/>
              <w:left w:val="nil"/>
              <w:bottom w:val="nil"/>
              <w:right w:val="nil"/>
            </w:tcBorders>
            <w:shd w:val="clear" w:color="auto" w:fill="EAF1DD" w:themeFill="accent3" w:themeFillTint="33"/>
            <w:noWrap/>
            <w:vAlign w:val="bottom"/>
            <w:hideMark/>
          </w:tcPr>
          <w:p w14:paraId="4CFBE983" w14:textId="270FF2A7"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11,959</w:t>
            </w:r>
          </w:p>
        </w:tc>
        <w:tc>
          <w:tcPr>
            <w:tcW w:w="662" w:type="dxa"/>
            <w:tcBorders>
              <w:top w:val="nil"/>
              <w:left w:val="nil"/>
              <w:bottom w:val="nil"/>
              <w:right w:val="nil"/>
            </w:tcBorders>
            <w:shd w:val="clear" w:color="auto" w:fill="EAF1DD" w:themeFill="accent3" w:themeFillTint="33"/>
            <w:noWrap/>
            <w:vAlign w:val="bottom"/>
            <w:hideMark/>
          </w:tcPr>
          <w:p w14:paraId="773A376E" w14:textId="149FA26E"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12,270</w:t>
            </w:r>
          </w:p>
        </w:tc>
        <w:tc>
          <w:tcPr>
            <w:tcW w:w="662" w:type="dxa"/>
            <w:tcBorders>
              <w:top w:val="nil"/>
              <w:left w:val="nil"/>
              <w:bottom w:val="nil"/>
              <w:right w:val="nil"/>
            </w:tcBorders>
            <w:shd w:val="clear" w:color="auto" w:fill="EAF1DD" w:themeFill="accent3" w:themeFillTint="33"/>
            <w:noWrap/>
            <w:vAlign w:val="bottom"/>
            <w:hideMark/>
          </w:tcPr>
          <w:p w14:paraId="0F6D65EF" w14:textId="34D57186"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11,836</w:t>
            </w:r>
          </w:p>
        </w:tc>
        <w:tc>
          <w:tcPr>
            <w:tcW w:w="662" w:type="dxa"/>
            <w:tcBorders>
              <w:top w:val="nil"/>
              <w:left w:val="nil"/>
              <w:bottom w:val="nil"/>
              <w:right w:val="nil"/>
            </w:tcBorders>
            <w:shd w:val="clear" w:color="auto" w:fill="EAF1DD" w:themeFill="accent3" w:themeFillTint="33"/>
            <w:noWrap/>
            <w:vAlign w:val="bottom"/>
            <w:hideMark/>
          </w:tcPr>
          <w:p w14:paraId="72EC35BF" w14:textId="3585707C"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12,367</w:t>
            </w:r>
          </w:p>
        </w:tc>
        <w:tc>
          <w:tcPr>
            <w:tcW w:w="662" w:type="dxa"/>
            <w:tcBorders>
              <w:top w:val="nil"/>
              <w:left w:val="nil"/>
              <w:bottom w:val="nil"/>
              <w:right w:val="nil"/>
            </w:tcBorders>
            <w:shd w:val="clear" w:color="auto" w:fill="EAF1DD" w:themeFill="accent3" w:themeFillTint="33"/>
            <w:noWrap/>
            <w:vAlign w:val="bottom"/>
            <w:hideMark/>
          </w:tcPr>
          <w:p w14:paraId="6AD6DBDE" w14:textId="384EC88E"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13,078</w:t>
            </w:r>
          </w:p>
        </w:tc>
        <w:tc>
          <w:tcPr>
            <w:tcW w:w="662" w:type="dxa"/>
            <w:tcBorders>
              <w:top w:val="nil"/>
              <w:left w:val="nil"/>
              <w:bottom w:val="nil"/>
              <w:right w:val="nil"/>
            </w:tcBorders>
            <w:shd w:val="clear" w:color="auto" w:fill="EAF1DD" w:themeFill="accent3" w:themeFillTint="33"/>
            <w:noWrap/>
            <w:vAlign w:val="bottom"/>
            <w:hideMark/>
          </w:tcPr>
          <w:p w14:paraId="4FBDBAAD" w14:textId="1AE71A92"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12,375</w:t>
            </w:r>
          </w:p>
        </w:tc>
        <w:tc>
          <w:tcPr>
            <w:tcW w:w="662" w:type="dxa"/>
            <w:tcBorders>
              <w:top w:val="nil"/>
              <w:left w:val="nil"/>
              <w:bottom w:val="nil"/>
              <w:right w:val="nil"/>
            </w:tcBorders>
            <w:shd w:val="clear" w:color="auto" w:fill="EAF1DD" w:themeFill="accent3" w:themeFillTint="33"/>
            <w:noWrap/>
            <w:vAlign w:val="bottom"/>
            <w:hideMark/>
          </w:tcPr>
          <w:p w14:paraId="3CAF4F65" w14:textId="3EDD2A24"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12,723</w:t>
            </w:r>
          </w:p>
        </w:tc>
        <w:tc>
          <w:tcPr>
            <w:tcW w:w="662" w:type="dxa"/>
            <w:tcBorders>
              <w:top w:val="nil"/>
              <w:left w:val="nil"/>
              <w:bottom w:val="nil"/>
              <w:right w:val="nil"/>
            </w:tcBorders>
            <w:shd w:val="clear" w:color="auto" w:fill="EAF1DD" w:themeFill="accent3" w:themeFillTint="33"/>
            <w:noWrap/>
            <w:vAlign w:val="bottom"/>
            <w:hideMark/>
          </w:tcPr>
          <w:p w14:paraId="2C85B9A6" w14:textId="1CC6EA69"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12,825</w:t>
            </w:r>
          </w:p>
        </w:tc>
        <w:tc>
          <w:tcPr>
            <w:tcW w:w="820" w:type="dxa"/>
            <w:tcBorders>
              <w:top w:val="nil"/>
              <w:left w:val="nil"/>
              <w:bottom w:val="nil"/>
              <w:right w:val="nil"/>
            </w:tcBorders>
            <w:shd w:val="clear" w:color="auto" w:fill="EAF1DD" w:themeFill="accent3" w:themeFillTint="33"/>
            <w:noWrap/>
            <w:vAlign w:val="bottom"/>
            <w:hideMark/>
          </w:tcPr>
          <w:p w14:paraId="212FD49F" w14:textId="39ED83E0"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12,421</w:t>
            </w:r>
          </w:p>
        </w:tc>
      </w:tr>
      <w:tr w:rsidR="008F4D0E" w14:paraId="1D3F5D63" w14:textId="77777777" w:rsidTr="008F4D0E">
        <w:trPr>
          <w:trHeight w:val="300"/>
        </w:trPr>
        <w:tc>
          <w:tcPr>
            <w:tcW w:w="548" w:type="dxa"/>
            <w:tcBorders>
              <w:top w:val="nil"/>
              <w:left w:val="nil"/>
              <w:bottom w:val="nil"/>
              <w:right w:val="nil"/>
            </w:tcBorders>
            <w:shd w:val="clear" w:color="000000" w:fill="E2EFDA"/>
            <w:noWrap/>
            <w:vAlign w:val="bottom"/>
            <w:hideMark/>
          </w:tcPr>
          <w:p w14:paraId="704234A1" w14:textId="77777777" w:rsidR="008F4D0E" w:rsidRPr="00B748FF" w:rsidRDefault="008F4D0E" w:rsidP="008F4D0E">
            <w:pPr>
              <w:jc w:val="center"/>
              <w:rPr>
                <w:rFonts w:ascii="Calibri" w:hAnsi="Calibri" w:cs="Calibri"/>
                <w:color w:val="000000"/>
                <w:sz w:val="16"/>
                <w:szCs w:val="16"/>
              </w:rPr>
            </w:pPr>
            <w:r w:rsidRPr="00B748FF">
              <w:rPr>
                <w:rFonts w:ascii="Calibri" w:hAnsi="Calibri" w:cs="Calibri"/>
                <w:color w:val="000000"/>
                <w:sz w:val="16"/>
                <w:szCs w:val="16"/>
              </w:rPr>
              <w:t>744</w:t>
            </w:r>
          </w:p>
        </w:tc>
        <w:tc>
          <w:tcPr>
            <w:tcW w:w="662" w:type="dxa"/>
            <w:tcBorders>
              <w:top w:val="nil"/>
              <w:left w:val="nil"/>
              <w:bottom w:val="nil"/>
              <w:right w:val="nil"/>
            </w:tcBorders>
            <w:shd w:val="clear" w:color="auto" w:fill="EAF1DD" w:themeFill="accent3" w:themeFillTint="33"/>
            <w:noWrap/>
            <w:vAlign w:val="bottom"/>
            <w:hideMark/>
          </w:tcPr>
          <w:p w14:paraId="36E9E78B" w14:textId="72D874B3"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12,234</w:t>
            </w:r>
          </w:p>
        </w:tc>
        <w:tc>
          <w:tcPr>
            <w:tcW w:w="662" w:type="dxa"/>
            <w:tcBorders>
              <w:top w:val="nil"/>
              <w:left w:val="nil"/>
              <w:bottom w:val="nil"/>
              <w:right w:val="nil"/>
            </w:tcBorders>
            <w:shd w:val="clear" w:color="auto" w:fill="EAF1DD" w:themeFill="accent3" w:themeFillTint="33"/>
            <w:noWrap/>
            <w:vAlign w:val="bottom"/>
            <w:hideMark/>
          </w:tcPr>
          <w:p w14:paraId="46649E6E" w14:textId="6514FF98"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12,480</w:t>
            </w:r>
          </w:p>
        </w:tc>
        <w:tc>
          <w:tcPr>
            <w:tcW w:w="662" w:type="dxa"/>
            <w:tcBorders>
              <w:top w:val="nil"/>
              <w:left w:val="nil"/>
              <w:bottom w:val="nil"/>
              <w:right w:val="nil"/>
            </w:tcBorders>
            <w:shd w:val="clear" w:color="auto" w:fill="EAF1DD" w:themeFill="accent3" w:themeFillTint="33"/>
            <w:noWrap/>
            <w:vAlign w:val="bottom"/>
            <w:hideMark/>
          </w:tcPr>
          <w:p w14:paraId="1D1EC11F" w14:textId="65150687"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12,510</w:t>
            </w:r>
          </w:p>
        </w:tc>
        <w:tc>
          <w:tcPr>
            <w:tcW w:w="662" w:type="dxa"/>
            <w:tcBorders>
              <w:top w:val="nil"/>
              <w:left w:val="nil"/>
              <w:bottom w:val="nil"/>
              <w:right w:val="nil"/>
            </w:tcBorders>
            <w:shd w:val="clear" w:color="auto" w:fill="EAF1DD" w:themeFill="accent3" w:themeFillTint="33"/>
            <w:noWrap/>
            <w:vAlign w:val="bottom"/>
            <w:hideMark/>
          </w:tcPr>
          <w:p w14:paraId="3FE38FF6" w14:textId="3C1AA9C6"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13,135</w:t>
            </w:r>
          </w:p>
        </w:tc>
        <w:tc>
          <w:tcPr>
            <w:tcW w:w="662" w:type="dxa"/>
            <w:tcBorders>
              <w:top w:val="nil"/>
              <w:left w:val="nil"/>
              <w:bottom w:val="nil"/>
              <w:right w:val="nil"/>
            </w:tcBorders>
            <w:shd w:val="clear" w:color="auto" w:fill="EAF1DD" w:themeFill="accent3" w:themeFillTint="33"/>
            <w:noWrap/>
            <w:vAlign w:val="bottom"/>
            <w:hideMark/>
          </w:tcPr>
          <w:p w14:paraId="1816B812" w14:textId="4002D9C2"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12,287</w:t>
            </w:r>
          </w:p>
        </w:tc>
        <w:tc>
          <w:tcPr>
            <w:tcW w:w="662" w:type="dxa"/>
            <w:tcBorders>
              <w:top w:val="nil"/>
              <w:left w:val="nil"/>
              <w:bottom w:val="nil"/>
              <w:right w:val="nil"/>
            </w:tcBorders>
            <w:shd w:val="clear" w:color="auto" w:fill="EAF1DD" w:themeFill="accent3" w:themeFillTint="33"/>
            <w:noWrap/>
            <w:vAlign w:val="bottom"/>
            <w:hideMark/>
          </w:tcPr>
          <w:p w14:paraId="3AA04D00" w14:textId="727478A2"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11,899</w:t>
            </w:r>
          </w:p>
        </w:tc>
        <w:tc>
          <w:tcPr>
            <w:tcW w:w="662" w:type="dxa"/>
            <w:tcBorders>
              <w:top w:val="nil"/>
              <w:left w:val="nil"/>
              <w:bottom w:val="nil"/>
              <w:right w:val="nil"/>
            </w:tcBorders>
            <w:shd w:val="clear" w:color="auto" w:fill="EAF1DD" w:themeFill="accent3" w:themeFillTint="33"/>
            <w:noWrap/>
            <w:vAlign w:val="bottom"/>
            <w:hideMark/>
          </w:tcPr>
          <w:p w14:paraId="32B6D743" w14:textId="622DEDD5"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11,914</w:t>
            </w:r>
          </w:p>
        </w:tc>
        <w:tc>
          <w:tcPr>
            <w:tcW w:w="662" w:type="dxa"/>
            <w:tcBorders>
              <w:top w:val="nil"/>
              <w:left w:val="nil"/>
              <w:bottom w:val="nil"/>
              <w:right w:val="nil"/>
            </w:tcBorders>
            <w:shd w:val="clear" w:color="auto" w:fill="EAF1DD" w:themeFill="accent3" w:themeFillTint="33"/>
            <w:noWrap/>
            <w:vAlign w:val="bottom"/>
            <w:hideMark/>
          </w:tcPr>
          <w:p w14:paraId="2B6CEC26" w14:textId="719BD0A2"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11,953</w:t>
            </w:r>
          </w:p>
        </w:tc>
        <w:tc>
          <w:tcPr>
            <w:tcW w:w="662" w:type="dxa"/>
            <w:tcBorders>
              <w:top w:val="nil"/>
              <w:left w:val="nil"/>
              <w:bottom w:val="nil"/>
              <w:right w:val="nil"/>
            </w:tcBorders>
            <w:shd w:val="clear" w:color="auto" w:fill="EAF1DD" w:themeFill="accent3" w:themeFillTint="33"/>
            <w:noWrap/>
            <w:vAlign w:val="bottom"/>
            <w:hideMark/>
          </w:tcPr>
          <w:p w14:paraId="0CAC3A3C" w14:textId="695DE49C"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12,257</w:t>
            </w:r>
          </w:p>
        </w:tc>
        <w:tc>
          <w:tcPr>
            <w:tcW w:w="662" w:type="dxa"/>
            <w:tcBorders>
              <w:top w:val="nil"/>
              <w:left w:val="nil"/>
              <w:bottom w:val="nil"/>
              <w:right w:val="nil"/>
            </w:tcBorders>
            <w:shd w:val="clear" w:color="auto" w:fill="EAF1DD" w:themeFill="accent3" w:themeFillTint="33"/>
            <w:noWrap/>
            <w:vAlign w:val="bottom"/>
            <w:hideMark/>
          </w:tcPr>
          <w:p w14:paraId="4642CDC3" w14:textId="042D43F9"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11,788</w:t>
            </w:r>
          </w:p>
        </w:tc>
        <w:tc>
          <w:tcPr>
            <w:tcW w:w="662" w:type="dxa"/>
            <w:tcBorders>
              <w:top w:val="nil"/>
              <w:left w:val="nil"/>
              <w:bottom w:val="nil"/>
              <w:right w:val="nil"/>
            </w:tcBorders>
            <w:shd w:val="clear" w:color="auto" w:fill="EAF1DD" w:themeFill="accent3" w:themeFillTint="33"/>
            <w:noWrap/>
            <w:vAlign w:val="bottom"/>
            <w:hideMark/>
          </w:tcPr>
          <w:p w14:paraId="0BDC9400" w14:textId="196C41E0"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12,334</w:t>
            </w:r>
          </w:p>
        </w:tc>
        <w:tc>
          <w:tcPr>
            <w:tcW w:w="662" w:type="dxa"/>
            <w:tcBorders>
              <w:top w:val="nil"/>
              <w:left w:val="nil"/>
              <w:bottom w:val="nil"/>
              <w:right w:val="nil"/>
            </w:tcBorders>
            <w:shd w:val="clear" w:color="auto" w:fill="EAF1DD" w:themeFill="accent3" w:themeFillTint="33"/>
            <w:noWrap/>
            <w:vAlign w:val="bottom"/>
            <w:hideMark/>
          </w:tcPr>
          <w:p w14:paraId="28267588" w14:textId="3D0CD778"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13,028</w:t>
            </w:r>
          </w:p>
        </w:tc>
        <w:tc>
          <w:tcPr>
            <w:tcW w:w="662" w:type="dxa"/>
            <w:tcBorders>
              <w:top w:val="nil"/>
              <w:left w:val="nil"/>
              <w:bottom w:val="nil"/>
              <w:right w:val="nil"/>
            </w:tcBorders>
            <w:shd w:val="clear" w:color="auto" w:fill="EAF1DD" w:themeFill="accent3" w:themeFillTint="33"/>
            <w:noWrap/>
            <w:vAlign w:val="bottom"/>
            <w:hideMark/>
          </w:tcPr>
          <w:p w14:paraId="6677985A" w14:textId="58604ACB"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12,340</w:t>
            </w:r>
          </w:p>
        </w:tc>
        <w:tc>
          <w:tcPr>
            <w:tcW w:w="662" w:type="dxa"/>
            <w:tcBorders>
              <w:top w:val="nil"/>
              <w:left w:val="nil"/>
              <w:bottom w:val="nil"/>
              <w:right w:val="nil"/>
            </w:tcBorders>
            <w:shd w:val="clear" w:color="auto" w:fill="EAF1DD" w:themeFill="accent3" w:themeFillTint="33"/>
            <w:noWrap/>
            <w:vAlign w:val="bottom"/>
            <w:hideMark/>
          </w:tcPr>
          <w:p w14:paraId="151CAC82" w14:textId="1791A8F1"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12,609</w:t>
            </w:r>
          </w:p>
        </w:tc>
        <w:tc>
          <w:tcPr>
            <w:tcW w:w="662" w:type="dxa"/>
            <w:tcBorders>
              <w:top w:val="nil"/>
              <w:left w:val="nil"/>
              <w:bottom w:val="nil"/>
              <w:right w:val="nil"/>
            </w:tcBorders>
            <w:shd w:val="clear" w:color="auto" w:fill="EAF1DD" w:themeFill="accent3" w:themeFillTint="33"/>
            <w:noWrap/>
            <w:vAlign w:val="bottom"/>
            <w:hideMark/>
          </w:tcPr>
          <w:p w14:paraId="0812BBB7" w14:textId="1E31B357"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12,716</w:t>
            </w:r>
          </w:p>
        </w:tc>
        <w:tc>
          <w:tcPr>
            <w:tcW w:w="820" w:type="dxa"/>
            <w:tcBorders>
              <w:top w:val="nil"/>
              <w:left w:val="nil"/>
              <w:bottom w:val="nil"/>
              <w:right w:val="nil"/>
            </w:tcBorders>
            <w:shd w:val="clear" w:color="auto" w:fill="EAF1DD" w:themeFill="accent3" w:themeFillTint="33"/>
            <w:noWrap/>
            <w:vAlign w:val="bottom"/>
            <w:hideMark/>
          </w:tcPr>
          <w:p w14:paraId="51B80FB4" w14:textId="382890DD" w:rsidR="008F4D0E" w:rsidRPr="00B748FF" w:rsidRDefault="008F4D0E" w:rsidP="008F4D0E">
            <w:pPr>
              <w:jc w:val="center"/>
              <w:rPr>
                <w:rFonts w:ascii="Calibri" w:hAnsi="Calibri" w:cs="Calibri"/>
                <w:color w:val="000000"/>
                <w:sz w:val="16"/>
                <w:szCs w:val="16"/>
              </w:rPr>
            </w:pPr>
            <w:r>
              <w:rPr>
                <w:rFonts w:ascii="Calibri" w:hAnsi="Calibri" w:cs="Calibri"/>
                <w:color w:val="000000"/>
                <w:sz w:val="16"/>
                <w:szCs w:val="16"/>
              </w:rPr>
              <w:t>12,366</w:t>
            </w:r>
          </w:p>
        </w:tc>
      </w:tr>
    </w:tbl>
    <w:p w14:paraId="22EE4F25" w14:textId="77777777" w:rsidR="007261C7" w:rsidRDefault="007261C7">
      <w:bookmarkStart w:id="3" w:name="_abc38024_c0f2_4835_ab03_3dee2c0cc71c"/>
      <w:bookmarkEnd w:id="3"/>
      <w:bookmarkEnd w:id="2"/>
    </w:p>
    <w:p w14:paraId="5E2B4FCE" w14:textId="77777777" w:rsidR="00B5059E" w:rsidRDefault="00B5059E" w:rsidP="00E35BA4">
      <w:pPr>
        <w:pStyle w:val="StyleLinespacingMultiple115li"/>
        <w:rPr>
          <w:u w:val="single"/>
        </w:rPr>
      </w:pPr>
    </w:p>
    <w:p w14:paraId="1A2C6946" w14:textId="3EA16B00" w:rsidR="00E35BA4" w:rsidRPr="00D01089" w:rsidRDefault="00E35BA4" w:rsidP="00E35BA4">
      <w:pPr>
        <w:pStyle w:val="StyleLinespacingMultiple115li"/>
        <w:rPr>
          <w:u w:val="single"/>
        </w:rPr>
      </w:pPr>
      <w:r w:rsidRPr="00D01089">
        <w:rPr>
          <w:u w:val="single"/>
        </w:rPr>
        <w:t xml:space="preserve">Weather Zone </w:t>
      </w:r>
      <w:r>
        <w:rPr>
          <w:u w:val="single"/>
        </w:rPr>
        <w:t>Normal Weather Winter</w:t>
      </w:r>
      <w:r w:rsidRPr="00D01089">
        <w:rPr>
          <w:u w:val="single"/>
        </w:rPr>
        <w:t xml:space="preserve"> Peak Demand</w:t>
      </w:r>
      <w:r>
        <w:rPr>
          <w:u w:val="single"/>
        </w:rPr>
        <w:t xml:space="preserve"> Forecast</w:t>
      </w:r>
    </w:p>
    <w:p w14:paraId="34CF72D4" w14:textId="77777777" w:rsidR="00E35BA4" w:rsidRDefault="00E35BA4" w:rsidP="00E35BA4">
      <w:pPr>
        <w:pStyle w:val="StyleLinespacingMultiple115li"/>
      </w:pPr>
    </w:p>
    <w:p w14:paraId="15750509" w14:textId="527FDF61" w:rsidR="00E35BA4" w:rsidRDefault="00E35BA4" w:rsidP="00E35BA4">
      <w:pPr>
        <w:pStyle w:val="StyleLinespacingMultiple115li"/>
      </w:pPr>
      <w:r>
        <w:t>The fif</w:t>
      </w:r>
      <w:r w:rsidRPr="00133BCF">
        <w:t xml:space="preserve">teen weather load forecast scenarios are used as the basis for creating </w:t>
      </w:r>
      <w:r>
        <w:t>the</w:t>
      </w:r>
      <w:r w:rsidRPr="00133BCF">
        <w:t xml:space="preserve"> </w:t>
      </w:r>
      <w:r>
        <w:t>weather zone normal weather winter</w:t>
      </w:r>
      <w:r w:rsidRPr="00133BCF">
        <w:t xml:space="preserve"> peak forecast</w:t>
      </w:r>
      <w:r>
        <w:t>.  Each of the fif</w:t>
      </w:r>
      <w:r w:rsidRPr="00133BCF">
        <w:t xml:space="preserve">teen hourly </w:t>
      </w:r>
      <w:r>
        <w:t xml:space="preserve">weather load </w:t>
      </w:r>
      <w:r w:rsidRPr="00133BCF">
        <w:t>forecast scenarios are separated into individual calendar year forecasts</w:t>
      </w:r>
      <w:r>
        <w:t xml:space="preserve"> (covering calendar years 202</w:t>
      </w:r>
      <w:r w:rsidR="00DA2780">
        <w:t>4</w:t>
      </w:r>
      <w:r>
        <w:t>-203</w:t>
      </w:r>
      <w:r w:rsidR="00DA2780">
        <w:t>3</w:t>
      </w:r>
      <w:r>
        <w:t>).  The maximum forecasted hourly value occurring during the winter season (defined as December through March) is determined for each year</w:t>
      </w:r>
      <w:r w:rsidRPr="00133BCF">
        <w:t xml:space="preserve">. </w:t>
      </w:r>
      <w:r>
        <w:t xml:space="preserve">The winter peak </w:t>
      </w:r>
    </w:p>
    <w:p w14:paraId="00A01767" w14:textId="71087905" w:rsidR="00E35BA4" w:rsidRDefault="00E35BA4" w:rsidP="00E35BA4">
      <w:pPr>
        <w:pStyle w:val="StyleLinespacingMultiple115li"/>
      </w:pPr>
      <w:r>
        <w:t xml:space="preserve">demand values from each weather scenario for a particular year are averaged to determine the normal weather forecasted winter peak value.  </w:t>
      </w:r>
      <w:r w:rsidRPr="00133BCF">
        <w:t xml:space="preserve">For example, to determine the normal weather forecasted </w:t>
      </w:r>
      <w:r>
        <w:t xml:space="preserve">winter </w:t>
      </w:r>
      <w:r w:rsidRPr="00133BCF">
        <w:t>peak value</w:t>
      </w:r>
      <w:r>
        <w:t xml:space="preserve"> for 202</w:t>
      </w:r>
      <w:r w:rsidR="00367166">
        <w:t>4</w:t>
      </w:r>
      <w:r w:rsidRPr="00133BCF">
        <w:t>, take the highest for</w:t>
      </w:r>
      <w:r>
        <w:t>ecasted value from each of the fif</w:t>
      </w:r>
      <w:r w:rsidRPr="00133BCF">
        <w:t>teen weather load forecast scenarios</w:t>
      </w:r>
      <w:r>
        <w:t xml:space="preserve"> for December 202</w:t>
      </w:r>
      <w:r w:rsidR="00367166">
        <w:t>3</w:t>
      </w:r>
      <w:r>
        <w:t xml:space="preserve"> – March 202</w:t>
      </w:r>
      <w:r w:rsidR="00367166">
        <w:t>4</w:t>
      </w:r>
      <w:r w:rsidRPr="00133BCF">
        <w:t xml:space="preserve"> and average them.</w:t>
      </w:r>
      <w:r>
        <w:t xml:space="preserve">  The forecasted winter peak demand is then assigned to January and replaces the previously calculated peak (rank 1) forecasted value for the month of January. </w:t>
      </w:r>
      <w:r w:rsidR="003E37F4">
        <w:t xml:space="preserve">The weather zone </w:t>
      </w:r>
      <w:r w:rsidR="003E37F4">
        <w:lastRenderedPageBreak/>
        <w:t xml:space="preserve">normal weather winter peak demand forecast </w:t>
      </w:r>
      <w:r w:rsidR="001433E6">
        <w:t>is then summed with</w:t>
      </w:r>
      <w:r w:rsidR="003E37F4">
        <w:t xml:space="preserve"> electric vehicle, </w:t>
      </w:r>
      <w:r w:rsidR="007B0253">
        <w:t xml:space="preserve">rooftop </w:t>
      </w:r>
      <w:r w:rsidR="003E37F4">
        <w:t>PV, large flexible load forecasts</w:t>
      </w:r>
      <w:r w:rsidR="00DE6F75">
        <w:t>, contracted loads, and officer letter loads.</w:t>
      </w:r>
    </w:p>
    <w:p w14:paraId="71697AF3" w14:textId="77777777" w:rsidR="00715FC8" w:rsidRPr="00941232" w:rsidRDefault="00715FC8" w:rsidP="00715FC8">
      <w:pPr>
        <w:pStyle w:val="StyleLinespacingMultiple115li"/>
      </w:pPr>
      <w:r w:rsidRPr="00941232">
        <w:t>Example:</w:t>
      </w:r>
    </w:p>
    <w:p w14:paraId="769EC0D3" w14:textId="651F4795" w:rsidR="00715FC8" w:rsidRDefault="00715FC8" w:rsidP="00715FC8">
      <w:pPr>
        <w:pStyle w:val="StyleLinespacingMultiple115li"/>
      </w:pPr>
      <w:r>
        <w:t xml:space="preserve">Table </w:t>
      </w:r>
      <w:r w:rsidR="0029373C">
        <w:t>4</w:t>
      </w:r>
      <w:r>
        <w:t xml:space="preserve"> (below) shows the forecasted winter peak demand for the Coast weather zone for the winter of 202</w:t>
      </w:r>
      <w:r w:rsidR="00587380">
        <w:t>4</w:t>
      </w:r>
      <w:r>
        <w:t xml:space="preserve"> based on the historical weather years of 200</w:t>
      </w:r>
      <w:r w:rsidR="00587380">
        <w:t>8</w:t>
      </w:r>
      <w:r>
        <w:t>-202</w:t>
      </w:r>
      <w:r w:rsidR="00587380">
        <w:t>2</w:t>
      </w:r>
      <w:r w:rsidRPr="004442ED">
        <w:t xml:space="preserve">.  The forecasted </w:t>
      </w:r>
      <w:r w:rsidR="0092243D">
        <w:t>net</w:t>
      </w:r>
      <w:r>
        <w:t xml:space="preserve"> </w:t>
      </w:r>
      <w:r w:rsidRPr="004442ED">
        <w:t>winter peak demand for Coast is 1</w:t>
      </w:r>
      <w:r w:rsidR="00E64D71">
        <w:t>7</w:t>
      </w:r>
      <w:r w:rsidRPr="004442ED">
        <w:t>,</w:t>
      </w:r>
      <w:r w:rsidR="00526A33">
        <w:t>169</w:t>
      </w:r>
      <w:r w:rsidRPr="004442ED">
        <w:t xml:space="preserve"> MW.</w:t>
      </w:r>
    </w:p>
    <w:p w14:paraId="1FA85F03" w14:textId="77777777" w:rsidR="006C73B7" w:rsidRDefault="006C73B7" w:rsidP="00947C8F">
      <w:pPr>
        <w:spacing w:line="276" w:lineRule="auto"/>
        <w:jc w:val="center"/>
        <w:rPr>
          <w:b/>
          <w:u w:val="single"/>
        </w:rPr>
      </w:pPr>
    </w:p>
    <w:p w14:paraId="379CCF54" w14:textId="2CFBB451" w:rsidR="0047205D" w:rsidRDefault="00947C8F" w:rsidP="0047205D">
      <w:pPr>
        <w:spacing w:line="276" w:lineRule="auto"/>
        <w:jc w:val="center"/>
        <w:rPr>
          <w:b/>
          <w:u w:val="single"/>
        </w:rPr>
      </w:pPr>
      <w:r w:rsidRPr="00D776C0">
        <w:rPr>
          <w:b/>
          <w:u w:val="single"/>
        </w:rPr>
        <w:t xml:space="preserve">Figure </w:t>
      </w:r>
      <w:r w:rsidR="0029373C">
        <w:rPr>
          <w:b/>
          <w:u w:val="single"/>
        </w:rPr>
        <w:t>4</w:t>
      </w:r>
      <w:r w:rsidRPr="00D776C0">
        <w:rPr>
          <w:b/>
          <w:u w:val="single"/>
        </w:rPr>
        <w:t>: ERCOT W</w:t>
      </w:r>
      <w:r>
        <w:rPr>
          <w:b/>
          <w:u w:val="single"/>
        </w:rPr>
        <w:t>inter Coincident Peak</w:t>
      </w:r>
    </w:p>
    <w:p w14:paraId="794E5596" w14:textId="69762F19" w:rsidR="0047205D" w:rsidRDefault="006709A8" w:rsidP="003267F1">
      <w:pPr>
        <w:jc w:val="center"/>
        <w:rPr>
          <w:b/>
          <w:u w:val="single"/>
        </w:rPr>
      </w:pPr>
      <w:r>
        <w:rPr>
          <w:noProof/>
        </w:rPr>
        <w:drawing>
          <wp:inline distT="0" distB="0" distL="0" distR="0" wp14:anchorId="75F9B655" wp14:editId="0DF54A85">
            <wp:extent cx="6930758" cy="4041343"/>
            <wp:effectExtent l="0" t="0" r="3810" b="16510"/>
            <wp:docPr id="6" name="Chart 6">
              <a:extLst xmlns:a="http://schemas.openxmlformats.org/drawingml/2006/main">
                <a:ext uri="{FF2B5EF4-FFF2-40B4-BE49-F238E27FC236}">
                  <a16:creationId xmlns:a16="http://schemas.microsoft.com/office/drawing/2014/main" id="{5E9D8866-866A-7BE2-F77C-8714BCB093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ACBC81A" w14:textId="2B3207FC" w:rsidR="00947C8F" w:rsidRDefault="00947C8F" w:rsidP="00715FC8">
      <w:pPr>
        <w:pStyle w:val="StyleLinespacingMultiple115li"/>
      </w:pPr>
    </w:p>
    <w:p w14:paraId="43269FAB" w14:textId="77777777" w:rsidR="00CF0BFA" w:rsidRDefault="00CF0BFA" w:rsidP="00E35BA4">
      <w:pPr>
        <w:pStyle w:val="StyleLinespacingMultiple115li"/>
      </w:pPr>
    </w:p>
    <w:p w14:paraId="0DD19465" w14:textId="77777777" w:rsidR="00DA5789" w:rsidRDefault="00DA5789" w:rsidP="00DA5789">
      <w:pPr>
        <w:pStyle w:val="StyleLinespacingMultiple115li"/>
        <w:rPr>
          <w:u w:val="single"/>
        </w:rPr>
      </w:pPr>
      <w:r w:rsidRPr="00D01089">
        <w:rPr>
          <w:u w:val="single"/>
        </w:rPr>
        <w:t xml:space="preserve">Weather Zone </w:t>
      </w:r>
      <w:r>
        <w:rPr>
          <w:u w:val="single"/>
        </w:rPr>
        <w:t>Normal Weather Hourly Forecast Mapping to Calendar</w:t>
      </w:r>
    </w:p>
    <w:p w14:paraId="3C369DEA" w14:textId="77777777" w:rsidR="00DA5789" w:rsidRDefault="00DA5789" w:rsidP="00DA5789">
      <w:pPr>
        <w:pStyle w:val="StyleLinespacingMultiple115li"/>
      </w:pPr>
    </w:p>
    <w:p w14:paraId="1654EED4" w14:textId="0E67539D" w:rsidR="00DA5789" w:rsidRDefault="00DA5789" w:rsidP="00DA5789">
      <w:pPr>
        <w:pStyle w:val="StyleLinespacingMultiple115li"/>
      </w:pPr>
      <w:r>
        <w:t xml:space="preserve">The next step is to map the weather zone average hourly forecasts into a representative calendar.  Remember that the average hourly forecast is ranked from highest to lowest value within each forecasted month.  The sorted hourly forecasted values need to be mapped into a representative time-sequenced shape.  This was accomplished by looking at historical load data from calendar years </w:t>
      </w:r>
      <w:r w:rsidRPr="004442ED">
        <w:t>200</w:t>
      </w:r>
      <w:r w:rsidR="00953D04">
        <w:t>8</w:t>
      </w:r>
      <w:r w:rsidRPr="004442ED">
        <w:t>-20</w:t>
      </w:r>
      <w:r>
        <w:t>2</w:t>
      </w:r>
      <w:r w:rsidR="00953D04">
        <w:t>2</w:t>
      </w:r>
      <w:r>
        <w:t>.  For each month in each historical year, the rank of all of the observations for each day and hour was determined.  Then, the corresponding forecasted average hourly values were mapped to the day and hour from the historical year with the same month and the same rank.</w:t>
      </w:r>
      <w:r w:rsidR="00727317">
        <w:t xml:space="preserve"> </w:t>
      </w:r>
    </w:p>
    <w:p w14:paraId="4BAD969C" w14:textId="77777777" w:rsidR="00B5059E" w:rsidRDefault="00B5059E" w:rsidP="008E294A">
      <w:pPr>
        <w:pStyle w:val="StyleLinespacingMultiple115li"/>
      </w:pPr>
    </w:p>
    <w:p w14:paraId="2096E07E" w14:textId="01238B8F" w:rsidR="008E294A" w:rsidRDefault="008E294A" w:rsidP="008E294A">
      <w:pPr>
        <w:pStyle w:val="StyleLinespacingMultiple115li"/>
      </w:pPr>
      <w:r>
        <w:t xml:space="preserve">Example: </w:t>
      </w:r>
    </w:p>
    <w:p w14:paraId="572F11F2" w14:textId="5EA36CCD" w:rsidR="008E294A" w:rsidRDefault="008E294A" w:rsidP="008E294A">
      <w:pPr>
        <w:pStyle w:val="StyleLinespacingMultiple115li"/>
      </w:pPr>
      <w:r>
        <w:lastRenderedPageBreak/>
        <w:t>The Coast Gross Summer Peak Forecast for 2024 is 21,</w:t>
      </w:r>
      <w:r w:rsidR="006E6AF6">
        <w:t>787</w:t>
      </w:r>
      <w:r>
        <w:t xml:space="preserve"> MW.  Also remember that the forecasted summer peak value is assigned to the month of August.  In 2016, Coast’s Summer Peak occurred on 8/09/2016 @ 1600.  Using the 2016 mapping ranking, the Coast Summer Peak value is assigned to 8/09 @ 1600 for all forecasted years (2024-2033).  This means that the Coast Summer Peak will always occur on 8/09 @ 1600 for all forecasted years that are mapped to 2016.</w:t>
      </w:r>
    </w:p>
    <w:p w14:paraId="526E1A6C" w14:textId="77777777" w:rsidR="008E294A" w:rsidRDefault="008E294A" w:rsidP="008E294A">
      <w:pPr>
        <w:pStyle w:val="StyleLinespacingMultiple115li"/>
      </w:pPr>
    </w:p>
    <w:p w14:paraId="2ADBC840" w14:textId="64F97E45" w:rsidR="008E294A" w:rsidRDefault="008E294A" w:rsidP="008E294A">
      <w:pPr>
        <w:pStyle w:val="StyleLinespacingMultiple115li"/>
      </w:pPr>
      <w:r>
        <w:t>Example:</w:t>
      </w:r>
    </w:p>
    <w:p w14:paraId="4C9E0382" w14:textId="5143A61D" w:rsidR="008E294A" w:rsidRDefault="008E294A" w:rsidP="008E294A">
      <w:pPr>
        <w:pStyle w:val="StyleLinespacingMultiple115li"/>
      </w:pPr>
      <w:r>
        <w:t>In 2015, Coast’s Summer Peak occurred on 8/11/2015 @ 1600.  Using the 2015 mapping ranking, the Coast Summer Peak value is assigned to 8/11 @ 1600 for all forecasted years (2024-2033).  This means that the Coast Summer Peak will always occur on 8/11 @ 1600 for all forecasted years that are mapped to 2015.</w:t>
      </w:r>
    </w:p>
    <w:p w14:paraId="6518C8DE" w14:textId="77777777" w:rsidR="00B5059E" w:rsidRDefault="00B5059E" w:rsidP="00B5059E">
      <w:pPr>
        <w:spacing w:line="276" w:lineRule="auto"/>
        <w:jc w:val="center"/>
      </w:pPr>
      <w:r>
        <w:t xml:space="preserve"> </w:t>
      </w:r>
    </w:p>
    <w:p w14:paraId="695BAC27" w14:textId="77777777" w:rsidR="00B5059E" w:rsidRDefault="00B5059E" w:rsidP="00B5059E">
      <w:pPr>
        <w:spacing w:line="276" w:lineRule="auto"/>
        <w:jc w:val="center"/>
        <w:rPr>
          <w:b/>
          <w:u w:val="single"/>
        </w:rPr>
      </w:pPr>
    </w:p>
    <w:p w14:paraId="74DD5601" w14:textId="77777777" w:rsidR="00B5059E" w:rsidRDefault="00B5059E" w:rsidP="00B5059E">
      <w:pPr>
        <w:spacing w:line="276" w:lineRule="auto"/>
        <w:jc w:val="center"/>
        <w:rPr>
          <w:b/>
          <w:u w:val="single"/>
        </w:rPr>
      </w:pPr>
    </w:p>
    <w:p w14:paraId="7993A9CE" w14:textId="1438707A" w:rsidR="00B5059E" w:rsidRPr="00B5059E" w:rsidRDefault="00B5059E" w:rsidP="00B5059E">
      <w:pPr>
        <w:spacing w:line="276" w:lineRule="auto"/>
        <w:jc w:val="center"/>
        <w:rPr>
          <w:rFonts w:asciiTheme="minorHAnsi" w:hAnsiTheme="minorHAnsi"/>
          <w:b/>
          <w:sz w:val="20"/>
        </w:rPr>
      </w:pPr>
      <w:r w:rsidRPr="00E76ABC">
        <w:rPr>
          <w:rFonts w:asciiTheme="minorHAnsi" w:hAnsiTheme="minorHAnsi"/>
          <w:b/>
          <w:sz w:val="20"/>
        </w:rPr>
        <w:t>Historical Weather Year</w:t>
      </w:r>
    </w:p>
    <w:p w14:paraId="59216E69" w14:textId="6EE0CF12" w:rsidR="00B5059E" w:rsidRPr="00E76ABC" w:rsidRDefault="00B5059E" w:rsidP="00B5059E">
      <w:pPr>
        <w:spacing w:line="276" w:lineRule="auto"/>
        <w:jc w:val="center"/>
        <w:rPr>
          <w:b/>
          <w:u w:val="single"/>
        </w:rPr>
      </w:pPr>
      <w:r w:rsidRPr="00E76ABC">
        <w:rPr>
          <w:b/>
          <w:u w:val="single"/>
        </w:rPr>
        <w:t xml:space="preserve">Table </w:t>
      </w:r>
      <w:r w:rsidR="0029373C">
        <w:rPr>
          <w:b/>
          <w:u w:val="single"/>
        </w:rPr>
        <w:t>3</w:t>
      </w:r>
      <w:r w:rsidRPr="00E76ABC">
        <w:rPr>
          <w:b/>
          <w:u w:val="single"/>
        </w:rPr>
        <w:t>: Coast Weather Zone 202</w:t>
      </w:r>
      <w:r w:rsidR="00470BEE">
        <w:rPr>
          <w:b/>
          <w:u w:val="single"/>
        </w:rPr>
        <w:t>4</w:t>
      </w:r>
      <w:r w:rsidRPr="00E76ABC">
        <w:rPr>
          <w:b/>
          <w:u w:val="single"/>
        </w:rPr>
        <w:t xml:space="preserve"> Summer Peak Forecast Scenarios</w:t>
      </w:r>
    </w:p>
    <w:tbl>
      <w:tblPr>
        <w:tblW w:w="11298" w:type="dxa"/>
        <w:tblLook w:val="04A0" w:firstRow="1" w:lastRow="0" w:firstColumn="1" w:lastColumn="0" w:noHBand="0" w:noVBand="1"/>
      </w:tblPr>
      <w:tblGrid>
        <w:gridCol w:w="548"/>
        <w:gridCol w:w="662"/>
        <w:gridCol w:w="662"/>
        <w:gridCol w:w="662"/>
        <w:gridCol w:w="662"/>
        <w:gridCol w:w="662"/>
        <w:gridCol w:w="662"/>
        <w:gridCol w:w="662"/>
        <w:gridCol w:w="662"/>
        <w:gridCol w:w="662"/>
        <w:gridCol w:w="662"/>
        <w:gridCol w:w="662"/>
        <w:gridCol w:w="662"/>
        <w:gridCol w:w="662"/>
        <w:gridCol w:w="662"/>
        <w:gridCol w:w="662"/>
        <w:gridCol w:w="820"/>
      </w:tblGrid>
      <w:tr w:rsidR="004C0F71" w14:paraId="2A397563" w14:textId="77777777" w:rsidTr="008A0E3B">
        <w:trPr>
          <w:trHeight w:hRule="exact" w:val="20"/>
        </w:trPr>
        <w:tc>
          <w:tcPr>
            <w:tcW w:w="548" w:type="dxa"/>
            <w:tcBorders>
              <w:top w:val="nil"/>
              <w:left w:val="nil"/>
              <w:bottom w:val="nil"/>
              <w:right w:val="nil"/>
            </w:tcBorders>
            <w:shd w:val="clear" w:color="000000" w:fill="E2EFDA"/>
            <w:noWrap/>
            <w:vAlign w:val="bottom"/>
            <w:hideMark/>
          </w:tcPr>
          <w:p w14:paraId="5A2788FA" w14:textId="77777777" w:rsidR="004C0F71" w:rsidRDefault="004C0F71" w:rsidP="008A0E3B">
            <w:pPr>
              <w:rPr>
                <w:sz w:val="2"/>
              </w:rPr>
            </w:pPr>
          </w:p>
        </w:tc>
        <w:tc>
          <w:tcPr>
            <w:tcW w:w="662" w:type="dxa"/>
            <w:tcBorders>
              <w:top w:val="nil"/>
              <w:left w:val="nil"/>
              <w:bottom w:val="nil"/>
              <w:right w:val="nil"/>
            </w:tcBorders>
            <w:shd w:val="clear" w:color="000000" w:fill="E2EFDA"/>
            <w:noWrap/>
            <w:vAlign w:val="bottom"/>
            <w:hideMark/>
          </w:tcPr>
          <w:p w14:paraId="39BEBB6F" w14:textId="77777777" w:rsidR="004C0F71" w:rsidRDefault="004C0F71" w:rsidP="008A0E3B">
            <w:pPr>
              <w:rPr>
                <w:sz w:val="2"/>
              </w:rPr>
            </w:pPr>
          </w:p>
        </w:tc>
        <w:tc>
          <w:tcPr>
            <w:tcW w:w="662" w:type="dxa"/>
            <w:tcBorders>
              <w:top w:val="nil"/>
              <w:left w:val="nil"/>
              <w:bottom w:val="nil"/>
              <w:right w:val="nil"/>
            </w:tcBorders>
            <w:shd w:val="clear" w:color="000000" w:fill="E2EFDA"/>
            <w:noWrap/>
            <w:vAlign w:val="bottom"/>
            <w:hideMark/>
          </w:tcPr>
          <w:p w14:paraId="65295848" w14:textId="77777777" w:rsidR="004C0F71" w:rsidRDefault="004C0F71" w:rsidP="008A0E3B">
            <w:pPr>
              <w:rPr>
                <w:sz w:val="2"/>
              </w:rPr>
            </w:pPr>
          </w:p>
        </w:tc>
        <w:tc>
          <w:tcPr>
            <w:tcW w:w="662" w:type="dxa"/>
            <w:tcBorders>
              <w:top w:val="nil"/>
              <w:left w:val="nil"/>
              <w:bottom w:val="nil"/>
              <w:right w:val="nil"/>
            </w:tcBorders>
            <w:shd w:val="clear" w:color="000000" w:fill="E2EFDA"/>
            <w:noWrap/>
            <w:vAlign w:val="bottom"/>
            <w:hideMark/>
          </w:tcPr>
          <w:p w14:paraId="7E2C9C84" w14:textId="77777777" w:rsidR="004C0F71" w:rsidRDefault="004C0F71" w:rsidP="008A0E3B">
            <w:pPr>
              <w:rPr>
                <w:sz w:val="2"/>
              </w:rPr>
            </w:pPr>
          </w:p>
        </w:tc>
        <w:tc>
          <w:tcPr>
            <w:tcW w:w="662" w:type="dxa"/>
            <w:tcBorders>
              <w:top w:val="nil"/>
              <w:left w:val="nil"/>
              <w:bottom w:val="nil"/>
              <w:right w:val="nil"/>
            </w:tcBorders>
            <w:shd w:val="clear" w:color="000000" w:fill="E2EFDA"/>
            <w:noWrap/>
            <w:vAlign w:val="bottom"/>
            <w:hideMark/>
          </w:tcPr>
          <w:p w14:paraId="107D7668" w14:textId="77777777" w:rsidR="004C0F71" w:rsidRDefault="004C0F71" w:rsidP="008A0E3B">
            <w:pPr>
              <w:rPr>
                <w:sz w:val="2"/>
              </w:rPr>
            </w:pPr>
          </w:p>
        </w:tc>
        <w:tc>
          <w:tcPr>
            <w:tcW w:w="662" w:type="dxa"/>
            <w:tcBorders>
              <w:top w:val="nil"/>
              <w:left w:val="nil"/>
              <w:bottom w:val="nil"/>
              <w:right w:val="nil"/>
            </w:tcBorders>
            <w:shd w:val="clear" w:color="000000" w:fill="E2EFDA"/>
            <w:noWrap/>
            <w:vAlign w:val="bottom"/>
            <w:hideMark/>
          </w:tcPr>
          <w:p w14:paraId="38343066" w14:textId="77777777" w:rsidR="004C0F71" w:rsidRDefault="004C0F71" w:rsidP="008A0E3B">
            <w:pPr>
              <w:rPr>
                <w:sz w:val="2"/>
              </w:rPr>
            </w:pPr>
          </w:p>
        </w:tc>
        <w:tc>
          <w:tcPr>
            <w:tcW w:w="662" w:type="dxa"/>
            <w:tcBorders>
              <w:top w:val="nil"/>
              <w:left w:val="nil"/>
              <w:bottom w:val="nil"/>
              <w:right w:val="nil"/>
            </w:tcBorders>
            <w:shd w:val="clear" w:color="000000" w:fill="E2EFDA"/>
            <w:noWrap/>
            <w:vAlign w:val="bottom"/>
            <w:hideMark/>
          </w:tcPr>
          <w:p w14:paraId="453190DF" w14:textId="77777777" w:rsidR="004C0F71" w:rsidRDefault="004C0F71" w:rsidP="008A0E3B">
            <w:pPr>
              <w:rPr>
                <w:sz w:val="2"/>
              </w:rPr>
            </w:pPr>
          </w:p>
        </w:tc>
        <w:tc>
          <w:tcPr>
            <w:tcW w:w="662" w:type="dxa"/>
            <w:tcBorders>
              <w:top w:val="nil"/>
              <w:left w:val="nil"/>
              <w:bottom w:val="nil"/>
              <w:right w:val="nil"/>
            </w:tcBorders>
            <w:shd w:val="clear" w:color="000000" w:fill="E2EFDA"/>
            <w:noWrap/>
            <w:vAlign w:val="bottom"/>
            <w:hideMark/>
          </w:tcPr>
          <w:p w14:paraId="198F905C" w14:textId="77777777" w:rsidR="004C0F71" w:rsidRDefault="004C0F71" w:rsidP="008A0E3B">
            <w:pPr>
              <w:rPr>
                <w:sz w:val="2"/>
              </w:rPr>
            </w:pPr>
          </w:p>
        </w:tc>
        <w:tc>
          <w:tcPr>
            <w:tcW w:w="662" w:type="dxa"/>
            <w:tcBorders>
              <w:top w:val="nil"/>
              <w:left w:val="nil"/>
              <w:bottom w:val="nil"/>
              <w:right w:val="nil"/>
            </w:tcBorders>
            <w:shd w:val="clear" w:color="000000" w:fill="E2EFDA"/>
            <w:noWrap/>
            <w:vAlign w:val="bottom"/>
            <w:hideMark/>
          </w:tcPr>
          <w:p w14:paraId="33A1C8A1" w14:textId="77777777" w:rsidR="004C0F71" w:rsidRDefault="004C0F71" w:rsidP="008A0E3B">
            <w:pPr>
              <w:rPr>
                <w:sz w:val="2"/>
              </w:rPr>
            </w:pPr>
          </w:p>
        </w:tc>
        <w:tc>
          <w:tcPr>
            <w:tcW w:w="662" w:type="dxa"/>
            <w:tcBorders>
              <w:top w:val="nil"/>
              <w:left w:val="nil"/>
              <w:bottom w:val="nil"/>
              <w:right w:val="nil"/>
            </w:tcBorders>
            <w:shd w:val="clear" w:color="000000" w:fill="E2EFDA"/>
            <w:noWrap/>
            <w:vAlign w:val="bottom"/>
            <w:hideMark/>
          </w:tcPr>
          <w:p w14:paraId="609A8C99" w14:textId="77777777" w:rsidR="004C0F71" w:rsidRDefault="004C0F71" w:rsidP="008A0E3B">
            <w:pPr>
              <w:rPr>
                <w:sz w:val="2"/>
              </w:rPr>
            </w:pPr>
          </w:p>
        </w:tc>
        <w:tc>
          <w:tcPr>
            <w:tcW w:w="662" w:type="dxa"/>
            <w:tcBorders>
              <w:top w:val="nil"/>
              <w:left w:val="nil"/>
              <w:bottom w:val="nil"/>
              <w:right w:val="nil"/>
            </w:tcBorders>
            <w:shd w:val="clear" w:color="000000" w:fill="E2EFDA"/>
            <w:noWrap/>
            <w:vAlign w:val="bottom"/>
            <w:hideMark/>
          </w:tcPr>
          <w:p w14:paraId="2410A7B2" w14:textId="77777777" w:rsidR="004C0F71" w:rsidRDefault="004C0F71" w:rsidP="008A0E3B">
            <w:pPr>
              <w:rPr>
                <w:sz w:val="2"/>
              </w:rPr>
            </w:pPr>
          </w:p>
        </w:tc>
        <w:tc>
          <w:tcPr>
            <w:tcW w:w="662" w:type="dxa"/>
            <w:tcBorders>
              <w:top w:val="nil"/>
              <w:left w:val="nil"/>
              <w:bottom w:val="nil"/>
              <w:right w:val="nil"/>
            </w:tcBorders>
            <w:shd w:val="clear" w:color="000000" w:fill="E2EFDA"/>
            <w:noWrap/>
            <w:vAlign w:val="bottom"/>
            <w:hideMark/>
          </w:tcPr>
          <w:p w14:paraId="2DFE1089" w14:textId="77777777" w:rsidR="004C0F71" w:rsidRDefault="004C0F71" w:rsidP="008A0E3B">
            <w:pPr>
              <w:rPr>
                <w:sz w:val="2"/>
              </w:rPr>
            </w:pPr>
          </w:p>
        </w:tc>
        <w:tc>
          <w:tcPr>
            <w:tcW w:w="662" w:type="dxa"/>
            <w:tcBorders>
              <w:top w:val="nil"/>
              <w:left w:val="nil"/>
              <w:bottom w:val="nil"/>
              <w:right w:val="nil"/>
            </w:tcBorders>
            <w:shd w:val="clear" w:color="000000" w:fill="E2EFDA"/>
            <w:noWrap/>
            <w:vAlign w:val="bottom"/>
            <w:hideMark/>
          </w:tcPr>
          <w:p w14:paraId="06CD2C71" w14:textId="77777777" w:rsidR="004C0F71" w:rsidRDefault="004C0F71" w:rsidP="008A0E3B">
            <w:pPr>
              <w:rPr>
                <w:sz w:val="2"/>
              </w:rPr>
            </w:pPr>
          </w:p>
        </w:tc>
        <w:tc>
          <w:tcPr>
            <w:tcW w:w="662" w:type="dxa"/>
            <w:tcBorders>
              <w:top w:val="nil"/>
              <w:left w:val="nil"/>
              <w:bottom w:val="nil"/>
              <w:right w:val="nil"/>
            </w:tcBorders>
            <w:shd w:val="clear" w:color="000000" w:fill="E2EFDA"/>
            <w:noWrap/>
            <w:vAlign w:val="bottom"/>
            <w:hideMark/>
          </w:tcPr>
          <w:p w14:paraId="082EA845" w14:textId="77777777" w:rsidR="004C0F71" w:rsidRDefault="004C0F71" w:rsidP="008A0E3B">
            <w:pPr>
              <w:rPr>
                <w:sz w:val="2"/>
              </w:rPr>
            </w:pPr>
          </w:p>
        </w:tc>
        <w:tc>
          <w:tcPr>
            <w:tcW w:w="662" w:type="dxa"/>
            <w:tcBorders>
              <w:top w:val="nil"/>
              <w:left w:val="nil"/>
              <w:bottom w:val="nil"/>
              <w:right w:val="nil"/>
            </w:tcBorders>
            <w:shd w:val="clear" w:color="000000" w:fill="E2EFDA"/>
            <w:noWrap/>
            <w:vAlign w:val="bottom"/>
            <w:hideMark/>
          </w:tcPr>
          <w:p w14:paraId="00FA21E8" w14:textId="77777777" w:rsidR="004C0F71" w:rsidRDefault="004C0F71" w:rsidP="008A0E3B">
            <w:pPr>
              <w:rPr>
                <w:sz w:val="2"/>
              </w:rPr>
            </w:pPr>
          </w:p>
        </w:tc>
        <w:tc>
          <w:tcPr>
            <w:tcW w:w="662" w:type="dxa"/>
            <w:tcBorders>
              <w:top w:val="nil"/>
              <w:left w:val="nil"/>
              <w:bottom w:val="nil"/>
              <w:right w:val="nil"/>
            </w:tcBorders>
            <w:shd w:val="clear" w:color="000000" w:fill="E2EFDA"/>
            <w:noWrap/>
            <w:vAlign w:val="bottom"/>
            <w:hideMark/>
          </w:tcPr>
          <w:p w14:paraId="16F375A9" w14:textId="77777777" w:rsidR="004C0F71" w:rsidRDefault="004C0F71" w:rsidP="008A0E3B">
            <w:pPr>
              <w:rPr>
                <w:sz w:val="2"/>
              </w:rPr>
            </w:pPr>
          </w:p>
        </w:tc>
        <w:tc>
          <w:tcPr>
            <w:tcW w:w="820" w:type="dxa"/>
            <w:tcBorders>
              <w:top w:val="nil"/>
              <w:left w:val="nil"/>
              <w:bottom w:val="nil"/>
              <w:right w:val="nil"/>
            </w:tcBorders>
            <w:shd w:val="clear" w:color="000000" w:fill="E2EFDA"/>
            <w:noWrap/>
            <w:vAlign w:val="bottom"/>
            <w:hideMark/>
          </w:tcPr>
          <w:p w14:paraId="14F5869A" w14:textId="77777777" w:rsidR="004C0F71" w:rsidRDefault="004C0F71" w:rsidP="008A0E3B">
            <w:pPr>
              <w:rPr>
                <w:sz w:val="2"/>
              </w:rPr>
            </w:pPr>
          </w:p>
        </w:tc>
      </w:tr>
      <w:tr w:rsidR="004C0F71" w14:paraId="2C4B3905" w14:textId="77777777" w:rsidTr="008A0E3B">
        <w:trPr>
          <w:trHeight w:val="300"/>
        </w:trPr>
        <w:tc>
          <w:tcPr>
            <w:tcW w:w="548" w:type="dxa"/>
            <w:tcBorders>
              <w:top w:val="nil"/>
              <w:left w:val="nil"/>
              <w:bottom w:val="nil"/>
              <w:right w:val="nil"/>
            </w:tcBorders>
            <w:shd w:val="clear" w:color="000000" w:fill="E2EFDA"/>
            <w:noWrap/>
            <w:vAlign w:val="bottom"/>
            <w:hideMark/>
          </w:tcPr>
          <w:p w14:paraId="795911F8"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Rank</w:t>
            </w:r>
          </w:p>
        </w:tc>
        <w:tc>
          <w:tcPr>
            <w:tcW w:w="662" w:type="dxa"/>
            <w:tcBorders>
              <w:top w:val="nil"/>
              <w:left w:val="nil"/>
              <w:bottom w:val="nil"/>
              <w:right w:val="nil"/>
            </w:tcBorders>
            <w:shd w:val="clear" w:color="000000" w:fill="E2EFDA"/>
            <w:noWrap/>
            <w:vAlign w:val="bottom"/>
            <w:hideMark/>
          </w:tcPr>
          <w:p w14:paraId="691345B9"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200</w:t>
            </w:r>
            <w:r>
              <w:rPr>
                <w:rFonts w:ascii="Calibri" w:hAnsi="Calibri" w:cs="Calibri"/>
                <w:b/>
                <w:bCs/>
                <w:color w:val="000000"/>
                <w:sz w:val="16"/>
                <w:szCs w:val="16"/>
              </w:rPr>
              <w:t>8</w:t>
            </w:r>
          </w:p>
        </w:tc>
        <w:tc>
          <w:tcPr>
            <w:tcW w:w="662" w:type="dxa"/>
            <w:tcBorders>
              <w:top w:val="nil"/>
              <w:left w:val="nil"/>
              <w:bottom w:val="nil"/>
              <w:right w:val="nil"/>
            </w:tcBorders>
            <w:shd w:val="clear" w:color="000000" w:fill="E2EFDA"/>
            <w:noWrap/>
            <w:vAlign w:val="bottom"/>
            <w:hideMark/>
          </w:tcPr>
          <w:p w14:paraId="2366BEB9"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200</w:t>
            </w:r>
            <w:r>
              <w:rPr>
                <w:rFonts w:ascii="Calibri" w:hAnsi="Calibri" w:cs="Calibri"/>
                <w:b/>
                <w:bCs/>
                <w:color w:val="000000"/>
                <w:sz w:val="16"/>
                <w:szCs w:val="16"/>
              </w:rPr>
              <w:t>9</w:t>
            </w:r>
          </w:p>
        </w:tc>
        <w:tc>
          <w:tcPr>
            <w:tcW w:w="662" w:type="dxa"/>
            <w:tcBorders>
              <w:top w:val="nil"/>
              <w:left w:val="nil"/>
              <w:bottom w:val="nil"/>
              <w:right w:val="nil"/>
            </w:tcBorders>
            <w:shd w:val="clear" w:color="000000" w:fill="E2EFDA"/>
            <w:noWrap/>
            <w:vAlign w:val="bottom"/>
            <w:hideMark/>
          </w:tcPr>
          <w:p w14:paraId="37AF83FE"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20</w:t>
            </w:r>
            <w:r>
              <w:rPr>
                <w:rFonts w:ascii="Calibri" w:hAnsi="Calibri" w:cs="Calibri"/>
                <w:b/>
                <w:bCs/>
                <w:color w:val="000000"/>
                <w:sz w:val="16"/>
                <w:szCs w:val="16"/>
              </w:rPr>
              <w:t>10</w:t>
            </w:r>
          </w:p>
        </w:tc>
        <w:tc>
          <w:tcPr>
            <w:tcW w:w="662" w:type="dxa"/>
            <w:tcBorders>
              <w:top w:val="nil"/>
              <w:left w:val="nil"/>
              <w:bottom w:val="nil"/>
              <w:right w:val="nil"/>
            </w:tcBorders>
            <w:shd w:val="clear" w:color="000000" w:fill="E2EFDA"/>
            <w:noWrap/>
            <w:vAlign w:val="bottom"/>
            <w:hideMark/>
          </w:tcPr>
          <w:p w14:paraId="6367775F"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201</w:t>
            </w:r>
            <w:r>
              <w:rPr>
                <w:rFonts w:ascii="Calibri" w:hAnsi="Calibri" w:cs="Calibri"/>
                <w:b/>
                <w:bCs/>
                <w:color w:val="000000"/>
                <w:sz w:val="16"/>
                <w:szCs w:val="16"/>
              </w:rPr>
              <w:t>1</w:t>
            </w:r>
          </w:p>
        </w:tc>
        <w:tc>
          <w:tcPr>
            <w:tcW w:w="662" w:type="dxa"/>
            <w:tcBorders>
              <w:top w:val="nil"/>
              <w:left w:val="nil"/>
              <w:bottom w:val="nil"/>
              <w:right w:val="nil"/>
            </w:tcBorders>
            <w:shd w:val="clear" w:color="000000" w:fill="E2EFDA"/>
            <w:noWrap/>
            <w:vAlign w:val="bottom"/>
            <w:hideMark/>
          </w:tcPr>
          <w:p w14:paraId="135B5806"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201</w:t>
            </w:r>
            <w:r>
              <w:rPr>
                <w:rFonts w:ascii="Calibri" w:hAnsi="Calibri" w:cs="Calibri"/>
                <w:b/>
                <w:bCs/>
                <w:color w:val="000000"/>
                <w:sz w:val="16"/>
                <w:szCs w:val="16"/>
              </w:rPr>
              <w:t>2</w:t>
            </w:r>
          </w:p>
        </w:tc>
        <w:tc>
          <w:tcPr>
            <w:tcW w:w="662" w:type="dxa"/>
            <w:tcBorders>
              <w:top w:val="nil"/>
              <w:left w:val="nil"/>
              <w:bottom w:val="nil"/>
              <w:right w:val="nil"/>
            </w:tcBorders>
            <w:shd w:val="clear" w:color="000000" w:fill="E2EFDA"/>
            <w:noWrap/>
            <w:vAlign w:val="bottom"/>
            <w:hideMark/>
          </w:tcPr>
          <w:p w14:paraId="324C8FDC"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201</w:t>
            </w:r>
            <w:r>
              <w:rPr>
                <w:rFonts w:ascii="Calibri" w:hAnsi="Calibri" w:cs="Calibri"/>
                <w:b/>
                <w:bCs/>
                <w:color w:val="000000"/>
                <w:sz w:val="16"/>
                <w:szCs w:val="16"/>
              </w:rPr>
              <w:t>3</w:t>
            </w:r>
          </w:p>
        </w:tc>
        <w:tc>
          <w:tcPr>
            <w:tcW w:w="662" w:type="dxa"/>
            <w:tcBorders>
              <w:top w:val="nil"/>
              <w:left w:val="nil"/>
              <w:bottom w:val="nil"/>
              <w:right w:val="nil"/>
            </w:tcBorders>
            <w:shd w:val="clear" w:color="000000" w:fill="E2EFDA"/>
            <w:noWrap/>
            <w:vAlign w:val="bottom"/>
            <w:hideMark/>
          </w:tcPr>
          <w:p w14:paraId="3E37AECF"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201</w:t>
            </w:r>
            <w:r>
              <w:rPr>
                <w:rFonts w:ascii="Calibri" w:hAnsi="Calibri" w:cs="Calibri"/>
                <w:b/>
                <w:bCs/>
                <w:color w:val="000000"/>
                <w:sz w:val="16"/>
                <w:szCs w:val="16"/>
              </w:rPr>
              <w:t>4</w:t>
            </w:r>
          </w:p>
        </w:tc>
        <w:tc>
          <w:tcPr>
            <w:tcW w:w="662" w:type="dxa"/>
            <w:tcBorders>
              <w:top w:val="nil"/>
              <w:left w:val="nil"/>
              <w:bottom w:val="nil"/>
              <w:right w:val="nil"/>
            </w:tcBorders>
            <w:shd w:val="clear" w:color="000000" w:fill="E2EFDA"/>
            <w:noWrap/>
            <w:vAlign w:val="bottom"/>
            <w:hideMark/>
          </w:tcPr>
          <w:p w14:paraId="793A0467"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201</w:t>
            </w:r>
            <w:r>
              <w:rPr>
                <w:rFonts w:ascii="Calibri" w:hAnsi="Calibri" w:cs="Calibri"/>
                <w:b/>
                <w:bCs/>
                <w:color w:val="000000"/>
                <w:sz w:val="16"/>
                <w:szCs w:val="16"/>
              </w:rPr>
              <w:t>5</w:t>
            </w:r>
          </w:p>
        </w:tc>
        <w:tc>
          <w:tcPr>
            <w:tcW w:w="662" w:type="dxa"/>
            <w:tcBorders>
              <w:top w:val="nil"/>
              <w:left w:val="nil"/>
              <w:bottom w:val="nil"/>
              <w:right w:val="nil"/>
            </w:tcBorders>
            <w:shd w:val="clear" w:color="000000" w:fill="E2EFDA"/>
            <w:noWrap/>
            <w:vAlign w:val="bottom"/>
            <w:hideMark/>
          </w:tcPr>
          <w:p w14:paraId="41C7CF04"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201</w:t>
            </w:r>
            <w:r>
              <w:rPr>
                <w:rFonts w:ascii="Calibri" w:hAnsi="Calibri" w:cs="Calibri"/>
                <w:b/>
                <w:bCs/>
                <w:color w:val="000000"/>
                <w:sz w:val="16"/>
                <w:szCs w:val="16"/>
              </w:rPr>
              <w:t>6</w:t>
            </w:r>
          </w:p>
        </w:tc>
        <w:tc>
          <w:tcPr>
            <w:tcW w:w="662" w:type="dxa"/>
            <w:tcBorders>
              <w:top w:val="nil"/>
              <w:left w:val="nil"/>
              <w:bottom w:val="nil"/>
              <w:right w:val="nil"/>
            </w:tcBorders>
            <w:shd w:val="clear" w:color="000000" w:fill="E2EFDA"/>
            <w:noWrap/>
            <w:vAlign w:val="bottom"/>
            <w:hideMark/>
          </w:tcPr>
          <w:p w14:paraId="295DA000"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201</w:t>
            </w:r>
            <w:r>
              <w:rPr>
                <w:rFonts w:ascii="Calibri" w:hAnsi="Calibri" w:cs="Calibri"/>
                <w:b/>
                <w:bCs/>
                <w:color w:val="000000"/>
                <w:sz w:val="16"/>
                <w:szCs w:val="16"/>
              </w:rPr>
              <w:t>7</w:t>
            </w:r>
          </w:p>
        </w:tc>
        <w:tc>
          <w:tcPr>
            <w:tcW w:w="662" w:type="dxa"/>
            <w:tcBorders>
              <w:top w:val="nil"/>
              <w:left w:val="nil"/>
              <w:bottom w:val="nil"/>
              <w:right w:val="nil"/>
            </w:tcBorders>
            <w:shd w:val="clear" w:color="000000" w:fill="E2EFDA"/>
            <w:noWrap/>
            <w:vAlign w:val="bottom"/>
            <w:hideMark/>
          </w:tcPr>
          <w:p w14:paraId="07CFE7C9"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201</w:t>
            </w:r>
            <w:r>
              <w:rPr>
                <w:rFonts w:ascii="Calibri" w:hAnsi="Calibri" w:cs="Calibri"/>
                <w:b/>
                <w:bCs/>
                <w:color w:val="000000"/>
                <w:sz w:val="16"/>
                <w:szCs w:val="16"/>
              </w:rPr>
              <w:t>8</w:t>
            </w:r>
          </w:p>
        </w:tc>
        <w:tc>
          <w:tcPr>
            <w:tcW w:w="662" w:type="dxa"/>
            <w:tcBorders>
              <w:top w:val="nil"/>
              <w:left w:val="nil"/>
              <w:bottom w:val="nil"/>
              <w:right w:val="nil"/>
            </w:tcBorders>
            <w:shd w:val="clear" w:color="000000" w:fill="E2EFDA"/>
            <w:noWrap/>
            <w:vAlign w:val="bottom"/>
            <w:hideMark/>
          </w:tcPr>
          <w:p w14:paraId="4DFBBDF2"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201</w:t>
            </w:r>
            <w:r>
              <w:rPr>
                <w:rFonts w:ascii="Calibri" w:hAnsi="Calibri" w:cs="Calibri"/>
                <w:b/>
                <w:bCs/>
                <w:color w:val="000000"/>
                <w:sz w:val="16"/>
                <w:szCs w:val="16"/>
              </w:rPr>
              <w:t>9</w:t>
            </w:r>
          </w:p>
        </w:tc>
        <w:tc>
          <w:tcPr>
            <w:tcW w:w="662" w:type="dxa"/>
            <w:tcBorders>
              <w:top w:val="nil"/>
              <w:left w:val="nil"/>
              <w:bottom w:val="nil"/>
              <w:right w:val="nil"/>
            </w:tcBorders>
            <w:shd w:val="clear" w:color="000000" w:fill="E2EFDA"/>
            <w:noWrap/>
            <w:vAlign w:val="bottom"/>
            <w:hideMark/>
          </w:tcPr>
          <w:p w14:paraId="4DB2C208"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20</w:t>
            </w:r>
            <w:r>
              <w:rPr>
                <w:rFonts w:ascii="Calibri" w:hAnsi="Calibri" w:cs="Calibri"/>
                <w:b/>
                <w:bCs/>
                <w:color w:val="000000"/>
                <w:sz w:val="16"/>
                <w:szCs w:val="16"/>
              </w:rPr>
              <w:t>20</w:t>
            </w:r>
          </w:p>
        </w:tc>
        <w:tc>
          <w:tcPr>
            <w:tcW w:w="662" w:type="dxa"/>
            <w:tcBorders>
              <w:top w:val="nil"/>
              <w:left w:val="nil"/>
              <w:bottom w:val="nil"/>
              <w:right w:val="nil"/>
            </w:tcBorders>
            <w:shd w:val="clear" w:color="000000" w:fill="E2EFDA"/>
            <w:noWrap/>
            <w:vAlign w:val="bottom"/>
            <w:hideMark/>
          </w:tcPr>
          <w:p w14:paraId="5DCA93EE"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202</w:t>
            </w:r>
            <w:r>
              <w:rPr>
                <w:rFonts w:ascii="Calibri" w:hAnsi="Calibri" w:cs="Calibri"/>
                <w:b/>
                <w:bCs/>
                <w:color w:val="000000"/>
                <w:sz w:val="16"/>
                <w:szCs w:val="16"/>
              </w:rPr>
              <w:t>1</w:t>
            </w:r>
          </w:p>
        </w:tc>
        <w:tc>
          <w:tcPr>
            <w:tcW w:w="662" w:type="dxa"/>
            <w:tcBorders>
              <w:top w:val="nil"/>
              <w:left w:val="nil"/>
              <w:bottom w:val="nil"/>
              <w:right w:val="nil"/>
            </w:tcBorders>
            <w:shd w:val="clear" w:color="000000" w:fill="E2EFDA"/>
            <w:noWrap/>
            <w:vAlign w:val="bottom"/>
            <w:hideMark/>
          </w:tcPr>
          <w:p w14:paraId="3F9A084C"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202</w:t>
            </w:r>
            <w:r>
              <w:rPr>
                <w:rFonts w:ascii="Calibri" w:hAnsi="Calibri" w:cs="Calibri"/>
                <w:b/>
                <w:bCs/>
                <w:color w:val="000000"/>
                <w:sz w:val="16"/>
                <w:szCs w:val="16"/>
              </w:rPr>
              <w:t>2</w:t>
            </w:r>
          </w:p>
        </w:tc>
        <w:tc>
          <w:tcPr>
            <w:tcW w:w="820" w:type="dxa"/>
            <w:tcBorders>
              <w:top w:val="nil"/>
              <w:left w:val="nil"/>
              <w:bottom w:val="nil"/>
              <w:right w:val="nil"/>
            </w:tcBorders>
            <w:shd w:val="clear" w:color="000000" w:fill="E2EFDA"/>
            <w:noWrap/>
            <w:vAlign w:val="bottom"/>
            <w:hideMark/>
          </w:tcPr>
          <w:p w14:paraId="133D2899" w14:textId="77777777" w:rsidR="004C0F71" w:rsidRPr="00B748FF" w:rsidRDefault="004C0F71" w:rsidP="008A0E3B">
            <w:pPr>
              <w:jc w:val="center"/>
              <w:rPr>
                <w:rFonts w:ascii="Calibri" w:hAnsi="Calibri" w:cs="Calibri"/>
                <w:b/>
                <w:bCs/>
                <w:color w:val="000000"/>
                <w:sz w:val="16"/>
                <w:szCs w:val="16"/>
              </w:rPr>
            </w:pPr>
            <w:r w:rsidRPr="00B748FF">
              <w:rPr>
                <w:rFonts w:ascii="Calibri" w:hAnsi="Calibri" w:cs="Calibri"/>
                <w:b/>
                <w:bCs/>
                <w:color w:val="000000"/>
                <w:sz w:val="16"/>
                <w:szCs w:val="16"/>
              </w:rPr>
              <w:t>Average</w:t>
            </w:r>
          </w:p>
        </w:tc>
      </w:tr>
      <w:tr w:rsidR="004C0F71" w14:paraId="47487E5F" w14:textId="77777777" w:rsidTr="008A0E3B">
        <w:trPr>
          <w:trHeight w:val="300"/>
        </w:trPr>
        <w:tc>
          <w:tcPr>
            <w:tcW w:w="548" w:type="dxa"/>
            <w:tcBorders>
              <w:top w:val="nil"/>
              <w:left w:val="nil"/>
              <w:bottom w:val="nil"/>
              <w:right w:val="nil"/>
            </w:tcBorders>
            <w:shd w:val="clear" w:color="000000" w:fill="E2EFDA"/>
            <w:noWrap/>
            <w:vAlign w:val="bottom"/>
            <w:hideMark/>
          </w:tcPr>
          <w:p w14:paraId="5CD73A93"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1</w:t>
            </w:r>
          </w:p>
        </w:tc>
        <w:tc>
          <w:tcPr>
            <w:tcW w:w="662" w:type="dxa"/>
            <w:tcBorders>
              <w:top w:val="nil"/>
              <w:left w:val="nil"/>
              <w:right w:val="nil"/>
            </w:tcBorders>
            <w:shd w:val="clear" w:color="000000" w:fill="E2EFDA"/>
            <w:noWrap/>
            <w:vAlign w:val="bottom"/>
            <w:hideMark/>
          </w:tcPr>
          <w:p w14:paraId="47EEF75D"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2</w:t>
            </w:r>
            <w:r>
              <w:rPr>
                <w:rFonts w:ascii="Calibri" w:hAnsi="Calibri" w:cs="Calibri"/>
                <w:color w:val="000000"/>
                <w:sz w:val="16"/>
                <w:szCs w:val="16"/>
              </w:rPr>
              <w:t>1,546</w:t>
            </w:r>
          </w:p>
        </w:tc>
        <w:tc>
          <w:tcPr>
            <w:tcW w:w="662" w:type="dxa"/>
            <w:tcBorders>
              <w:top w:val="nil"/>
              <w:left w:val="nil"/>
              <w:right w:val="nil"/>
            </w:tcBorders>
            <w:shd w:val="clear" w:color="000000" w:fill="E2EFDA"/>
            <w:noWrap/>
            <w:vAlign w:val="bottom"/>
            <w:hideMark/>
          </w:tcPr>
          <w:p w14:paraId="35947C15"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2</w:t>
            </w:r>
            <w:r>
              <w:rPr>
                <w:rFonts w:ascii="Calibri" w:hAnsi="Calibri" w:cs="Calibri"/>
                <w:color w:val="000000"/>
                <w:sz w:val="16"/>
                <w:szCs w:val="16"/>
              </w:rPr>
              <w:t>1,801</w:t>
            </w:r>
          </w:p>
        </w:tc>
        <w:tc>
          <w:tcPr>
            <w:tcW w:w="662" w:type="dxa"/>
            <w:tcBorders>
              <w:top w:val="nil"/>
              <w:left w:val="nil"/>
              <w:right w:val="nil"/>
            </w:tcBorders>
            <w:shd w:val="clear" w:color="000000" w:fill="E2EFDA"/>
            <w:noWrap/>
            <w:vAlign w:val="bottom"/>
            <w:hideMark/>
          </w:tcPr>
          <w:p w14:paraId="1C690E8B"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2</w:t>
            </w:r>
            <w:r>
              <w:rPr>
                <w:rFonts w:ascii="Calibri" w:hAnsi="Calibri" w:cs="Calibri"/>
                <w:color w:val="000000"/>
                <w:sz w:val="16"/>
                <w:szCs w:val="16"/>
              </w:rPr>
              <w:t>1,869</w:t>
            </w:r>
          </w:p>
        </w:tc>
        <w:tc>
          <w:tcPr>
            <w:tcW w:w="662" w:type="dxa"/>
            <w:tcBorders>
              <w:top w:val="nil"/>
              <w:left w:val="nil"/>
              <w:right w:val="nil"/>
            </w:tcBorders>
            <w:shd w:val="clear" w:color="000000" w:fill="E2EFDA"/>
            <w:noWrap/>
            <w:vAlign w:val="bottom"/>
            <w:hideMark/>
          </w:tcPr>
          <w:p w14:paraId="055FA6F8"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22,</w:t>
            </w:r>
            <w:r>
              <w:rPr>
                <w:rFonts w:ascii="Calibri" w:hAnsi="Calibri" w:cs="Calibri"/>
                <w:color w:val="000000"/>
                <w:sz w:val="16"/>
                <w:szCs w:val="16"/>
              </w:rPr>
              <w:t>537</w:t>
            </w:r>
          </w:p>
        </w:tc>
        <w:tc>
          <w:tcPr>
            <w:tcW w:w="662" w:type="dxa"/>
            <w:tcBorders>
              <w:top w:val="nil"/>
              <w:left w:val="nil"/>
              <w:right w:val="nil"/>
            </w:tcBorders>
            <w:shd w:val="clear" w:color="000000" w:fill="E2EFDA"/>
            <w:noWrap/>
            <w:vAlign w:val="bottom"/>
            <w:hideMark/>
          </w:tcPr>
          <w:p w14:paraId="41951B9C"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2</w:t>
            </w:r>
            <w:r>
              <w:rPr>
                <w:rFonts w:ascii="Calibri" w:hAnsi="Calibri" w:cs="Calibri"/>
                <w:color w:val="000000"/>
                <w:sz w:val="16"/>
                <w:szCs w:val="16"/>
              </w:rPr>
              <w:t>1,927</w:t>
            </w:r>
          </w:p>
        </w:tc>
        <w:tc>
          <w:tcPr>
            <w:tcW w:w="662" w:type="dxa"/>
            <w:tcBorders>
              <w:top w:val="nil"/>
              <w:left w:val="nil"/>
              <w:right w:val="nil"/>
            </w:tcBorders>
            <w:shd w:val="clear" w:color="000000" w:fill="E2EFDA"/>
            <w:noWrap/>
            <w:vAlign w:val="bottom"/>
            <w:hideMark/>
          </w:tcPr>
          <w:p w14:paraId="10510D43"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2</w:t>
            </w:r>
            <w:r>
              <w:rPr>
                <w:rFonts w:ascii="Calibri" w:hAnsi="Calibri" w:cs="Calibri"/>
                <w:color w:val="000000"/>
                <w:sz w:val="16"/>
                <w:szCs w:val="16"/>
              </w:rPr>
              <w:t>1</w:t>
            </w:r>
            <w:r w:rsidRPr="00B748FF">
              <w:rPr>
                <w:rFonts w:ascii="Calibri" w:hAnsi="Calibri" w:cs="Calibri"/>
                <w:color w:val="000000"/>
                <w:sz w:val="16"/>
                <w:szCs w:val="16"/>
              </w:rPr>
              <w:t>,</w:t>
            </w:r>
            <w:r>
              <w:rPr>
                <w:rFonts w:ascii="Calibri" w:hAnsi="Calibri" w:cs="Calibri"/>
                <w:color w:val="000000"/>
                <w:sz w:val="16"/>
                <w:szCs w:val="16"/>
              </w:rPr>
              <w:t>621</w:t>
            </w:r>
          </w:p>
        </w:tc>
        <w:tc>
          <w:tcPr>
            <w:tcW w:w="662" w:type="dxa"/>
            <w:tcBorders>
              <w:top w:val="nil"/>
              <w:left w:val="nil"/>
              <w:right w:val="nil"/>
            </w:tcBorders>
            <w:shd w:val="clear" w:color="000000" w:fill="E2EFDA"/>
            <w:noWrap/>
            <w:vAlign w:val="bottom"/>
            <w:hideMark/>
          </w:tcPr>
          <w:p w14:paraId="107671CC"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2</w:t>
            </w:r>
            <w:r>
              <w:rPr>
                <w:rFonts w:ascii="Calibri" w:hAnsi="Calibri" w:cs="Calibri"/>
                <w:color w:val="000000"/>
                <w:sz w:val="16"/>
                <w:szCs w:val="16"/>
              </w:rPr>
              <w:t>1</w:t>
            </w:r>
            <w:r w:rsidRPr="00B748FF">
              <w:rPr>
                <w:rFonts w:ascii="Calibri" w:hAnsi="Calibri" w:cs="Calibri"/>
                <w:color w:val="000000"/>
                <w:sz w:val="16"/>
                <w:szCs w:val="16"/>
              </w:rPr>
              <w:t>,</w:t>
            </w:r>
            <w:r>
              <w:rPr>
                <w:rFonts w:ascii="Calibri" w:hAnsi="Calibri" w:cs="Calibri"/>
                <w:color w:val="000000"/>
                <w:sz w:val="16"/>
                <w:szCs w:val="16"/>
              </w:rPr>
              <w:t>595</w:t>
            </w:r>
          </w:p>
        </w:tc>
        <w:tc>
          <w:tcPr>
            <w:tcW w:w="662" w:type="dxa"/>
            <w:tcBorders>
              <w:top w:val="nil"/>
              <w:left w:val="nil"/>
              <w:right w:val="nil"/>
            </w:tcBorders>
            <w:shd w:val="clear" w:color="000000" w:fill="E2EFDA"/>
            <w:noWrap/>
            <w:vAlign w:val="bottom"/>
            <w:hideMark/>
          </w:tcPr>
          <w:p w14:paraId="2AF86A44"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22,</w:t>
            </w:r>
            <w:r>
              <w:rPr>
                <w:rFonts w:ascii="Calibri" w:hAnsi="Calibri" w:cs="Calibri"/>
                <w:color w:val="000000"/>
                <w:sz w:val="16"/>
                <w:szCs w:val="16"/>
              </w:rPr>
              <w:t>343</w:t>
            </w:r>
          </w:p>
        </w:tc>
        <w:tc>
          <w:tcPr>
            <w:tcW w:w="662" w:type="dxa"/>
            <w:tcBorders>
              <w:top w:val="nil"/>
              <w:left w:val="nil"/>
              <w:right w:val="nil"/>
            </w:tcBorders>
            <w:shd w:val="clear" w:color="000000" w:fill="E2EFDA"/>
            <w:noWrap/>
            <w:vAlign w:val="bottom"/>
            <w:hideMark/>
          </w:tcPr>
          <w:p w14:paraId="17116D4D"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2</w:t>
            </w:r>
            <w:r>
              <w:rPr>
                <w:rFonts w:ascii="Calibri" w:hAnsi="Calibri" w:cs="Calibri"/>
                <w:color w:val="000000"/>
                <w:sz w:val="16"/>
                <w:szCs w:val="16"/>
              </w:rPr>
              <w:t>1,686</w:t>
            </w:r>
          </w:p>
        </w:tc>
        <w:tc>
          <w:tcPr>
            <w:tcW w:w="662" w:type="dxa"/>
            <w:tcBorders>
              <w:top w:val="nil"/>
              <w:left w:val="nil"/>
              <w:right w:val="nil"/>
            </w:tcBorders>
            <w:shd w:val="clear" w:color="000000" w:fill="E2EFDA"/>
            <w:noWrap/>
            <w:vAlign w:val="bottom"/>
            <w:hideMark/>
          </w:tcPr>
          <w:p w14:paraId="129AD81A"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2</w:t>
            </w:r>
            <w:r>
              <w:rPr>
                <w:rFonts w:ascii="Calibri" w:hAnsi="Calibri" w:cs="Calibri"/>
                <w:color w:val="000000"/>
                <w:sz w:val="16"/>
                <w:szCs w:val="16"/>
              </w:rPr>
              <w:t>1</w:t>
            </w:r>
            <w:r w:rsidRPr="00B748FF">
              <w:rPr>
                <w:rFonts w:ascii="Calibri" w:hAnsi="Calibri" w:cs="Calibri"/>
                <w:color w:val="000000"/>
                <w:sz w:val="16"/>
                <w:szCs w:val="16"/>
              </w:rPr>
              <w:t>,</w:t>
            </w:r>
            <w:r>
              <w:rPr>
                <w:rFonts w:ascii="Calibri" w:hAnsi="Calibri" w:cs="Calibri"/>
                <w:color w:val="000000"/>
                <w:sz w:val="16"/>
                <w:szCs w:val="16"/>
              </w:rPr>
              <w:t>165</w:t>
            </w:r>
          </w:p>
        </w:tc>
        <w:tc>
          <w:tcPr>
            <w:tcW w:w="662" w:type="dxa"/>
            <w:tcBorders>
              <w:top w:val="nil"/>
              <w:left w:val="nil"/>
              <w:right w:val="nil"/>
            </w:tcBorders>
            <w:shd w:val="clear" w:color="000000" w:fill="E2EFDA"/>
            <w:noWrap/>
            <w:vAlign w:val="bottom"/>
            <w:hideMark/>
          </w:tcPr>
          <w:p w14:paraId="5961089A"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21,</w:t>
            </w:r>
            <w:r>
              <w:rPr>
                <w:rFonts w:ascii="Calibri" w:hAnsi="Calibri" w:cs="Calibri"/>
                <w:color w:val="000000"/>
                <w:sz w:val="16"/>
                <w:szCs w:val="16"/>
              </w:rPr>
              <w:t>587</w:t>
            </w:r>
          </w:p>
        </w:tc>
        <w:tc>
          <w:tcPr>
            <w:tcW w:w="662" w:type="dxa"/>
            <w:tcBorders>
              <w:top w:val="nil"/>
              <w:left w:val="nil"/>
              <w:right w:val="nil"/>
            </w:tcBorders>
            <w:shd w:val="clear" w:color="000000" w:fill="E2EFDA"/>
            <w:noWrap/>
            <w:vAlign w:val="bottom"/>
            <w:hideMark/>
          </w:tcPr>
          <w:p w14:paraId="7A93EDC2"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21,</w:t>
            </w:r>
            <w:r>
              <w:rPr>
                <w:rFonts w:ascii="Calibri" w:hAnsi="Calibri" w:cs="Calibri"/>
                <w:color w:val="000000"/>
                <w:sz w:val="16"/>
                <w:szCs w:val="16"/>
              </w:rPr>
              <w:t>984</w:t>
            </w:r>
          </w:p>
        </w:tc>
        <w:tc>
          <w:tcPr>
            <w:tcW w:w="662" w:type="dxa"/>
            <w:tcBorders>
              <w:top w:val="nil"/>
              <w:left w:val="nil"/>
              <w:right w:val="nil"/>
            </w:tcBorders>
            <w:shd w:val="clear" w:color="000000" w:fill="E2EFDA"/>
            <w:noWrap/>
            <w:vAlign w:val="bottom"/>
            <w:hideMark/>
          </w:tcPr>
          <w:p w14:paraId="1815284F"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2</w:t>
            </w:r>
            <w:r>
              <w:rPr>
                <w:rFonts w:ascii="Calibri" w:hAnsi="Calibri" w:cs="Calibri"/>
                <w:color w:val="000000"/>
                <w:sz w:val="16"/>
                <w:szCs w:val="16"/>
              </w:rPr>
              <w:t>1</w:t>
            </w:r>
            <w:r w:rsidRPr="00B748FF">
              <w:rPr>
                <w:rFonts w:ascii="Calibri" w:hAnsi="Calibri" w:cs="Calibri"/>
                <w:color w:val="000000"/>
                <w:sz w:val="16"/>
                <w:szCs w:val="16"/>
              </w:rPr>
              <w:t>,</w:t>
            </w:r>
            <w:r>
              <w:rPr>
                <w:rFonts w:ascii="Calibri" w:hAnsi="Calibri" w:cs="Calibri"/>
                <w:color w:val="000000"/>
                <w:sz w:val="16"/>
                <w:szCs w:val="16"/>
              </w:rPr>
              <w:t>831</w:t>
            </w:r>
          </w:p>
        </w:tc>
        <w:tc>
          <w:tcPr>
            <w:tcW w:w="662" w:type="dxa"/>
            <w:tcBorders>
              <w:top w:val="nil"/>
              <w:left w:val="nil"/>
              <w:right w:val="nil"/>
            </w:tcBorders>
            <w:shd w:val="clear" w:color="000000" w:fill="E2EFDA"/>
            <w:noWrap/>
            <w:vAlign w:val="bottom"/>
            <w:hideMark/>
          </w:tcPr>
          <w:p w14:paraId="7EB829D9"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21,550</w:t>
            </w:r>
          </w:p>
        </w:tc>
        <w:tc>
          <w:tcPr>
            <w:tcW w:w="662" w:type="dxa"/>
            <w:tcBorders>
              <w:top w:val="nil"/>
              <w:left w:val="nil"/>
              <w:right w:val="nil"/>
            </w:tcBorders>
            <w:shd w:val="clear" w:color="000000" w:fill="E2EFDA"/>
            <w:noWrap/>
            <w:vAlign w:val="bottom"/>
            <w:hideMark/>
          </w:tcPr>
          <w:p w14:paraId="7A2A7126"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2</w:t>
            </w:r>
            <w:r>
              <w:rPr>
                <w:rFonts w:ascii="Calibri" w:hAnsi="Calibri" w:cs="Calibri"/>
                <w:color w:val="000000"/>
                <w:sz w:val="16"/>
                <w:szCs w:val="16"/>
              </w:rPr>
              <w:t>1,762</w:t>
            </w:r>
          </w:p>
        </w:tc>
        <w:tc>
          <w:tcPr>
            <w:tcW w:w="820" w:type="dxa"/>
            <w:tcBorders>
              <w:top w:val="nil"/>
              <w:left w:val="nil"/>
              <w:right w:val="nil"/>
            </w:tcBorders>
            <w:shd w:val="clear" w:color="000000" w:fill="E2EFDA"/>
            <w:noWrap/>
            <w:vAlign w:val="bottom"/>
            <w:hideMark/>
          </w:tcPr>
          <w:p w14:paraId="4943C0CE"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21,787</w:t>
            </w:r>
          </w:p>
        </w:tc>
      </w:tr>
      <w:tr w:rsidR="004C0F71" w14:paraId="40CE5774" w14:textId="77777777" w:rsidTr="008A0E3B">
        <w:trPr>
          <w:trHeight w:val="300"/>
        </w:trPr>
        <w:tc>
          <w:tcPr>
            <w:tcW w:w="548" w:type="dxa"/>
            <w:tcBorders>
              <w:top w:val="nil"/>
              <w:left w:val="nil"/>
              <w:bottom w:val="nil"/>
              <w:right w:val="nil"/>
            </w:tcBorders>
            <w:shd w:val="clear" w:color="000000" w:fill="E2EFDA"/>
            <w:noWrap/>
            <w:vAlign w:val="bottom"/>
            <w:hideMark/>
          </w:tcPr>
          <w:p w14:paraId="4324CCB1"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2</w:t>
            </w:r>
          </w:p>
        </w:tc>
        <w:tc>
          <w:tcPr>
            <w:tcW w:w="662" w:type="dxa"/>
            <w:tcBorders>
              <w:top w:val="nil"/>
              <w:left w:val="nil"/>
              <w:bottom w:val="nil"/>
              <w:right w:val="nil"/>
            </w:tcBorders>
            <w:shd w:val="clear" w:color="auto" w:fill="EAF1DD" w:themeFill="accent3" w:themeFillTint="33"/>
            <w:noWrap/>
            <w:vAlign w:val="bottom"/>
            <w:hideMark/>
          </w:tcPr>
          <w:p w14:paraId="75CD7565"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21,328</w:t>
            </w:r>
          </w:p>
        </w:tc>
        <w:tc>
          <w:tcPr>
            <w:tcW w:w="662" w:type="dxa"/>
            <w:tcBorders>
              <w:top w:val="nil"/>
              <w:left w:val="nil"/>
              <w:bottom w:val="nil"/>
              <w:right w:val="nil"/>
            </w:tcBorders>
            <w:shd w:val="clear" w:color="auto" w:fill="EAF1DD" w:themeFill="accent3" w:themeFillTint="33"/>
            <w:noWrap/>
            <w:vAlign w:val="bottom"/>
            <w:hideMark/>
          </w:tcPr>
          <w:p w14:paraId="661D8E63"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21,642</w:t>
            </w:r>
          </w:p>
        </w:tc>
        <w:tc>
          <w:tcPr>
            <w:tcW w:w="662" w:type="dxa"/>
            <w:tcBorders>
              <w:top w:val="nil"/>
              <w:left w:val="nil"/>
              <w:bottom w:val="nil"/>
              <w:right w:val="nil"/>
            </w:tcBorders>
            <w:shd w:val="clear" w:color="auto" w:fill="EAF1DD" w:themeFill="accent3" w:themeFillTint="33"/>
            <w:noWrap/>
            <w:vAlign w:val="bottom"/>
            <w:hideMark/>
          </w:tcPr>
          <w:p w14:paraId="16EC5EFC"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21,812</w:t>
            </w:r>
          </w:p>
        </w:tc>
        <w:tc>
          <w:tcPr>
            <w:tcW w:w="662" w:type="dxa"/>
            <w:tcBorders>
              <w:top w:val="nil"/>
              <w:left w:val="nil"/>
              <w:bottom w:val="nil"/>
              <w:right w:val="nil"/>
            </w:tcBorders>
            <w:shd w:val="clear" w:color="auto" w:fill="EAF1DD" w:themeFill="accent3" w:themeFillTint="33"/>
            <w:noWrap/>
            <w:vAlign w:val="bottom"/>
            <w:hideMark/>
          </w:tcPr>
          <w:p w14:paraId="0504960F"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22,502</w:t>
            </w:r>
          </w:p>
        </w:tc>
        <w:tc>
          <w:tcPr>
            <w:tcW w:w="662" w:type="dxa"/>
            <w:tcBorders>
              <w:top w:val="nil"/>
              <w:left w:val="nil"/>
              <w:bottom w:val="nil"/>
              <w:right w:val="nil"/>
            </w:tcBorders>
            <w:shd w:val="clear" w:color="auto" w:fill="EAF1DD" w:themeFill="accent3" w:themeFillTint="33"/>
            <w:noWrap/>
            <w:vAlign w:val="bottom"/>
            <w:hideMark/>
          </w:tcPr>
          <w:p w14:paraId="1BFD6CE2"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21,913</w:t>
            </w:r>
          </w:p>
        </w:tc>
        <w:tc>
          <w:tcPr>
            <w:tcW w:w="662" w:type="dxa"/>
            <w:tcBorders>
              <w:top w:val="nil"/>
              <w:left w:val="nil"/>
              <w:bottom w:val="nil"/>
              <w:right w:val="nil"/>
            </w:tcBorders>
            <w:shd w:val="clear" w:color="auto" w:fill="EAF1DD" w:themeFill="accent3" w:themeFillTint="33"/>
            <w:noWrap/>
            <w:vAlign w:val="bottom"/>
            <w:hideMark/>
          </w:tcPr>
          <w:p w14:paraId="6446CCC0"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21,614</w:t>
            </w:r>
          </w:p>
        </w:tc>
        <w:tc>
          <w:tcPr>
            <w:tcW w:w="662" w:type="dxa"/>
            <w:tcBorders>
              <w:top w:val="nil"/>
              <w:left w:val="nil"/>
              <w:bottom w:val="nil"/>
              <w:right w:val="nil"/>
            </w:tcBorders>
            <w:shd w:val="clear" w:color="auto" w:fill="EAF1DD" w:themeFill="accent3" w:themeFillTint="33"/>
            <w:noWrap/>
            <w:vAlign w:val="bottom"/>
            <w:hideMark/>
          </w:tcPr>
          <w:p w14:paraId="0B29D9DD"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21,520</w:t>
            </w:r>
          </w:p>
        </w:tc>
        <w:tc>
          <w:tcPr>
            <w:tcW w:w="662" w:type="dxa"/>
            <w:tcBorders>
              <w:top w:val="nil"/>
              <w:left w:val="nil"/>
              <w:bottom w:val="nil"/>
              <w:right w:val="nil"/>
            </w:tcBorders>
            <w:shd w:val="clear" w:color="auto" w:fill="EAF1DD" w:themeFill="accent3" w:themeFillTint="33"/>
            <w:noWrap/>
            <w:vAlign w:val="bottom"/>
            <w:hideMark/>
          </w:tcPr>
          <w:p w14:paraId="5F97AD47"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22,187</w:t>
            </w:r>
          </w:p>
        </w:tc>
        <w:tc>
          <w:tcPr>
            <w:tcW w:w="662" w:type="dxa"/>
            <w:tcBorders>
              <w:top w:val="nil"/>
              <w:left w:val="nil"/>
              <w:bottom w:val="nil"/>
              <w:right w:val="nil"/>
            </w:tcBorders>
            <w:shd w:val="clear" w:color="auto" w:fill="EAF1DD" w:themeFill="accent3" w:themeFillTint="33"/>
            <w:noWrap/>
            <w:vAlign w:val="bottom"/>
            <w:hideMark/>
          </w:tcPr>
          <w:p w14:paraId="58DF6D42"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21,655</w:t>
            </w:r>
          </w:p>
        </w:tc>
        <w:tc>
          <w:tcPr>
            <w:tcW w:w="662" w:type="dxa"/>
            <w:tcBorders>
              <w:top w:val="nil"/>
              <w:left w:val="nil"/>
              <w:bottom w:val="nil"/>
              <w:right w:val="nil"/>
            </w:tcBorders>
            <w:shd w:val="clear" w:color="auto" w:fill="EAF1DD" w:themeFill="accent3" w:themeFillTint="33"/>
            <w:noWrap/>
            <w:vAlign w:val="bottom"/>
            <w:hideMark/>
          </w:tcPr>
          <w:p w14:paraId="0E6F6F78"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21,161</w:t>
            </w:r>
          </w:p>
        </w:tc>
        <w:tc>
          <w:tcPr>
            <w:tcW w:w="662" w:type="dxa"/>
            <w:tcBorders>
              <w:top w:val="nil"/>
              <w:left w:val="nil"/>
              <w:bottom w:val="nil"/>
              <w:right w:val="nil"/>
            </w:tcBorders>
            <w:shd w:val="clear" w:color="auto" w:fill="EAF1DD" w:themeFill="accent3" w:themeFillTint="33"/>
            <w:noWrap/>
            <w:vAlign w:val="bottom"/>
            <w:hideMark/>
          </w:tcPr>
          <w:p w14:paraId="6414170C"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21,499</w:t>
            </w:r>
          </w:p>
        </w:tc>
        <w:tc>
          <w:tcPr>
            <w:tcW w:w="662" w:type="dxa"/>
            <w:tcBorders>
              <w:top w:val="nil"/>
              <w:left w:val="nil"/>
              <w:bottom w:val="nil"/>
              <w:right w:val="nil"/>
            </w:tcBorders>
            <w:shd w:val="clear" w:color="auto" w:fill="EAF1DD" w:themeFill="accent3" w:themeFillTint="33"/>
            <w:noWrap/>
            <w:vAlign w:val="bottom"/>
            <w:hideMark/>
          </w:tcPr>
          <w:p w14:paraId="71C519FF"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21,984</w:t>
            </w:r>
          </w:p>
        </w:tc>
        <w:tc>
          <w:tcPr>
            <w:tcW w:w="662" w:type="dxa"/>
            <w:tcBorders>
              <w:top w:val="nil"/>
              <w:left w:val="nil"/>
              <w:bottom w:val="nil"/>
              <w:right w:val="nil"/>
            </w:tcBorders>
            <w:shd w:val="clear" w:color="auto" w:fill="EAF1DD" w:themeFill="accent3" w:themeFillTint="33"/>
            <w:noWrap/>
            <w:vAlign w:val="bottom"/>
            <w:hideMark/>
          </w:tcPr>
          <w:p w14:paraId="31834865"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21,707</w:t>
            </w:r>
          </w:p>
        </w:tc>
        <w:tc>
          <w:tcPr>
            <w:tcW w:w="662" w:type="dxa"/>
            <w:tcBorders>
              <w:top w:val="nil"/>
              <w:left w:val="nil"/>
              <w:bottom w:val="nil"/>
              <w:right w:val="nil"/>
            </w:tcBorders>
            <w:shd w:val="clear" w:color="auto" w:fill="EAF1DD" w:themeFill="accent3" w:themeFillTint="33"/>
            <w:noWrap/>
            <w:vAlign w:val="bottom"/>
            <w:hideMark/>
          </w:tcPr>
          <w:p w14:paraId="147D0ECE"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21,475</w:t>
            </w:r>
          </w:p>
        </w:tc>
        <w:tc>
          <w:tcPr>
            <w:tcW w:w="662" w:type="dxa"/>
            <w:tcBorders>
              <w:top w:val="nil"/>
              <w:left w:val="nil"/>
              <w:bottom w:val="nil"/>
              <w:right w:val="nil"/>
            </w:tcBorders>
            <w:shd w:val="clear" w:color="auto" w:fill="EAF1DD" w:themeFill="accent3" w:themeFillTint="33"/>
            <w:noWrap/>
            <w:vAlign w:val="bottom"/>
            <w:hideMark/>
          </w:tcPr>
          <w:p w14:paraId="1CADAC96"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21,740</w:t>
            </w:r>
          </w:p>
        </w:tc>
        <w:tc>
          <w:tcPr>
            <w:tcW w:w="820" w:type="dxa"/>
            <w:tcBorders>
              <w:top w:val="nil"/>
              <w:left w:val="nil"/>
              <w:bottom w:val="nil"/>
              <w:right w:val="nil"/>
            </w:tcBorders>
            <w:shd w:val="clear" w:color="auto" w:fill="EAF1DD" w:themeFill="accent3" w:themeFillTint="33"/>
            <w:noWrap/>
            <w:vAlign w:val="bottom"/>
            <w:hideMark/>
          </w:tcPr>
          <w:p w14:paraId="4DC2AF5D"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21,716</w:t>
            </w:r>
          </w:p>
        </w:tc>
      </w:tr>
      <w:tr w:rsidR="004C0F71" w14:paraId="4F372173" w14:textId="77777777" w:rsidTr="008A0E3B">
        <w:trPr>
          <w:trHeight w:val="300"/>
        </w:trPr>
        <w:tc>
          <w:tcPr>
            <w:tcW w:w="548" w:type="dxa"/>
            <w:tcBorders>
              <w:top w:val="nil"/>
              <w:left w:val="nil"/>
              <w:bottom w:val="nil"/>
              <w:right w:val="nil"/>
            </w:tcBorders>
            <w:shd w:val="clear" w:color="000000" w:fill="E2EFDA"/>
            <w:noWrap/>
            <w:vAlign w:val="bottom"/>
            <w:hideMark/>
          </w:tcPr>
          <w:p w14:paraId="46FDE0B8"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3</w:t>
            </w:r>
          </w:p>
        </w:tc>
        <w:tc>
          <w:tcPr>
            <w:tcW w:w="662" w:type="dxa"/>
            <w:tcBorders>
              <w:top w:val="nil"/>
              <w:left w:val="nil"/>
              <w:bottom w:val="nil"/>
              <w:right w:val="nil"/>
            </w:tcBorders>
            <w:shd w:val="clear" w:color="auto" w:fill="EAF1DD" w:themeFill="accent3" w:themeFillTint="33"/>
            <w:noWrap/>
            <w:vAlign w:val="bottom"/>
            <w:hideMark/>
          </w:tcPr>
          <w:p w14:paraId="14A2DC0C"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21,261</w:t>
            </w:r>
          </w:p>
        </w:tc>
        <w:tc>
          <w:tcPr>
            <w:tcW w:w="662" w:type="dxa"/>
            <w:tcBorders>
              <w:top w:val="nil"/>
              <w:left w:val="nil"/>
              <w:bottom w:val="nil"/>
              <w:right w:val="nil"/>
            </w:tcBorders>
            <w:shd w:val="clear" w:color="auto" w:fill="EAF1DD" w:themeFill="accent3" w:themeFillTint="33"/>
            <w:noWrap/>
            <w:vAlign w:val="bottom"/>
            <w:hideMark/>
          </w:tcPr>
          <w:p w14:paraId="46E06CBC"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21,561</w:t>
            </w:r>
          </w:p>
        </w:tc>
        <w:tc>
          <w:tcPr>
            <w:tcW w:w="662" w:type="dxa"/>
            <w:tcBorders>
              <w:top w:val="nil"/>
              <w:left w:val="nil"/>
              <w:bottom w:val="nil"/>
              <w:right w:val="nil"/>
            </w:tcBorders>
            <w:shd w:val="clear" w:color="auto" w:fill="EAF1DD" w:themeFill="accent3" w:themeFillTint="33"/>
            <w:noWrap/>
            <w:vAlign w:val="bottom"/>
            <w:hideMark/>
          </w:tcPr>
          <w:p w14:paraId="2AB840DD"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21,802</w:t>
            </w:r>
          </w:p>
        </w:tc>
        <w:tc>
          <w:tcPr>
            <w:tcW w:w="662" w:type="dxa"/>
            <w:tcBorders>
              <w:top w:val="nil"/>
              <w:left w:val="nil"/>
              <w:bottom w:val="nil"/>
              <w:right w:val="nil"/>
            </w:tcBorders>
            <w:shd w:val="clear" w:color="auto" w:fill="EAF1DD" w:themeFill="accent3" w:themeFillTint="33"/>
            <w:noWrap/>
            <w:vAlign w:val="bottom"/>
            <w:hideMark/>
          </w:tcPr>
          <w:p w14:paraId="799D2C95"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22,238</w:t>
            </w:r>
          </w:p>
        </w:tc>
        <w:tc>
          <w:tcPr>
            <w:tcW w:w="662" w:type="dxa"/>
            <w:tcBorders>
              <w:top w:val="nil"/>
              <w:left w:val="nil"/>
              <w:bottom w:val="nil"/>
              <w:right w:val="nil"/>
            </w:tcBorders>
            <w:shd w:val="clear" w:color="auto" w:fill="EAF1DD" w:themeFill="accent3" w:themeFillTint="33"/>
            <w:noWrap/>
            <w:vAlign w:val="bottom"/>
            <w:hideMark/>
          </w:tcPr>
          <w:p w14:paraId="1DC44937"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21,745</w:t>
            </w:r>
          </w:p>
        </w:tc>
        <w:tc>
          <w:tcPr>
            <w:tcW w:w="662" w:type="dxa"/>
            <w:tcBorders>
              <w:top w:val="nil"/>
              <w:left w:val="nil"/>
              <w:bottom w:val="nil"/>
              <w:right w:val="nil"/>
            </w:tcBorders>
            <w:shd w:val="clear" w:color="auto" w:fill="EAF1DD" w:themeFill="accent3" w:themeFillTint="33"/>
            <w:noWrap/>
            <w:vAlign w:val="bottom"/>
            <w:hideMark/>
          </w:tcPr>
          <w:p w14:paraId="0E398AD7"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21,595</w:t>
            </w:r>
          </w:p>
        </w:tc>
        <w:tc>
          <w:tcPr>
            <w:tcW w:w="662" w:type="dxa"/>
            <w:tcBorders>
              <w:top w:val="nil"/>
              <w:left w:val="nil"/>
              <w:bottom w:val="nil"/>
              <w:right w:val="nil"/>
            </w:tcBorders>
            <w:shd w:val="clear" w:color="auto" w:fill="EAF1DD" w:themeFill="accent3" w:themeFillTint="33"/>
            <w:noWrap/>
            <w:vAlign w:val="bottom"/>
            <w:hideMark/>
          </w:tcPr>
          <w:p w14:paraId="50901500"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21,442</w:t>
            </w:r>
          </w:p>
        </w:tc>
        <w:tc>
          <w:tcPr>
            <w:tcW w:w="662" w:type="dxa"/>
            <w:tcBorders>
              <w:top w:val="nil"/>
              <w:left w:val="nil"/>
              <w:bottom w:val="nil"/>
              <w:right w:val="nil"/>
            </w:tcBorders>
            <w:shd w:val="clear" w:color="auto" w:fill="EAF1DD" w:themeFill="accent3" w:themeFillTint="33"/>
            <w:noWrap/>
            <w:vAlign w:val="bottom"/>
            <w:hideMark/>
          </w:tcPr>
          <w:p w14:paraId="428271FF"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22,003</w:t>
            </w:r>
          </w:p>
        </w:tc>
        <w:tc>
          <w:tcPr>
            <w:tcW w:w="662" w:type="dxa"/>
            <w:tcBorders>
              <w:top w:val="nil"/>
              <w:left w:val="nil"/>
              <w:bottom w:val="nil"/>
              <w:right w:val="nil"/>
            </w:tcBorders>
            <w:shd w:val="clear" w:color="auto" w:fill="EAF1DD" w:themeFill="accent3" w:themeFillTint="33"/>
            <w:noWrap/>
            <w:vAlign w:val="bottom"/>
            <w:hideMark/>
          </w:tcPr>
          <w:p w14:paraId="215C2B0A"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21,611</w:t>
            </w:r>
          </w:p>
        </w:tc>
        <w:tc>
          <w:tcPr>
            <w:tcW w:w="662" w:type="dxa"/>
            <w:tcBorders>
              <w:top w:val="nil"/>
              <w:left w:val="nil"/>
              <w:bottom w:val="nil"/>
              <w:right w:val="nil"/>
            </w:tcBorders>
            <w:shd w:val="clear" w:color="auto" w:fill="EAF1DD" w:themeFill="accent3" w:themeFillTint="33"/>
            <w:noWrap/>
            <w:vAlign w:val="bottom"/>
            <w:hideMark/>
          </w:tcPr>
          <w:p w14:paraId="67EBEB95"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21,082</w:t>
            </w:r>
          </w:p>
        </w:tc>
        <w:tc>
          <w:tcPr>
            <w:tcW w:w="662" w:type="dxa"/>
            <w:tcBorders>
              <w:top w:val="nil"/>
              <w:left w:val="nil"/>
              <w:bottom w:val="nil"/>
              <w:right w:val="nil"/>
            </w:tcBorders>
            <w:shd w:val="clear" w:color="auto" w:fill="EAF1DD" w:themeFill="accent3" w:themeFillTint="33"/>
            <w:noWrap/>
            <w:vAlign w:val="bottom"/>
            <w:hideMark/>
          </w:tcPr>
          <w:p w14:paraId="60B9A1DF"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21,425</w:t>
            </w:r>
          </w:p>
        </w:tc>
        <w:tc>
          <w:tcPr>
            <w:tcW w:w="662" w:type="dxa"/>
            <w:tcBorders>
              <w:top w:val="nil"/>
              <w:left w:val="nil"/>
              <w:bottom w:val="nil"/>
              <w:right w:val="nil"/>
            </w:tcBorders>
            <w:shd w:val="clear" w:color="auto" w:fill="EAF1DD" w:themeFill="accent3" w:themeFillTint="33"/>
            <w:noWrap/>
            <w:vAlign w:val="bottom"/>
            <w:hideMark/>
          </w:tcPr>
          <w:p w14:paraId="4C83D3AF"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21,944</w:t>
            </w:r>
          </w:p>
        </w:tc>
        <w:tc>
          <w:tcPr>
            <w:tcW w:w="662" w:type="dxa"/>
            <w:tcBorders>
              <w:top w:val="nil"/>
              <w:left w:val="nil"/>
              <w:bottom w:val="nil"/>
              <w:right w:val="nil"/>
            </w:tcBorders>
            <w:shd w:val="clear" w:color="auto" w:fill="EAF1DD" w:themeFill="accent3" w:themeFillTint="33"/>
            <w:noWrap/>
            <w:vAlign w:val="bottom"/>
            <w:hideMark/>
          </w:tcPr>
          <w:p w14:paraId="785CBB16"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21,645</w:t>
            </w:r>
          </w:p>
        </w:tc>
        <w:tc>
          <w:tcPr>
            <w:tcW w:w="662" w:type="dxa"/>
            <w:tcBorders>
              <w:top w:val="nil"/>
              <w:left w:val="nil"/>
              <w:bottom w:val="nil"/>
              <w:right w:val="nil"/>
            </w:tcBorders>
            <w:shd w:val="clear" w:color="auto" w:fill="EAF1DD" w:themeFill="accent3" w:themeFillTint="33"/>
            <w:noWrap/>
            <w:vAlign w:val="bottom"/>
            <w:hideMark/>
          </w:tcPr>
          <w:p w14:paraId="18822505"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21,411</w:t>
            </w:r>
          </w:p>
        </w:tc>
        <w:tc>
          <w:tcPr>
            <w:tcW w:w="662" w:type="dxa"/>
            <w:tcBorders>
              <w:top w:val="nil"/>
              <w:left w:val="nil"/>
              <w:bottom w:val="nil"/>
              <w:right w:val="nil"/>
            </w:tcBorders>
            <w:shd w:val="clear" w:color="auto" w:fill="EAF1DD" w:themeFill="accent3" w:themeFillTint="33"/>
            <w:noWrap/>
            <w:vAlign w:val="bottom"/>
            <w:hideMark/>
          </w:tcPr>
          <w:p w14:paraId="53D2E531"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21,719</w:t>
            </w:r>
          </w:p>
        </w:tc>
        <w:tc>
          <w:tcPr>
            <w:tcW w:w="820" w:type="dxa"/>
            <w:tcBorders>
              <w:top w:val="nil"/>
              <w:left w:val="nil"/>
              <w:bottom w:val="nil"/>
              <w:right w:val="nil"/>
            </w:tcBorders>
            <w:shd w:val="clear" w:color="auto" w:fill="EAF1DD" w:themeFill="accent3" w:themeFillTint="33"/>
            <w:noWrap/>
            <w:vAlign w:val="bottom"/>
            <w:hideMark/>
          </w:tcPr>
          <w:p w14:paraId="5CAF615D"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21,632</w:t>
            </w:r>
          </w:p>
        </w:tc>
      </w:tr>
      <w:tr w:rsidR="004C0F71" w14:paraId="7FD89658" w14:textId="77777777" w:rsidTr="008A0E3B">
        <w:trPr>
          <w:trHeight w:val="300"/>
        </w:trPr>
        <w:tc>
          <w:tcPr>
            <w:tcW w:w="548" w:type="dxa"/>
            <w:tcBorders>
              <w:top w:val="nil"/>
              <w:left w:val="nil"/>
              <w:bottom w:val="nil"/>
              <w:right w:val="nil"/>
            </w:tcBorders>
            <w:shd w:val="clear" w:color="000000" w:fill="E2EFDA"/>
            <w:noWrap/>
            <w:vAlign w:val="bottom"/>
            <w:hideMark/>
          </w:tcPr>
          <w:p w14:paraId="110B0B80"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4</w:t>
            </w:r>
          </w:p>
        </w:tc>
        <w:tc>
          <w:tcPr>
            <w:tcW w:w="662" w:type="dxa"/>
            <w:tcBorders>
              <w:top w:val="nil"/>
              <w:left w:val="nil"/>
              <w:bottom w:val="nil"/>
              <w:right w:val="nil"/>
            </w:tcBorders>
            <w:shd w:val="clear" w:color="auto" w:fill="EAF1DD" w:themeFill="accent3" w:themeFillTint="33"/>
            <w:noWrap/>
            <w:vAlign w:val="bottom"/>
            <w:hideMark/>
          </w:tcPr>
          <w:p w14:paraId="6FC4F55B"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21,231</w:t>
            </w:r>
          </w:p>
        </w:tc>
        <w:tc>
          <w:tcPr>
            <w:tcW w:w="662" w:type="dxa"/>
            <w:tcBorders>
              <w:top w:val="nil"/>
              <w:left w:val="nil"/>
              <w:bottom w:val="nil"/>
              <w:right w:val="nil"/>
            </w:tcBorders>
            <w:shd w:val="clear" w:color="auto" w:fill="EAF1DD" w:themeFill="accent3" w:themeFillTint="33"/>
            <w:noWrap/>
            <w:vAlign w:val="bottom"/>
            <w:hideMark/>
          </w:tcPr>
          <w:p w14:paraId="72058550"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21,553</w:t>
            </w:r>
          </w:p>
        </w:tc>
        <w:tc>
          <w:tcPr>
            <w:tcW w:w="662" w:type="dxa"/>
            <w:tcBorders>
              <w:top w:val="nil"/>
              <w:left w:val="nil"/>
              <w:bottom w:val="nil"/>
              <w:right w:val="nil"/>
            </w:tcBorders>
            <w:shd w:val="clear" w:color="auto" w:fill="EAF1DD" w:themeFill="accent3" w:themeFillTint="33"/>
            <w:noWrap/>
            <w:vAlign w:val="bottom"/>
            <w:hideMark/>
          </w:tcPr>
          <w:p w14:paraId="58D84592"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21,800</w:t>
            </w:r>
          </w:p>
        </w:tc>
        <w:tc>
          <w:tcPr>
            <w:tcW w:w="662" w:type="dxa"/>
            <w:tcBorders>
              <w:top w:val="nil"/>
              <w:left w:val="nil"/>
              <w:bottom w:val="nil"/>
              <w:right w:val="nil"/>
            </w:tcBorders>
            <w:shd w:val="clear" w:color="auto" w:fill="EAF1DD" w:themeFill="accent3" w:themeFillTint="33"/>
            <w:noWrap/>
            <w:vAlign w:val="bottom"/>
            <w:hideMark/>
          </w:tcPr>
          <w:p w14:paraId="7BF1E773"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22,193</w:t>
            </w:r>
          </w:p>
        </w:tc>
        <w:tc>
          <w:tcPr>
            <w:tcW w:w="662" w:type="dxa"/>
            <w:tcBorders>
              <w:top w:val="nil"/>
              <w:left w:val="nil"/>
              <w:bottom w:val="nil"/>
              <w:right w:val="nil"/>
            </w:tcBorders>
            <w:shd w:val="clear" w:color="auto" w:fill="EAF1DD" w:themeFill="accent3" w:themeFillTint="33"/>
            <w:noWrap/>
            <w:vAlign w:val="bottom"/>
            <w:hideMark/>
          </w:tcPr>
          <w:p w14:paraId="0A4918D2"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21,724</w:t>
            </w:r>
          </w:p>
        </w:tc>
        <w:tc>
          <w:tcPr>
            <w:tcW w:w="662" w:type="dxa"/>
            <w:tcBorders>
              <w:top w:val="nil"/>
              <w:left w:val="nil"/>
              <w:bottom w:val="nil"/>
              <w:right w:val="nil"/>
            </w:tcBorders>
            <w:shd w:val="clear" w:color="auto" w:fill="EAF1DD" w:themeFill="accent3" w:themeFillTint="33"/>
            <w:noWrap/>
            <w:vAlign w:val="bottom"/>
            <w:hideMark/>
          </w:tcPr>
          <w:p w14:paraId="3149F573"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21,586</w:t>
            </w:r>
          </w:p>
        </w:tc>
        <w:tc>
          <w:tcPr>
            <w:tcW w:w="662" w:type="dxa"/>
            <w:tcBorders>
              <w:top w:val="nil"/>
              <w:left w:val="nil"/>
              <w:bottom w:val="nil"/>
              <w:right w:val="nil"/>
            </w:tcBorders>
            <w:shd w:val="clear" w:color="auto" w:fill="EAF1DD" w:themeFill="accent3" w:themeFillTint="33"/>
            <w:noWrap/>
            <w:vAlign w:val="bottom"/>
            <w:hideMark/>
          </w:tcPr>
          <w:p w14:paraId="7D5A095A"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21,348</w:t>
            </w:r>
          </w:p>
        </w:tc>
        <w:tc>
          <w:tcPr>
            <w:tcW w:w="662" w:type="dxa"/>
            <w:tcBorders>
              <w:top w:val="nil"/>
              <w:left w:val="nil"/>
              <w:bottom w:val="nil"/>
              <w:right w:val="nil"/>
            </w:tcBorders>
            <w:shd w:val="clear" w:color="auto" w:fill="EAF1DD" w:themeFill="accent3" w:themeFillTint="33"/>
            <w:noWrap/>
            <w:vAlign w:val="bottom"/>
            <w:hideMark/>
          </w:tcPr>
          <w:p w14:paraId="0225B3F7"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21,887</w:t>
            </w:r>
          </w:p>
        </w:tc>
        <w:tc>
          <w:tcPr>
            <w:tcW w:w="662" w:type="dxa"/>
            <w:tcBorders>
              <w:top w:val="nil"/>
              <w:left w:val="nil"/>
              <w:bottom w:val="nil"/>
              <w:right w:val="nil"/>
            </w:tcBorders>
            <w:shd w:val="clear" w:color="auto" w:fill="EAF1DD" w:themeFill="accent3" w:themeFillTint="33"/>
            <w:noWrap/>
            <w:vAlign w:val="bottom"/>
            <w:hideMark/>
          </w:tcPr>
          <w:p w14:paraId="7B75BE5A"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21,578</w:t>
            </w:r>
          </w:p>
        </w:tc>
        <w:tc>
          <w:tcPr>
            <w:tcW w:w="662" w:type="dxa"/>
            <w:tcBorders>
              <w:top w:val="nil"/>
              <w:left w:val="nil"/>
              <w:bottom w:val="nil"/>
              <w:right w:val="nil"/>
            </w:tcBorders>
            <w:shd w:val="clear" w:color="auto" w:fill="EAF1DD" w:themeFill="accent3" w:themeFillTint="33"/>
            <w:noWrap/>
            <w:vAlign w:val="bottom"/>
            <w:hideMark/>
          </w:tcPr>
          <w:p w14:paraId="6F1488AB"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21,070</w:t>
            </w:r>
          </w:p>
        </w:tc>
        <w:tc>
          <w:tcPr>
            <w:tcW w:w="662" w:type="dxa"/>
            <w:tcBorders>
              <w:top w:val="nil"/>
              <w:left w:val="nil"/>
              <w:bottom w:val="nil"/>
              <w:right w:val="nil"/>
            </w:tcBorders>
            <w:shd w:val="clear" w:color="auto" w:fill="EAF1DD" w:themeFill="accent3" w:themeFillTint="33"/>
            <w:noWrap/>
            <w:vAlign w:val="bottom"/>
            <w:hideMark/>
          </w:tcPr>
          <w:p w14:paraId="01CBF05A"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21,398</w:t>
            </w:r>
          </w:p>
        </w:tc>
        <w:tc>
          <w:tcPr>
            <w:tcW w:w="662" w:type="dxa"/>
            <w:tcBorders>
              <w:top w:val="nil"/>
              <w:left w:val="nil"/>
              <w:bottom w:val="nil"/>
              <w:right w:val="nil"/>
            </w:tcBorders>
            <w:shd w:val="clear" w:color="auto" w:fill="EAF1DD" w:themeFill="accent3" w:themeFillTint="33"/>
            <w:noWrap/>
            <w:vAlign w:val="bottom"/>
            <w:hideMark/>
          </w:tcPr>
          <w:p w14:paraId="07D0534A"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21,935</w:t>
            </w:r>
          </w:p>
        </w:tc>
        <w:tc>
          <w:tcPr>
            <w:tcW w:w="662" w:type="dxa"/>
            <w:tcBorders>
              <w:top w:val="nil"/>
              <w:left w:val="nil"/>
              <w:bottom w:val="nil"/>
              <w:right w:val="nil"/>
            </w:tcBorders>
            <w:shd w:val="clear" w:color="auto" w:fill="EAF1DD" w:themeFill="accent3" w:themeFillTint="33"/>
            <w:noWrap/>
            <w:vAlign w:val="bottom"/>
            <w:hideMark/>
          </w:tcPr>
          <w:p w14:paraId="5E17DFE7"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21,638</w:t>
            </w:r>
          </w:p>
        </w:tc>
        <w:tc>
          <w:tcPr>
            <w:tcW w:w="662" w:type="dxa"/>
            <w:tcBorders>
              <w:top w:val="nil"/>
              <w:left w:val="nil"/>
              <w:bottom w:val="nil"/>
              <w:right w:val="nil"/>
            </w:tcBorders>
            <w:shd w:val="clear" w:color="auto" w:fill="EAF1DD" w:themeFill="accent3" w:themeFillTint="33"/>
            <w:noWrap/>
            <w:vAlign w:val="bottom"/>
            <w:hideMark/>
          </w:tcPr>
          <w:p w14:paraId="54F57D38"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21,403</w:t>
            </w:r>
          </w:p>
        </w:tc>
        <w:tc>
          <w:tcPr>
            <w:tcW w:w="662" w:type="dxa"/>
            <w:tcBorders>
              <w:top w:val="nil"/>
              <w:left w:val="nil"/>
              <w:bottom w:val="nil"/>
              <w:right w:val="nil"/>
            </w:tcBorders>
            <w:shd w:val="clear" w:color="auto" w:fill="EAF1DD" w:themeFill="accent3" w:themeFillTint="33"/>
            <w:noWrap/>
            <w:vAlign w:val="bottom"/>
            <w:hideMark/>
          </w:tcPr>
          <w:p w14:paraId="68D1B5DE"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21,668</w:t>
            </w:r>
          </w:p>
        </w:tc>
        <w:tc>
          <w:tcPr>
            <w:tcW w:w="820" w:type="dxa"/>
            <w:tcBorders>
              <w:top w:val="nil"/>
              <w:left w:val="nil"/>
              <w:bottom w:val="nil"/>
              <w:right w:val="nil"/>
            </w:tcBorders>
            <w:shd w:val="clear" w:color="auto" w:fill="EAF1DD" w:themeFill="accent3" w:themeFillTint="33"/>
            <w:noWrap/>
            <w:vAlign w:val="bottom"/>
            <w:hideMark/>
          </w:tcPr>
          <w:p w14:paraId="503AEE66"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21,601</w:t>
            </w:r>
          </w:p>
        </w:tc>
      </w:tr>
      <w:tr w:rsidR="004C0F71" w14:paraId="17A22E6C" w14:textId="77777777" w:rsidTr="008A0E3B">
        <w:trPr>
          <w:trHeight w:val="300"/>
        </w:trPr>
        <w:tc>
          <w:tcPr>
            <w:tcW w:w="548" w:type="dxa"/>
            <w:tcBorders>
              <w:top w:val="nil"/>
              <w:left w:val="nil"/>
              <w:bottom w:val="nil"/>
              <w:right w:val="nil"/>
            </w:tcBorders>
            <w:shd w:val="clear" w:color="000000" w:fill="E2EFDA"/>
            <w:noWrap/>
            <w:vAlign w:val="bottom"/>
            <w:hideMark/>
          </w:tcPr>
          <w:p w14:paraId="330C9F43"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5</w:t>
            </w:r>
          </w:p>
        </w:tc>
        <w:tc>
          <w:tcPr>
            <w:tcW w:w="662" w:type="dxa"/>
            <w:tcBorders>
              <w:top w:val="nil"/>
              <w:left w:val="nil"/>
              <w:bottom w:val="nil"/>
              <w:right w:val="nil"/>
            </w:tcBorders>
            <w:shd w:val="clear" w:color="auto" w:fill="EAF1DD" w:themeFill="accent3" w:themeFillTint="33"/>
            <w:noWrap/>
            <w:vAlign w:val="bottom"/>
            <w:hideMark/>
          </w:tcPr>
          <w:p w14:paraId="06469965"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21,141</w:t>
            </w:r>
          </w:p>
        </w:tc>
        <w:tc>
          <w:tcPr>
            <w:tcW w:w="662" w:type="dxa"/>
            <w:tcBorders>
              <w:top w:val="nil"/>
              <w:left w:val="nil"/>
              <w:bottom w:val="nil"/>
              <w:right w:val="nil"/>
            </w:tcBorders>
            <w:shd w:val="clear" w:color="auto" w:fill="EAF1DD" w:themeFill="accent3" w:themeFillTint="33"/>
            <w:noWrap/>
            <w:vAlign w:val="bottom"/>
            <w:hideMark/>
          </w:tcPr>
          <w:p w14:paraId="5D77792D"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21,550</w:t>
            </w:r>
          </w:p>
        </w:tc>
        <w:tc>
          <w:tcPr>
            <w:tcW w:w="662" w:type="dxa"/>
            <w:tcBorders>
              <w:top w:val="nil"/>
              <w:left w:val="nil"/>
              <w:bottom w:val="nil"/>
              <w:right w:val="nil"/>
            </w:tcBorders>
            <w:shd w:val="clear" w:color="auto" w:fill="EAF1DD" w:themeFill="accent3" w:themeFillTint="33"/>
            <w:noWrap/>
            <w:vAlign w:val="bottom"/>
            <w:hideMark/>
          </w:tcPr>
          <w:p w14:paraId="4B70AA1C"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21,763</w:t>
            </w:r>
          </w:p>
        </w:tc>
        <w:tc>
          <w:tcPr>
            <w:tcW w:w="662" w:type="dxa"/>
            <w:tcBorders>
              <w:top w:val="nil"/>
              <w:left w:val="nil"/>
              <w:bottom w:val="nil"/>
              <w:right w:val="nil"/>
            </w:tcBorders>
            <w:shd w:val="clear" w:color="auto" w:fill="EAF1DD" w:themeFill="accent3" w:themeFillTint="33"/>
            <w:noWrap/>
            <w:vAlign w:val="bottom"/>
            <w:hideMark/>
          </w:tcPr>
          <w:p w14:paraId="3C3ACA31"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22,175</w:t>
            </w:r>
          </w:p>
        </w:tc>
        <w:tc>
          <w:tcPr>
            <w:tcW w:w="662" w:type="dxa"/>
            <w:tcBorders>
              <w:top w:val="nil"/>
              <w:left w:val="nil"/>
              <w:bottom w:val="nil"/>
              <w:right w:val="nil"/>
            </w:tcBorders>
            <w:shd w:val="clear" w:color="auto" w:fill="EAF1DD" w:themeFill="accent3" w:themeFillTint="33"/>
            <w:noWrap/>
            <w:vAlign w:val="bottom"/>
            <w:hideMark/>
          </w:tcPr>
          <w:p w14:paraId="366B815C"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21,557</w:t>
            </w:r>
          </w:p>
        </w:tc>
        <w:tc>
          <w:tcPr>
            <w:tcW w:w="662" w:type="dxa"/>
            <w:tcBorders>
              <w:top w:val="nil"/>
              <w:left w:val="nil"/>
              <w:bottom w:val="nil"/>
              <w:right w:val="nil"/>
            </w:tcBorders>
            <w:shd w:val="clear" w:color="auto" w:fill="EAF1DD" w:themeFill="accent3" w:themeFillTint="33"/>
            <w:noWrap/>
            <w:vAlign w:val="bottom"/>
            <w:hideMark/>
          </w:tcPr>
          <w:p w14:paraId="554E6BCE"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21,577</w:t>
            </w:r>
          </w:p>
        </w:tc>
        <w:tc>
          <w:tcPr>
            <w:tcW w:w="662" w:type="dxa"/>
            <w:tcBorders>
              <w:top w:val="nil"/>
              <w:left w:val="nil"/>
              <w:bottom w:val="nil"/>
              <w:right w:val="nil"/>
            </w:tcBorders>
            <w:shd w:val="clear" w:color="auto" w:fill="EAF1DD" w:themeFill="accent3" w:themeFillTint="33"/>
            <w:noWrap/>
            <w:vAlign w:val="bottom"/>
            <w:hideMark/>
          </w:tcPr>
          <w:p w14:paraId="3C8A9F51"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21,275</w:t>
            </w:r>
          </w:p>
        </w:tc>
        <w:tc>
          <w:tcPr>
            <w:tcW w:w="662" w:type="dxa"/>
            <w:tcBorders>
              <w:top w:val="nil"/>
              <w:left w:val="nil"/>
              <w:bottom w:val="nil"/>
              <w:right w:val="nil"/>
            </w:tcBorders>
            <w:shd w:val="clear" w:color="auto" w:fill="EAF1DD" w:themeFill="accent3" w:themeFillTint="33"/>
            <w:noWrap/>
            <w:vAlign w:val="bottom"/>
            <w:hideMark/>
          </w:tcPr>
          <w:p w14:paraId="2D0ECC54"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21,840</w:t>
            </w:r>
          </w:p>
        </w:tc>
        <w:tc>
          <w:tcPr>
            <w:tcW w:w="662" w:type="dxa"/>
            <w:tcBorders>
              <w:top w:val="nil"/>
              <w:left w:val="nil"/>
              <w:bottom w:val="nil"/>
              <w:right w:val="nil"/>
            </w:tcBorders>
            <w:shd w:val="clear" w:color="auto" w:fill="EAF1DD" w:themeFill="accent3" w:themeFillTint="33"/>
            <w:noWrap/>
            <w:vAlign w:val="bottom"/>
            <w:hideMark/>
          </w:tcPr>
          <w:p w14:paraId="2BC18D8E"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21,567</w:t>
            </w:r>
          </w:p>
        </w:tc>
        <w:tc>
          <w:tcPr>
            <w:tcW w:w="662" w:type="dxa"/>
            <w:tcBorders>
              <w:top w:val="nil"/>
              <w:left w:val="nil"/>
              <w:bottom w:val="nil"/>
              <w:right w:val="nil"/>
            </w:tcBorders>
            <w:shd w:val="clear" w:color="auto" w:fill="EAF1DD" w:themeFill="accent3" w:themeFillTint="33"/>
            <w:noWrap/>
            <w:vAlign w:val="bottom"/>
            <w:hideMark/>
          </w:tcPr>
          <w:p w14:paraId="3B604EA9"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21,059</w:t>
            </w:r>
          </w:p>
        </w:tc>
        <w:tc>
          <w:tcPr>
            <w:tcW w:w="662" w:type="dxa"/>
            <w:tcBorders>
              <w:top w:val="nil"/>
              <w:left w:val="nil"/>
              <w:bottom w:val="nil"/>
              <w:right w:val="nil"/>
            </w:tcBorders>
            <w:shd w:val="clear" w:color="auto" w:fill="EAF1DD" w:themeFill="accent3" w:themeFillTint="33"/>
            <w:noWrap/>
            <w:vAlign w:val="bottom"/>
            <w:hideMark/>
          </w:tcPr>
          <w:p w14:paraId="78B68D92"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21,396</w:t>
            </w:r>
          </w:p>
        </w:tc>
        <w:tc>
          <w:tcPr>
            <w:tcW w:w="662" w:type="dxa"/>
            <w:tcBorders>
              <w:top w:val="nil"/>
              <w:left w:val="nil"/>
              <w:bottom w:val="nil"/>
              <w:right w:val="nil"/>
            </w:tcBorders>
            <w:shd w:val="clear" w:color="auto" w:fill="EAF1DD" w:themeFill="accent3" w:themeFillTint="33"/>
            <w:noWrap/>
            <w:vAlign w:val="bottom"/>
            <w:hideMark/>
          </w:tcPr>
          <w:p w14:paraId="0E6214A0"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21,898</w:t>
            </w:r>
          </w:p>
        </w:tc>
        <w:tc>
          <w:tcPr>
            <w:tcW w:w="662" w:type="dxa"/>
            <w:tcBorders>
              <w:top w:val="nil"/>
              <w:left w:val="nil"/>
              <w:bottom w:val="nil"/>
              <w:right w:val="nil"/>
            </w:tcBorders>
            <w:shd w:val="clear" w:color="auto" w:fill="EAF1DD" w:themeFill="accent3" w:themeFillTint="33"/>
            <w:noWrap/>
            <w:vAlign w:val="bottom"/>
            <w:hideMark/>
          </w:tcPr>
          <w:p w14:paraId="63BDF7E5"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21,598</w:t>
            </w:r>
          </w:p>
        </w:tc>
        <w:tc>
          <w:tcPr>
            <w:tcW w:w="662" w:type="dxa"/>
            <w:tcBorders>
              <w:top w:val="nil"/>
              <w:left w:val="nil"/>
              <w:bottom w:val="nil"/>
              <w:right w:val="nil"/>
            </w:tcBorders>
            <w:shd w:val="clear" w:color="auto" w:fill="EAF1DD" w:themeFill="accent3" w:themeFillTint="33"/>
            <w:noWrap/>
            <w:vAlign w:val="bottom"/>
            <w:hideMark/>
          </w:tcPr>
          <w:p w14:paraId="09DBE7C2"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21,375</w:t>
            </w:r>
          </w:p>
        </w:tc>
        <w:tc>
          <w:tcPr>
            <w:tcW w:w="662" w:type="dxa"/>
            <w:tcBorders>
              <w:top w:val="nil"/>
              <w:left w:val="nil"/>
              <w:bottom w:val="nil"/>
              <w:right w:val="nil"/>
            </w:tcBorders>
            <w:shd w:val="clear" w:color="auto" w:fill="EAF1DD" w:themeFill="accent3" w:themeFillTint="33"/>
            <w:noWrap/>
            <w:vAlign w:val="bottom"/>
            <w:hideMark/>
          </w:tcPr>
          <w:p w14:paraId="5456AF9A"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21,667</w:t>
            </w:r>
          </w:p>
        </w:tc>
        <w:tc>
          <w:tcPr>
            <w:tcW w:w="820" w:type="dxa"/>
            <w:tcBorders>
              <w:top w:val="nil"/>
              <w:left w:val="nil"/>
              <w:bottom w:val="nil"/>
              <w:right w:val="nil"/>
            </w:tcBorders>
            <w:shd w:val="clear" w:color="auto" w:fill="EAF1DD" w:themeFill="accent3" w:themeFillTint="33"/>
            <w:noWrap/>
            <w:vAlign w:val="bottom"/>
            <w:hideMark/>
          </w:tcPr>
          <w:p w14:paraId="1C9B94A5"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21,563</w:t>
            </w:r>
          </w:p>
        </w:tc>
      </w:tr>
      <w:tr w:rsidR="004C0F71" w14:paraId="566D0FBD" w14:textId="77777777" w:rsidTr="008A0E3B">
        <w:trPr>
          <w:trHeight w:val="300"/>
        </w:trPr>
        <w:tc>
          <w:tcPr>
            <w:tcW w:w="548" w:type="dxa"/>
            <w:tcBorders>
              <w:top w:val="nil"/>
              <w:left w:val="nil"/>
              <w:bottom w:val="nil"/>
              <w:right w:val="nil"/>
            </w:tcBorders>
            <w:shd w:val="clear" w:color="000000" w:fill="E2EFDA"/>
            <w:noWrap/>
            <w:vAlign w:val="bottom"/>
            <w:hideMark/>
          </w:tcPr>
          <w:p w14:paraId="43DBACB7"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 </w:t>
            </w:r>
          </w:p>
        </w:tc>
        <w:tc>
          <w:tcPr>
            <w:tcW w:w="662" w:type="dxa"/>
            <w:tcBorders>
              <w:top w:val="nil"/>
              <w:left w:val="nil"/>
              <w:bottom w:val="nil"/>
              <w:right w:val="nil"/>
            </w:tcBorders>
            <w:shd w:val="clear" w:color="000000" w:fill="E2EFDA"/>
            <w:noWrap/>
            <w:vAlign w:val="bottom"/>
            <w:hideMark/>
          </w:tcPr>
          <w:p w14:paraId="5D7DCD42"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3E384294"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0F5F0D4C"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4C8DD4CE"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7829C583"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758B3B42"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796D38CD"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6E290AFA"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3797186D"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3A90CDF6"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603A3154"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338350FD"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4FC6BBD9"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162147AE"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15C79B81"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820" w:type="dxa"/>
            <w:tcBorders>
              <w:top w:val="nil"/>
              <w:left w:val="nil"/>
              <w:bottom w:val="nil"/>
              <w:right w:val="nil"/>
            </w:tcBorders>
            <w:shd w:val="clear" w:color="000000" w:fill="E2EFDA"/>
            <w:noWrap/>
            <w:vAlign w:val="bottom"/>
            <w:hideMark/>
          </w:tcPr>
          <w:p w14:paraId="25A56DAB"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r>
      <w:tr w:rsidR="004C0F71" w14:paraId="7AB71EE0" w14:textId="77777777" w:rsidTr="008A0E3B">
        <w:trPr>
          <w:trHeight w:val="300"/>
        </w:trPr>
        <w:tc>
          <w:tcPr>
            <w:tcW w:w="548" w:type="dxa"/>
            <w:tcBorders>
              <w:top w:val="nil"/>
              <w:left w:val="nil"/>
              <w:bottom w:val="nil"/>
              <w:right w:val="nil"/>
            </w:tcBorders>
            <w:shd w:val="clear" w:color="000000" w:fill="E2EFDA"/>
            <w:noWrap/>
            <w:vAlign w:val="bottom"/>
            <w:hideMark/>
          </w:tcPr>
          <w:p w14:paraId="31019E9A"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 </w:t>
            </w:r>
          </w:p>
        </w:tc>
        <w:tc>
          <w:tcPr>
            <w:tcW w:w="662" w:type="dxa"/>
            <w:tcBorders>
              <w:top w:val="nil"/>
              <w:left w:val="nil"/>
              <w:bottom w:val="nil"/>
              <w:right w:val="nil"/>
            </w:tcBorders>
            <w:shd w:val="clear" w:color="000000" w:fill="E2EFDA"/>
            <w:noWrap/>
            <w:vAlign w:val="bottom"/>
            <w:hideMark/>
          </w:tcPr>
          <w:p w14:paraId="262E44BA"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580F51AF"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5EBD96AA"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2A49EDC6"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71337BA0"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5F1A99E4"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1A8EA7E8"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6DCC2E38"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4D160A5C"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61985A8A"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2CD64849"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339FDE6E"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1724E77F"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7DD1BC30"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bottom w:val="nil"/>
              <w:right w:val="nil"/>
            </w:tcBorders>
            <w:shd w:val="clear" w:color="000000" w:fill="E2EFDA"/>
            <w:noWrap/>
            <w:vAlign w:val="bottom"/>
            <w:hideMark/>
          </w:tcPr>
          <w:p w14:paraId="722D8175"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820" w:type="dxa"/>
            <w:tcBorders>
              <w:top w:val="nil"/>
              <w:left w:val="nil"/>
              <w:bottom w:val="nil"/>
              <w:right w:val="nil"/>
            </w:tcBorders>
            <w:shd w:val="clear" w:color="000000" w:fill="E2EFDA"/>
            <w:noWrap/>
            <w:vAlign w:val="bottom"/>
            <w:hideMark/>
          </w:tcPr>
          <w:p w14:paraId="56CC67CE"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r>
      <w:tr w:rsidR="004C0F71" w14:paraId="59A41B8B" w14:textId="77777777" w:rsidTr="008A0E3B">
        <w:trPr>
          <w:trHeight w:val="300"/>
        </w:trPr>
        <w:tc>
          <w:tcPr>
            <w:tcW w:w="548" w:type="dxa"/>
            <w:tcBorders>
              <w:top w:val="nil"/>
              <w:left w:val="nil"/>
              <w:bottom w:val="nil"/>
              <w:right w:val="nil"/>
            </w:tcBorders>
            <w:shd w:val="clear" w:color="000000" w:fill="E2EFDA"/>
            <w:noWrap/>
            <w:vAlign w:val="bottom"/>
            <w:hideMark/>
          </w:tcPr>
          <w:p w14:paraId="5E287DCB"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 </w:t>
            </w:r>
          </w:p>
        </w:tc>
        <w:tc>
          <w:tcPr>
            <w:tcW w:w="662" w:type="dxa"/>
            <w:tcBorders>
              <w:top w:val="nil"/>
              <w:left w:val="nil"/>
              <w:right w:val="nil"/>
            </w:tcBorders>
            <w:shd w:val="clear" w:color="000000" w:fill="E2EFDA"/>
            <w:noWrap/>
            <w:vAlign w:val="bottom"/>
            <w:hideMark/>
          </w:tcPr>
          <w:p w14:paraId="526ECFDA"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0028C8BF"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37AA061A"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10B8EE90"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21A4C762"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4981AF80"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0F36A47C"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3E50DA80"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3EDB35D8"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7AAD7509"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6B6FC4BE"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39DB8B36"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36785688"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419C76EC"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662" w:type="dxa"/>
            <w:tcBorders>
              <w:top w:val="nil"/>
              <w:left w:val="nil"/>
              <w:right w:val="nil"/>
            </w:tcBorders>
            <w:shd w:val="clear" w:color="000000" w:fill="E2EFDA"/>
            <w:noWrap/>
            <w:vAlign w:val="bottom"/>
            <w:hideMark/>
          </w:tcPr>
          <w:p w14:paraId="2A8B1B92"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c>
          <w:tcPr>
            <w:tcW w:w="820" w:type="dxa"/>
            <w:tcBorders>
              <w:top w:val="nil"/>
              <w:left w:val="nil"/>
              <w:right w:val="nil"/>
            </w:tcBorders>
            <w:shd w:val="clear" w:color="000000" w:fill="E2EFDA"/>
            <w:noWrap/>
            <w:vAlign w:val="bottom"/>
            <w:hideMark/>
          </w:tcPr>
          <w:p w14:paraId="35AD6FBB"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w:t>
            </w:r>
          </w:p>
        </w:tc>
      </w:tr>
      <w:tr w:rsidR="004C0F71" w14:paraId="46A6C180" w14:textId="77777777" w:rsidTr="008A0E3B">
        <w:trPr>
          <w:trHeight w:val="300"/>
        </w:trPr>
        <w:tc>
          <w:tcPr>
            <w:tcW w:w="548" w:type="dxa"/>
            <w:tcBorders>
              <w:top w:val="nil"/>
              <w:left w:val="nil"/>
              <w:bottom w:val="nil"/>
              <w:right w:val="nil"/>
            </w:tcBorders>
            <w:shd w:val="clear" w:color="000000" w:fill="E2EFDA"/>
            <w:noWrap/>
            <w:vAlign w:val="bottom"/>
            <w:hideMark/>
          </w:tcPr>
          <w:p w14:paraId="07C18FB2"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740</w:t>
            </w:r>
          </w:p>
        </w:tc>
        <w:tc>
          <w:tcPr>
            <w:tcW w:w="662" w:type="dxa"/>
            <w:tcBorders>
              <w:top w:val="nil"/>
              <w:left w:val="nil"/>
              <w:bottom w:val="nil"/>
              <w:right w:val="nil"/>
            </w:tcBorders>
            <w:shd w:val="clear" w:color="auto" w:fill="EAF1DD" w:themeFill="accent3" w:themeFillTint="33"/>
            <w:noWrap/>
            <w:vAlign w:val="bottom"/>
            <w:hideMark/>
          </w:tcPr>
          <w:p w14:paraId="27B25E3B"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12,284</w:t>
            </w:r>
          </w:p>
        </w:tc>
        <w:tc>
          <w:tcPr>
            <w:tcW w:w="662" w:type="dxa"/>
            <w:tcBorders>
              <w:top w:val="nil"/>
              <w:left w:val="nil"/>
              <w:bottom w:val="nil"/>
              <w:right w:val="nil"/>
            </w:tcBorders>
            <w:shd w:val="clear" w:color="auto" w:fill="EAF1DD" w:themeFill="accent3" w:themeFillTint="33"/>
            <w:noWrap/>
            <w:vAlign w:val="bottom"/>
            <w:hideMark/>
          </w:tcPr>
          <w:p w14:paraId="00D5CA9D"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12,605</w:t>
            </w:r>
          </w:p>
        </w:tc>
        <w:tc>
          <w:tcPr>
            <w:tcW w:w="662" w:type="dxa"/>
            <w:tcBorders>
              <w:top w:val="nil"/>
              <w:left w:val="nil"/>
              <w:bottom w:val="nil"/>
              <w:right w:val="nil"/>
            </w:tcBorders>
            <w:shd w:val="clear" w:color="auto" w:fill="EAF1DD" w:themeFill="accent3" w:themeFillTint="33"/>
            <w:noWrap/>
            <w:vAlign w:val="bottom"/>
            <w:hideMark/>
          </w:tcPr>
          <w:p w14:paraId="24CA9FF6"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12,654</w:t>
            </w:r>
          </w:p>
        </w:tc>
        <w:tc>
          <w:tcPr>
            <w:tcW w:w="662" w:type="dxa"/>
            <w:tcBorders>
              <w:top w:val="nil"/>
              <w:left w:val="nil"/>
              <w:bottom w:val="nil"/>
              <w:right w:val="nil"/>
            </w:tcBorders>
            <w:shd w:val="clear" w:color="auto" w:fill="EAF1DD" w:themeFill="accent3" w:themeFillTint="33"/>
            <w:noWrap/>
            <w:vAlign w:val="bottom"/>
            <w:hideMark/>
          </w:tcPr>
          <w:p w14:paraId="0C675951"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13,398</w:t>
            </w:r>
          </w:p>
        </w:tc>
        <w:tc>
          <w:tcPr>
            <w:tcW w:w="662" w:type="dxa"/>
            <w:tcBorders>
              <w:top w:val="nil"/>
              <w:left w:val="nil"/>
              <w:bottom w:val="nil"/>
              <w:right w:val="nil"/>
            </w:tcBorders>
            <w:shd w:val="clear" w:color="auto" w:fill="EAF1DD" w:themeFill="accent3" w:themeFillTint="33"/>
            <w:noWrap/>
            <w:vAlign w:val="bottom"/>
            <w:hideMark/>
          </w:tcPr>
          <w:p w14:paraId="73DA3933"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12,574</w:t>
            </w:r>
          </w:p>
        </w:tc>
        <w:tc>
          <w:tcPr>
            <w:tcW w:w="662" w:type="dxa"/>
            <w:tcBorders>
              <w:top w:val="nil"/>
              <w:left w:val="nil"/>
              <w:bottom w:val="nil"/>
              <w:right w:val="nil"/>
            </w:tcBorders>
            <w:shd w:val="clear" w:color="auto" w:fill="EAF1DD" w:themeFill="accent3" w:themeFillTint="33"/>
            <w:noWrap/>
            <w:vAlign w:val="bottom"/>
            <w:hideMark/>
          </w:tcPr>
          <w:p w14:paraId="15D147A3"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12,394</w:t>
            </w:r>
          </w:p>
        </w:tc>
        <w:tc>
          <w:tcPr>
            <w:tcW w:w="662" w:type="dxa"/>
            <w:tcBorders>
              <w:top w:val="nil"/>
              <w:left w:val="nil"/>
              <w:bottom w:val="nil"/>
              <w:right w:val="nil"/>
            </w:tcBorders>
            <w:shd w:val="clear" w:color="auto" w:fill="EAF1DD" w:themeFill="accent3" w:themeFillTint="33"/>
            <w:noWrap/>
            <w:vAlign w:val="bottom"/>
            <w:hideMark/>
          </w:tcPr>
          <w:p w14:paraId="18B5FBE1"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12,112</w:t>
            </w:r>
          </w:p>
        </w:tc>
        <w:tc>
          <w:tcPr>
            <w:tcW w:w="662" w:type="dxa"/>
            <w:tcBorders>
              <w:top w:val="nil"/>
              <w:left w:val="nil"/>
              <w:bottom w:val="nil"/>
              <w:right w:val="nil"/>
            </w:tcBorders>
            <w:shd w:val="clear" w:color="auto" w:fill="EAF1DD" w:themeFill="accent3" w:themeFillTint="33"/>
            <w:noWrap/>
            <w:vAlign w:val="bottom"/>
            <w:hideMark/>
          </w:tcPr>
          <w:p w14:paraId="188C9B0A"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12,114</w:t>
            </w:r>
          </w:p>
        </w:tc>
        <w:tc>
          <w:tcPr>
            <w:tcW w:w="662" w:type="dxa"/>
            <w:tcBorders>
              <w:top w:val="nil"/>
              <w:left w:val="nil"/>
              <w:bottom w:val="nil"/>
              <w:right w:val="nil"/>
            </w:tcBorders>
            <w:shd w:val="clear" w:color="auto" w:fill="EAF1DD" w:themeFill="accent3" w:themeFillTint="33"/>
            <w:noWrap/>
            <w:vAlign w:val="bottom"/>
            <w:hideMark/>
          </w:tcPr>
          <w:p w14:paraId="6524A03A"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12,418</w:t>
            </w:r>
          </w:p>
        </w:tc>
        <w:tc>
          <w:tcPr>
            <w:tcW w:w="662" w:type="dxa"/>
            <w:tcBorders>
              <w:top w:val="nil"/>
              <w:left w:val="nil"/>
              <w:bottom w:val="nil"/>
              <w:right w:val="nil"/>
            </w:tcBorders>
            <w:shd w:val="clear" w:color="auto" w:fill="EAF1DD" w:themeFill="accent3" w:themeFillTint="33"/>
            <w:noWrap/>
            <w:vAlign w:val="bottom"/>
            <w:hideMark/>
          </w:tcPr>
          <w:p w14:paraId="4923C9DB"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11,935</w:t>
            </w:r>
          </w:p>
        </w:tc>
        <w:tc>
          <w:tcPr>
            <w:tcW w:w="662" w:type="dxa"/>
            <w:tcBorders>
              <w:top w:val="nil"/>
              <w:left w:val="nil"/>
              <w:bottom w:val="nil"/>
              <w:right w:val="nil"/>
            </w:tcBorders>
            <w:shd w:val="clear" w:color="auto" w:fill="EAF1DD" w:themeFill="accent3" w:themeFillTint="33"/>
            <w:noWrap/>
            <w:vAlign w:val="bottom"/>
            <w:hideMark/>
          </w:tcPr>
          <w:p w14:paraId="7D03A8E7"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12,589</w:t>
            </w:r>
          </w:p>
        </w:tc>
        <w:tc>
          <w:tcPr>
            <w:tcW w:w="662" w:type="dxa"/>
            <w:tcBorders>
              <w:top w:val="nil"/>
              <w:left w:val="nil"/>
              <w:bottom w:val="nil"/>
              <w:right w:val="nil"/>
            </w:tcBorders>
            <w:shd w:val="clear" w:color="auto" w:fill="EAF1DD" w:themeFill="accent3" w:themeFillTint="33"/>
            <w:noWrap/>
            <w:vAlign w:val="bottom"/>
            <w:hideMark/>
          </w:tcPr>
          <w:p w14:paraId="107397AA"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13,142</w:t>
            </w:r>
          </w:p>
        </w:tc>
        <w:tc>
          <w:tcPr>
            <w:tcW w:w="662" w:type="dxa"/>
            <w:tcBorders>
              <w:top w:val="nil"/>
              <w:left w:val="nil"/>
              <w:bottom w:val="nil"/>
              <w:right w:val="nil"/>
            </w:tcBorders>
            <w:shd w:val="clear" w:color="auto" w:fill="EAF1DD" w:themeFill="accent3" w:themeFillTint="33"/>
            <w:noWrap/>
            <w:vAlign w:val="bottom"/>
            <w:hideMark/>
          </w:tcPr>
          <w:p w14:paraId="3D8DFE0B"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12,455</w:t>
            </w:r>
          </w:p>
        </w:tc>
        <w:tc>
          <w:tcPr>
            <w:tcW w:w="662" w:type="dxa"/>
            <w:tcBorders>
              <w:top w:val="nil"/>
              <w:left w:val="nil"/>
              <w:bottom w:val="nil"/>
              <w:right w:val="nil"/>
            </w:tcBorders>
            <w:shd w:val="clear" w:color="auto" w:fill="EAF1DD" w:themeFill="accent3" w:themeFillTint="33"/>
            <w:noWrap/>
            <w:vAlign w:val="bottom"/>
            <w:hideMark/>
          </w:tcPr>
          <w:p w14:paraId="0B57C910"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12,790</w:t>
            </w:r>
          </w:p>
        </w:tc>
        <w:tc>
          <w:tcPr>
            <w:tcW w:w="662" w:type="dxa"/>
            <w:tcBorders>
              <w:top w:val="nil"/>
              <w:left w:val="nil"/>
              <w:bottom w:val="nil"/>
              <w:right w:val="nil"/>
            </w:tcBorders>
            <w:shd w:val="clear" w:color="auto" w:fill="EAF1DD" w:themeFill="accent3" w:themeFillTint="33"/>
            <w:noWrap/>
            <w:vAlign w:val="bottom"/>
            <w:hideMark/>
          </w:tcPr>
          <w:p w14:paraId="41C90EDA"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12,911</w:t>
            </w:r>
          </w:p>
        </w:tc>
        <w:tc>
          <w:tcPr>
            <w:tcW w:w="820" w:type="dxa"/>
            <w:tcBorders>
              <w:top w:val="nil"/>
              <w:left w:val="nil"/>
              <w:bottom w:val="nil"/>
              <w:right w:val="nil"/>
            </w:tcBorders>
            <w:shd w:val="clear" w:color="auto" w:fill="EAF1DD" w:themeFill="accent3" w:themeFillTint="33"/>
            <w:noWrap/>
            <w:vAlign w:val="bottom"/>
            <w:hideMark/>
          </w:tcPr>
          <w:p w14:paraId="594BA932"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12,558</w:t>
            </w:r>
          </w:p>
        </w:tc>
      </w:tr>
      <w:tr w:rsidR="004C0F71" w14:paraId="5B0B70A2" w14:textId="77777777" w:rsidTr="008A0E3B">
        <w:trPr>
          <w:trHeight w:val="300"/>
        </w:trPr>
        <w:tc>
          <w:tcPr>
            <w:tcW w:w="548" w:type="dxa"/>
            <w:tcBorders>
              <w:top w:val="nil"/>
              <w:left w:val="nil"/>
              <w:bottom w:val="nil"/>
              <w:right w:val="nil"/>
            </w:tcBorders>
            <w:shd w:val="clear" w:color="000000" w:fill="E2EFDA"/>
            <w:noWrap/>
            <w:vAlign w:val="bottom"/>
            <w:hideMark/>
          </w:tcPr>
          <w:p w14:paraId="065A1948"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741</w:t>
            </w:r>
          </w:p>
        </w:tc>
        <w:tc>
          <w:tcPr>
            <w:tcW w:w="662" w:type="dxa"/>
            <w:tcBorders>
              <w:top w:val="nil"/>
              <w:left w:val="nil"/>
              <w:bottom w:val="nil"/>
              <w:right w:val="nil"/>
            </w:tcBorders>
            <w:shd w:val="clear" w:color="auto" w:fill="EAF1DD" w:themeFill="accent3" w:themeFillTint="33"/>
            <w:noWrap/>
            <w:vAlign w:val="bottom"/>
            <w:hideMark/>
          </w:tcPr>
          <w:p w14:paraId="49888119"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12,283</w:t>
            </w:r>
          </w:p>
        </w:tc>
        <w:tc>
          <w:tcPr>
            <w:tcW w:w="662" w:type="dxa"/>
            <w:tcBorders>
              <w:top w:val="nil"/>
              <w:left w:val="nil"/>
              <w:bottom w:val="nil"/>
              <w:right w:val="nil"/>
            </w:tcBorders>
            <w:shd w:val="clear" w:color="auto" w:fill="EAF1DD" w:themeFill="accent3" w:themeFillTint="33"/>
            <w:noWrap/>
            <w:vAlign w:val="bottom"/>
            <w:hideMark/>
          </w:tcPr>
          <w:p w14:paraId="14CD80CA"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12,589</w:t>
            </w:r>
          </w:p>
        </w:tc>
        <w:tc>
          <w:tcPr>
            <w:tcW w:w="662" w:type="dxa"/>
            <w:tcBorders>
              <w:top w:val="nil"/>
              <w:left w:val="nil"/>
              <w:bottom w:val="nil"/>
              <w:right w:val="nil"/>
            </w:tcBorders>
            <w:shd w:val="clear" w:color="auto" w:fill="EAF1DD" w:themeFill="accent3" w:themeFillTint="33"/>
            <w:noWrap/>
            <w:vAlign w:val="bottom"/>
            <w:hideMark/>
          </w:tcPr>
          <w:p w14:paraId="2AD27DA8"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12,628</w:t>
            </w:r>
          </w:p>
        </w:tc>
        <w:tc>
          <w:tcPr>
            <w:tcW w:w="662" w:type="dxa"/>
            <w:tcBorders>
              <w:top w:val="nil"/>
              <w:left w:val="nil"/>
              <w:bottom w:val="nil"/>
              <w:right w:val="nil"/>
            </w:tcBorders>
            <w:shd w:val="clear" w:color="auto" w:fill="EAF1DD" w:themeFill="accent3" w:themeFillTint="33"/>
            <w:noWrap/>
            <w:vAlign w:val="bottom"/>
            <w:hideMark/>
          </w:tcPr>
          <w:p w14:paraId="682B5951"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13,338</w:t>
            </w:r>
          </w:p>
        </w:tc>
        <w:tc>
          <w:tcPr>
            <w:tcW w:w="662" w:type="dxa"/>
            <w:tcBorders>
              <w:top w:val="nil"/>
              <w:left w:val="nil"/>
              <w:bottom w:val="nil"/>
              <w:right w:val="nil"/>
            </w:tcBorders>
            <w:shd w:val="clear" w:color="auto" w:fill="EAF1DD" w:themeFill="accent3" w:themeFillTint="33"/>
            <w:noWrap/>
            <w:vAlign w:val="bottom"/>
            <w:hideMark/>
          </w:tcPr>
          <w:p w14:paraId="620E569C"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12,558</w:t>
            </w:r>
          </w:p>
        </w:tc>
        <w:tc>
          <w:tcPr>
            <w:tcW w:w="662" w:type="dxa"/>
            <w:tcBorders>
              <w:top w:val="nil"/>
              <w:left w:val="nil"/>
              <w:bottom w:val="nil"/>
              <w:right w:val="nil"/>
            </w:tcBorders>
            <w:shd w:val="clear" w:color="auto" w:fill="EAF1DD" w:themeFill="accent3" w:themeFillTint="33"/>
            <w:noWrap/>
            <w:vAlign w:val="bottom"/>
            <w:hideMark/>
          </w:tcPr>
          <w:p w14:paraId="5B1D84DF"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12,147</w:t>
            </w:r>
          </w:p>
        </w:tc>
        <w:tc>
          <w:tcPr>
            <w:tcW w:w="662" w:type="dxa"/>
            <w:tcBorders>
              <w:top w:val="nil"/>
              <w:left w:val="nil"/>
              <w:bottom w:val="nil"/>
              <w:right w:val="nil"/>
            </w:tcBorders>
            <w:shd w:val="clear" w:color="auto" w:fill="EAF1DD" w:themeFill="accent3" w:themeFillTint="33"/>
            <w:noWrap/>
            <w:vAlign w:val="bottom"/>
            <w:hideMark/>
          </w:tcPr>
          <w:p w14:paraId="167F55ED"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11,967</w:t>
            </w:r>
          </w:p>
        </w:tc>
        <w:tc>
          <w:tcPr>
            <w:tcW w:w="662" w:type="dxa"/>
            <w:tcBorders>
              <w:top w:val="nil"/>
              <w:left w:val="nil"/>
              <w:bottom w:val="nil"/>
              <w:right w:val="nil"/>
            </w:tcBorders>
            <w:shd w:val="clear" w:color="auto" w:fill="EAF1DD" w:themeFill="accent3" w:themeFillTint="33"/>
            <w:noWrap/>
            <w:vAlign w:val="bottom"/>
            <w:hideMark/>
          </w:tcPr>
          <w:p w14:paraId="2E1022B1"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11,986</w:t>
            </w:r>
          </w:p>
        </w:tc>
        <w:tc>
          <w:tcPr>
            <w:tcW w:w="662" w:type="dxa"/>
            <w:tcBorders>
              <w:top w:val="nil"/>
              <w:left w:val="nil"/>
              <w:bottom w:val="nil"/>
              <w:right w:val="nil"/>
            </w:tcBorders>
            <w:shd w:val="clear" w:color="auto" w:fill="EAF1DD" w:themeFill="accent3" w:themeFillTint="33"/>
            <w:noWrap/>
            <w:vAlign w:val="bottom"/>
            <w:hideMark/>
          </w:tcPr>
          <w:p w14:paraId="3C0F9F9E"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12,345</w:t>
            </w:r>
          </w:p>
        </w:tc>
        <w:tc>
          <w:tcPr>
            <w:tcW w:w="662" w:type="dxa"/>
            <w:tcBorders>
              <w:top w:val="nil"/>
              <w:left w:val="nil"/>
              <w:bottom w:val="nil"/>
              <w:right w:val="nil"/>
            </w:tcBorders>
            <w:shd w:val="clear" w:color="auto" w:fill="EAF1DD" w:themeFill="accent3" w:themeFillTint="33"/>
            <w:noWrap/>
            <w:vAlign w:val="bottom"/>
            <w:hideMark/>
          </w:tcPr>
          <w:p w14:paraId="3E6B3688"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11,900</w:t>
            </w:r>
          </w:p>
        </w:tc>
        <w:tc>
          <w:tcPr>
            <w:tcW w:w="662" w:type="dxa"/>
            <w:tcBorders>
              <w:top w:val="nil"/>
              <w:left w:val="nil"/>
              <w:bottom w:val="nil"/>
              <w:right w:val="nil"/>
            </w:tcBorders>
            <w:shd w:val="clear" w:color="auto" w:fill="EAF1DD" w:themeFill="accent3" w:themeFillTint="33"/>
            <w:noWrap/>
            <w:vAlign w:val="bottom"/>
            <w:hideMark/>
          </w:tcPr>
          <w:p w14:paraId="3217D9D9"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12,524</w:t>
            </w:r>
          </w:p>
        </w:tc>
        <w:tc>
          <w:tcPr>
            <w:tcW w:w="662" w:type="dxa"/>
            <w:tcBorders>
              <w:top w:val="nil"/>
              <w:left w:val="nil"/>
              <w:bottom w:val="nil"/>
              <w:right w:val="nil"/>
            </w:tcBorders>
            <w:shd w:val="clear" w:color="auto" w:fill="EAF1DD" w:themeFill="accent3" w:themeFillTint="33"/>
            <w:noWrap/>
            <w:vAlign w:val="bottom"/>
            <w:hideMark/>
          </w:tcPr>
          <w:p w14:paraId="580D1686"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13,124</w:t>
            </w:r>
          </w:p>
        </w:tc>
        <w:tc>
          <w:tcPr>
            <w:tcW w:w="662" w:type="dxa"/>
            <w:tcBorders>
              <w:top w:val="nil"/>
              <w:left w:val="nil"/>
              <w:bottom w:val="nil"/>
              <w:right w:val="nil"/>
            </w:tcBorders>
            <w:shd w:val="clear" w:color="auto" w:fill="EAF1DD" w:themeFill="accent3" w:themeFillTint="33"/>
            <w:noWrap/>
            <w:vAlign w:val="bottom"/>
            <w:hideMark/>
          </w:tcPr>
          <w:p w14:paraId="0925F178"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12,444</w:t>
            </w:r>
          </w:p>
        </w:tc>
        <w:tc>
          <w:tcPr>
            <w:tcW w:w="662" w:type="dxa"/>
            <w:tcBorders>
              <w:top w:val="nil"/>
              <w:left w:val="nil"/>
              <w:bottom w:val="nil"/>
              <w:right w:val="nil"/>
            </w:tcBorders>
            <w:shd w:val="clear" w:color="auto" w:fill="EAF1DD" w:themeFill="accent3" w:themeFillTint="33"/>
            <w:noWrap/>
            <w:vAlign w:val="bottom"/>
            <w:hideMark/>
          </w:tcPr>
          <w:p w14:paraId="0FAD3375"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12,768</w:t>
            </w:r>
          </w:p>
        </w:tc>
        <w:tc>
          <w:tcPr>
            <w:tcW w:w="662" w:type="dxa"/>
            <w:tcBorders>
              <w:top w:val="nil"/>
              <w:left w:val="nil"/>
              <w:bottom w:val="nil"/>
              <w:right w:val="nil"/>
            </w:tcBorders>
            <w:shd w:val="clear" w:color="auto" w:fill="EAF1DD" w:themeFill="accent3" w:themeFillTint="33"/>
            <w:noWrap/>
            <w:vAlign w:val="bottom"/>
            <w:hideMark/>
          </w:tcPr>
          <w:p w14:paraId="029BBF16"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12,895</w:t>
            </w:r>
          </w:p>
        </w:tc>
        <w:tc>
          <w:tcPr>
            <w:tcW w:w="820" w:type="dxa"/>
            <w:tcBorders>
              <w:top w:val="nil"/>
              <w:left w:val="nil"/>
              <w:bottom w:val="nil"/>
              <w:right w:val="nil"/>
            </w:tcBorders>
            <w:shd w:val="clear" w:color="auto" w:fill="EAF1DD" w:themeFill="accent3" w:themeFillTint="33"/>
            <w:noWrap/>
            <w:vAlign w:val="bottom"/>
            <w:hideMark/>
          </w:tcPr>
          <w:p w14:paraId="2BFE6F95"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12,500</w:t>
            </w:r>
          </w:p>
        </w:tc>
      </w:tr>
      <w:tr w:rsidR="004C0F71" w14:paraId="6D7D47EA" w14:textId="77777777" w:rsidTr="008A0E3B">
        <w:trPr>
          <w:trHeight w:val="300"/>
        </w:trPr>
        <w:tc>
          <w:tcPr>
            <w:tcW w:w="548" w:type="dxa"/>
            <w:tcBorders>
              <w:top w:val="nil"/>
              <w:left w:val="nil"/>
              <w:bottom w:val="nil"/>
              <w:right w:val="nil"/>
            </w:tcBorders>
            <w:shd w:val="clear" w:color="000000" w:fill="E2EFDA"/>
            <w:noWrap/>
            <w:vAlign w:val="bottom"/>
            <w:hideMark/>
          </w:tcPr>
          <w:p w14:paraId="60ECEEF6"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742</w:t>
            </w:r>
          </w:p>
        </w:tc>
        <w:tc>
          <w:tcPr>
            <w:tcW w:w="662" w:type="dxa"/>
            <w:tcBorders>
              <w:top w:val="nil"/>
              <w:left w:val="nil"/>
              <w:bottom w:val="nil"/>
              <w:right w:val="nil"/>
            </w:tcBorders>
            <w:shd w:val="clear" w:color="auto" w:fill="EAF1DD" w:themeFill="accent3" w:themeFillTint="33"/>
            <w:noWrap/>
            <w:vAlign w:val="bottom"/>
            <w:hideMark/>
          </w:tcPr>
          <w:p w14:paraId="7C9833B9"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12,253</w:t>
            </w:r>
          </w:p>
        </w:tc>
        <w:tc>
          <w:tcPr>
            <w:tcW w:w="662" w:type="dxa"/>
            <w:tcBorders>
              <w:top w:val="nil"/>
              <w:left w:val="nil"/>
              <w:bottom w:val="nil"/>
              <w:right w:val="nil"/>
            </w:tcBorders>
            <w:shd w:val="clear" w:color="auto" w:fill="EAF1DD" w:themeFill="accent3" w:themeFillTint="33"/>
            <w:noWrap/>
            <w:vAlign w:val="bottom"/>
            <w:hideMark/>
          </w:tcPr>
          <w:p w14:paraId="760530AC"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12,561</w:t>
            </w:r>
          </w:p>
        </w:tc>
        <w:tc>
          <w:tcPr>
            <w:tcW w:w="662" w:type="dxa"/>
            <w:tcBorders>
              <w:top w:val="nil"/>
              <w:left w:val="nil"/>
              <w:bottom w:val="nil"/>
              <w:right w:val="nil"/>
            </w:tcBorders>
            <w:shd w:val="clear" w:color="auto" w:fill="EAF1DD" w:themeFill="accent3" w:themeFillTint="33"/>
            <w:noWrap/>
            <w:vAlign w:val="bottom"/>
            <w:hideMark/>
          </w:tcPr>
          <w:p w14:paraId="4029290D"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12,611</w:t>
            </w:r>
          </w:p>
        </w:tc>
        <w:tc>
          <w:tcPr>
            <w:tcW w:w="662" w:type="dxa"/>
            <w:tcBorders>
              <w:top w:val="nil"/>
              <w:left w:val="nil"/>
              <w:bottom w:val="nil"/>
              <w:right w:val="nil"/>
            </w:tcBorders>
            <w:shd w:val="clear" w:color="auto" w:fill="EAF1DD" w:themeFill="accent3" w:themeFillTint="33"/>
            <w:noWrap/>
            <w:vAlign w:val="bottom"/>
            <w:hideMark/>
          </w:tcPr>
          <w:p w14:paraId="0618A73A"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13,301</w:t>
            </w:r>
          </w:p>
        </w:tc>
        <w:tc>
          <w:tcPr>
            <w:tcW w:w="662" w:type="dxa"/>
            <w:tcBorders>
              <w:top w:val="nil"/>
              <w:left w:val="nil"/>
              <w:bottom w:val="nil"/>
              <w:right w:val="nil"/>
            </w:tcBorders>
            <w:shd w:val="clear" w:color="auto" w:fill="EAF1DD" w:themeFill="accent3" w:themeFillTint="33"/>
            <w:noWrap/>
            <w:vAlign w:val="bottom"/>
            <w:hideMark/>
          </w:tcPr>
          <w:p w14:paraId="7AD404D4"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12,545</w:t>
            </w:r>
          </w:p>
        </w:tc>
        <w:tc>
          <w:tcPr>
            <w:tcW w:w="662" w:type="dxa"/>
            <w:tcBorders>
              <w:top w:val="nil"/>
              <w:left w:val="nil"/>
              <w:bottom w:val="nil"/>
              <w:right w:val="nil"/>
            </w:tcBorders>
            <w:shd w:val="clear" w:color="auto" w:fill="EAF1DD" w:themeFill="accent3" w:themeFillTint="33"/>
            <w:noWrap/>
            <w:vAlign w:val="bottom"/>
            <w:hideMark/>
          </w:tcPr>
          <w:p w14:paraId="32CA3207"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12,018</w:t>
            </w:r>
          </w:p>
        </w:tc>
        <w:tc>
          <w:tcPr>
            <w:tcW w:w="662" w:type="dxa"/>
            <w:tcBorders>
              <w:top w:val="nil"/>
              <w:left w:val="nil"/>
              <w:bottom w:val="nil"/>
              <w:right w:val="nil"/>
            </w:tcBorders>
            <w:shd w:val="clear" w:color="auto" w:fill="EAF1DD" w:themeFill="accent3" w:themeFillTint="33"/>
            <w:noWrap/>
            <w:vAlign w:val="bottom"/>
            <w:hideMark/>
          </w:tcPr>
          <w:p w14:paraId="11EDF782"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11,933</w:t>
            </w:r>
          </w:p>
        </w:tc>
        <w:tc>
          <w:tcPr>
            <w:tcW w:w="662" w:type="dxa"/>
            <w:tcBorders>
              <w:top w:val="nil"/>
              <w:left w:val="nil"/>
              <w:bottom w:val="nil"/>
              <w:right w:val="nil"/>
            </w:tcBorders>
            <w:shd w:val="clear" w:color="auto" w:fill="EAF1DD" w:themeFill="accent3" w:themeFillTint="33"/>
            <w:noWrap/>
            <w:vAlign w:val="bottom"/>
            <w:hideMark/>
          </w:tcPr>
          <w:p w14:paraId="713CFC35"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11,981</w:t>
            </w:r>
          </w:p>
        </w:tc>
        <w:tc>
          <w:tcPr>
            <w:tcW w:w="662" w:type="dxa"/>
            <w:tcBorders>
              <w:top w:val="nil"/>
              <w:left w:val="nil"/>
              <w:bottom w:val="nil"/>
              <w:right w:val="nil"/>
            </w:tcBorders>
            <w:shd w:val="clear" w:color="auto" w:fill="EAF1DD" w:themeFill="accent3" w:themeFillTint="33"/>
            <w:noWrap/>
            <w:vAlign w:val="bottom"/>
            <w:hideMark/>
          </w:tcPr>
          <w:p w14:paraId="4BA4701E"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12,279</w:t>
            </w:r>
          </w:p>
        </w:tc>
        <w:tc>
          <w:tcPr>
            <w:tcW w:w="662" w:type="dxa"/>
            <w:tcBorders>
              <w:top w:val="nil"/>
              <w:left w:val="nil"/>
              <w:bottom w:val="nil"/>
              <w:right w:val="nil"/>
            </w:tcBorders>
            <w:shd w:val="clear" w:color="auto" w:fill="EAF1DD" w:themeFill="accent3" w:themeFillTint="33"/>
            <w:noWrap/>
            <w:vAlign w:val="bottom"/>
            <w:hideMark/>
          </w:tcPr>
          <w:p w14:paraId="7E6E1A44"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11,881</w:t>
            </w:r>
          </w:p>
        </w:tc>
        <w:tc>
          <w:tcPr>
            <w:tcW w:w="662" w:type="dxa"/>
            <w:tcBorders>
              <w:top w:val="nil"/>
              <w:left w:val="nil"/>
              <w:bottom w:val="nil"/>
              <w:right w:val="nil"/>
            </w:tcBorders>
            <w:shd w:val="clear" w:color="auto" w:fill="EAF1DD" w:themeFill="accent3" w:themeFillTint="33"/>
            <w:noWrap/>
            <w:vAlign w:val="bottom"/>
            <w:hideMark/>
          </w:tcPr>
          <w:p w14:paraId="60F2AE11"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12,423</w:t>
            </w:r>
          </w:p>
        </w:tc>
        <w:tc>
          <w:tcPr>
            <w:tcW w:w="662" w:type="dxa"/>
            <w:tcBorders>
              <w:top w:val="nil"/>
              <w:left w:val="nil"/>
              <w:bottom w:val="nil"/>
              <w:right w:val="nil"/>
            </w:tcBorders>
            <w:shd w:val="clear" w:color="auto" w:fill="EAF1DD" w:themeFill="accent3" w:themeFillTint="33"/>
            <w:noWrap/>
            <w:vAlign w:val="bottom"/>
            <w:hideMark/>
          </w:tcPr>
          <w:p w14:paraId="590CBCAF"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13,117</w:t>
            </w:r>
          </w:p>
        </w:tc>
        <w:tc>
          <w:tcPr>
            <w:tcW w:w="662" w:type="dxa"/>
            <w:tcBorders>
              <w:top w:val="nil"/>
              <w:left w:val="nil"/>
              <w:bottom w:val="nil"/>
              <w:right w:val="nil"/>
            </w:tcBorders>
            <w:shd w:val="clear" w:color="auto" w:fill="EAF1DD" w:themeFill="accent3" w:themeFillTint="33"/>
            <w:noWrap/>
            <w:vAlign w:val="bottom"/>
            <w:hideMark/>
          </w:tcPr>
          <w:p w14:paraId="58AF5EBD"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12,414</w:t>
            </w:r>
          </w:p>
        </w:tc>
        <w:tc>
          <w:tcPr>
            <w:tcW w:w="662" w:type="dxa"/>
            <w:tcBorders>
              <w:top w:val="nil"/>
              <w:left w:val="nil"/>
              <w:bottom w:val="nil"/>
              <w:right w:val="nil"/>
            </w:tcBorders>
            <w:shd w:val="clear" w:color="auto" w:fill="EAF1DD" w:themeFill="accent3" w:themeFillTint="33"/>
            <w:noWrap/>
            <w:vAlign w:val="bottom"/>
            <w:hideMark/>
          </w:tcPr>
          <w:p w14:paraId="5AD25858"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12,746</w:t>
            </w:r>
          </w:p>
        </w:tc>
        <w:tc>
          <w:tcPr>
            <w:tcW w:w="662" w:type="dxa"/>
            <w:tcBorders>
              <w:top w:val="nil"/>
              <w:left w:val="nil"/>
              <w:bottom w:val="nil"/>
              <w:right w:val="nil"/>
            </w:tcBorders>
            <w:shd w:val="clear" w:color="auto" w:fill="EAF1DD" w:themeFill="accent3" w:themeFillTint="33"/>
            <w:noWrap/>
            <w:vAlign w:val="bottom"/>
            <w:hideMark/>
          </w:tcPr>
          <w:p w14:paraId="52940015"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12,856</w:t>
            </w:r>
          </w:p>
        </w:tc>
        <w:tc>
          <w:tcPr>
            <w:tcW w:w="820" w:type="dxa"/>
            <w:tcBorders>
              <w:top w:val="nil"/>
              <w:left w:val="nil"/>
              <w:bottom w:val="nil"/>
              <w:right w:val="nil"/>
            </w:tcBorders>
            <w:shd w:val="clear" w:color="auto" w:fill="EAF1DD" w:themeFill="accent3" w:themeFillTint="33"/>
            <w:noWrap/>
            <w:vAlign w:val="bottom"/>
            <w:hideMark/>
          </w:tcPr>
          <w:p w14:paraId="12D416D9"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12,461</w:t>
            </w:r>
          </w:p>
        </w:tc>
      </w:tr>
      <w:tr w:rsidR="004C0F71" w14:paraId="3D0C5AF5" w14:textId="77777777" w:rsidTr="008A0E3B">
        <w:trPr>
          <w:trHeight w:val="300"/>
        </w:trPr>
        <w:tc>
          <w:tcPr>
            <w:tcW w:w="548" w:type="dxa"/>
            <w:tcBorders>
              <w:top w:val="nil"/>
              <w:left w:val="nil"/>
              <w:bottom w:val="nil"/>
              <w:right w:val="nil"/>
            </w:tcBorders>
            <w:shd w:val="clear" w:color="000000" w:fill="E2EFDA"/>
            <w:noWrap/>
            <w:vAlign w:val="bottom"/>
            <w:hideMark/>
          </w:tcPr>
          <w:p w14:paraId="7A3CC7FA"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743</w:t>
            </w:r>
          </w:p>
        </w:tc>
        <w:tc>
          <w:tcPr>
            <w:tcW w:w="662" w:type="dxa"/>
            <w:tcBorders>
              <w:top w:val="nil"/>
              <w:left w:val="nil"/>
              <w:bottom w:val="nil"/>
              <w:right w:val="nil"/>
            </w:tcBorders>
            <w:shd w:val="clear" w:color="auto" w:fill="EAF1DD" w:themeFill="accent3" w:themeFillTint="33"/>
            <w:noWrap/>
            <w:vAlign w:val="bottom"/>
            <w:hideMark/>
          </w:tcPr>
          <w:p w14:paraId="08D0B849"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12,249</w:t>
            </w:r>
          </w:p>
        </w:tc>
        <w:tc>
          <w:tcPr>
            <w:tcW w:w="662" w:type="dxa"/>
            <w:tcBorders>
              <w:top w:val="nil"/>
              <w:left w:val="nil"/>
              <w:bottom w:val="nil"/>
              <w:right w:val="nil"/>
            </w:tcBorders>
            <w:shd w:val="clear" w:color="auto" w:fill="EAF1DD" w:themeFill="accent3" w:themeFillTint="33"/>
            <w:noWrap/>
            <w:vAlign w:val="bottom"/>
            <w:hideMark/>
          </w:tcPr>
          <w:p w14:paraId="4A3A82BD"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12,550</w:t>
            </w:r>
          </w:p>
        </w:tc>
        <w:tc>
          <w:tcPr>
            <w:tcW w:w="662" w:type="dxa"/>
            <w:tcBorders>
              <w:top w:val="nil"/>
              <w:left w:val="nil"/>
              <w:bottom w:val="nil"/>
              <w:right w:val="nil"/>
            </w:tcBorders>
            <w:shd w:val="clear" w:color="auto" w:fill="EAF1DD" w:themeFill="accent3" w:themeFillTint="33"/>
            <w:noWrap/>
            <w:vAlign w:val="bottom"/>
            <w:hideMark/>
          </w:tcPr>
          <w:p w14:paraId="41B66BAB"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12,527</w:t>
            </w:r>
          </w:p>
        </w:tc>
        <w:tc>
          <w:tcPr>
            <w:tcW w:w="662" w:type="dxa"/>
            <w:tcBorders>
              <w:top w:val="nil"/>
              <w:left w:val="nil"/>
              <w:bottom w:val="nil"/>
              <w:right w:val="nil"/>
            </w:tcBorders>
            <w:shd w:val="clear" w:color="auto" w:fill="EAF1DD" w:themeFill="accent3" w:themeFillTint="33"/>
            <w:noWrap/>
            <w:vAlign w:val="bottom"/>
            <w:hideMark/>
          </w:tcPr>
          <w:p w14:paraId="0E4D6540"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13,256</w:t>
            </w:r>
          </w:p>
        </w:tc>
        <w:tc>
          <w:tcPr>
            <w:tcW w:w="662" w:type="dxa"/>
            <w:tcBorders>
              <w:top w:val="nil"/>
              <w:left w:val="nil"/>
              <w:bottom w:val="nil"/>
              <w:right w:val="nil"/>
            </w:tcBorders>
            <w:shd w:val="clear" w:color="auto" w:fill="EAF1DD" w:themeFill="accent3" w:themeFillTint="33"/>
            <w:noWrap/>
            <w:vAlign w:val="bottom"/>
            <w:hideMark/>
          </w:tcPr>
          <w:p w14:paraId="4A3211D4"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12,447</w:t>
            </w:r>
          </w:p>
        </w:tc>
        <w:tc>
          <w:tcPr>
            <w:tcW w:w="662" w:type="dxa"/>
            <w:tcBorders>
              <w:top w:val="nil"/>
              <w:left w:val="nil"/>
              <w:bottom w:val="nil"/>
              <w:right w:val="nil"/>
            </w:tcBorders>
            <w:shd w:val="clear" w:color="auto" w:fill="EAF1DD" w:themeFill="accent3" w:themeFillTint="33"/>
            <w:noWrap/>
            <w:vAlign w:val="bottom"/>
            <w:hideMark/>
          </w:tcPr>
          <w:p w14:paraId="7DE2DA16"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11,928</w:t>
            </w:r>
          </w:p>
        </w:tc>
        <w:tc>
          <w:tcPr>
            <w:tcW w:w="662" w:type="dxa"/>
            <w:tcBorders>
              <w:top w:val="nil"/>
              <w:left w:val="nil"/>
              <w:bottom w:val="nil"/>
              <w:right w:val="nil"/>
            </w:tcBorders>
            <w:shd w:val="clear" w:color="auto" w:fill="EAF1DD" w:themeFill="accent3" w:themeFillTint="33"/>
            <w:noWrap/>
            <w:vAlign w:val="bottom"/>
            <w:hideMark/>
          </w:tcPr>
          <w:p w14:paraId="02D589AA"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11,923</w:t>
            </w:r>
          </w:p>
        </w:tc>
        <w:tc>
          <w:tcPr>
            <w:tcW w:w="662" w:type="dxa"/>
            <w:tcBorders>
              <w:top w:val="nil"/>
              <w:left w:val="nil"/>
              <w:bottom w:val="nil"/>
              <w:right w:val="nil"/>
            </w:tcBorders>
            <w:shd w:val="clear" w:color="auto" w:fill="EAF1DD" w:themeFill="accent3" w:themeFillTint="33"/>
            <w:noWrap/>
            <w:vAlign w:val="bottom"/>
            <w:hideMark/>
          </w:tcPr>
          <w:p w14:paraId="550EE20C"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11,959</w:t>
            </w:r>
          </w:p>
        </w:tc>
        <w:tc>
          <w:tcPr>
            <w:tcW w:w="662" w:type="dxa"/>
            <w:tcBorders>
              <w:top w:val="nil"/>
              <w:left w:val="nil"/>
              <w:bottom w:val="nil"/>
              <w:right w:val="nil"/>
            </w:tcBorders>
            <w:shd w:val="clear" w:color="auto" w:fill="EAF1DD" w:themeFill="accent3" w:themeFillTint="33"/>
            <w:noWrap/>
            <w:vAlign w:val="bottom"/>
            <w:hideMark/>
          </w:tcPr>
          <w:p w14:paraId="3702D568"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12,270</w:t>
            </w:r>
          </w:p>
        </w:tc>
        <w:tc>
          <w:tcPr>
            <w:tcW w:w="662" w:type="dxa"/>
            <w:tcBorders>
              <w:top w:val="nil"/>
              <w:left w:val="nil"/>
              <w:bottom w:val="nil"/>
              <w:right w:val="nil"/>
            </w:tcBorders>
            <w:shd w:val="clear" w:color="auto" w:fill="EAF1DD" w:themeFill="accent3" w:themeFillTint="33"/>
            <w:noWrap/>
            <w:vAlign w:val="bottom"/>
            <w:hideMark/>
          </w:tcPr>
          <w:p w14:paraId="02C1C89B"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11,836</w:t>
            </w:r>
          </w:p>
        </w:tc>
        <w:tc>
          <w:tcPr>
            <w:tcW w:w="662" w:type="dxa"/>
            <w:tcBorders>
              <w:top w:val="nil"/>
              <w:left w:val="nil"/>
              <w:bottom w:val="nil"/>
              <w:right w:val="nil"/>
            </w:tcBorders>
            <w:shd w:val="clear" w:color="auto" w:fill="EAF1DD" w:themeFill="accent3" w:themeFillTint="33"/>
            <w:noWrap/>
            <w:vAlign w:val="bottom"/>
            <w:hideMark/>
          </w:tcPr>
          <w:p w14:paraId="5F39A345"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12,367</w:t>
            </w:r>
          </w:p>
        </w:tc>
        <w:tc>
          <w:tcPr>
            <w:tcW w:w="662" w:type="dxa"/>
            <w:tcBorders>
              <w:top w:val="nil"/>
              <w:left w:val="nil"/>
              <w:bottom w:val="nil"/>
              <w:right w:val="nil"/>
            </w:tcBorders>
            <w:shd w:val="clear" w:color="auto" w:fill="EAF1DD" w:themeFill="accent3" w:themeFillTint="33"/>
            <w:noWrap/>
            <w:vAlign w:val="bottom"/>
            <w:hideMark/>
          </w:tcPr>
          <w:p w14:paraId="41397A6A"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13,078</w:t>
            </w:r>
          </w:p>
        </w:tc>
        <w:tc>
          <w:tcPr>
            <w:tcW w:w="662" w:type="dxa"/>
            <w:tcBorders>
              <w:top w:val="nil"/>
              <w:left w:val="nil"/>
              <w:bottom w:val="nil"/>
              <w:right w:val="nil"/>
            </w:tcBorders>
            <w:shd w:val="clear" w:color="auto" w:fill="EAF1DD" w:themeFill="accent3" w:themeFillTint="33"/>
            <w:noWrap/>
            <w:vAlign w:val="bottom"/>
            <w:hideMark/>
          </w:tcPr>
          <w:p w14:paraId="551A1803"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12,375</w:t>
            </w:r>
          </w:p>
        </w:tc>
        <w:tc>
          <w:tcPr>
            <w:tcW w:w="662" w:type="dxa"/>
            <w:tcBorders>
              <w:top w:val="nil"/>
              <w:left w:val="nil"/>
              <w:bottom w:val="nil"/>
              <w:right w:val="nil"/>
            </w:tcBorders>
            <w:shd w:val="clear" w:color="auto" w:fill="EAF1DD" w:themeFill="accent3" w:themeFillTint="33"/>
            <w:noWrap/>
            <w:vAlign w:val="bottom"/>
            <w:hideMark/>
          </w:tcPr>
          <w:p w14:paraId="65180D52"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12,723</w:t>
            </w:r>
          </w:p>
        </w:tc>
        <w:tc>
          <w:tcPr>
            <w:tcW w:w="662" w:type="dxa"/>
            <w:tcBorders>
              <w:top w:val="nil"/>
              <w:left w:val="nil"/>
              <w:bottom w:val="nil"/>
              <w:right w:val="nil"/>
            </w:tcBorders>
            <w:shd w:val="clear" w:color="auto" w:fill="EAF1DD" w:themeFill="accent3" w:themeFillTint="33"/>
            <w:noWrap/>
            <w:vAlign w:val="bottom"/>
            <w:hideMark/>
          </w:tcPr>
          <w:p w14:paraId="66C3E1A5"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12,825</w:t>
            </w:r>
          </w:p>
        </w:tc>
        <w:tc>
          <w:tcPr>
            <w:tcW w:w="820" w:type="dxa"/>
            <w:tcBorders>
              <w:top w:val="nil"/>
              <w:left w:val="nil"/>
              <w:bottom w:val="nil"/>
              <w:right w:val="nil"/>
            </w:tcBorders>
            <w:shd w:val="clear" w:color="auto" w:fill="EAF1DD" w:themeFill="accent3" w:themeFillTint="33"/>
            <w:noWrap/>
            <w:vAlign w:val="bottom"/>
            <w:hideMark/>
          </w:tcPr>
          <w:p w14:paraId="03B47580"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12,421</w:t>
            </w:r>
          </w:p>
        </w:tc>
      </w:tr>
      <w:tr w:rsidR="004C0F71" w14:paraId="6AE14133" w14:textId="77777777" w:rsidTr="008A0E3B">
        <w:trPr>
          <w:trHeight w:val="300"/>
        </w:trPr>
        <w:tc>
          <w:tcPr>
            <w:tcW w:w="548" w:type="dxa"/>
            <w:tcBorders>
              <w:top w:val="nil"/>
              <w:left w:val="nil"/>
              <w:bottom w:val="nil"/>
              <w:right w:val="nil"/>
            </w:tcBorders>
            <w:shd w:val="clear" w:color="000000" w:fill="E2EFDA"/>
            <w:noWrap/>
            <w:vAlign w:val="bottom"/>
            <w:hideMark/>
          </w:tcPr>
          <w:p w14:paraId="1E0A5055" w14:textId="77777777" w:rsidR="004C0F71" w:rsidRPr="00B748FF" w:rsidRDefault="004C0F71" w:rsidP="008A0E3B">
            <w:pPr>
              <w:jc w:val="center"/>
              <w:rPr>
                <w:rFonts w:ascii="Calibri" w:hAnsi="Calibri" w:cs="Calibri"/>
                <w:color w:val="000000"/>
                <w:sz w:val="16"/>
                <w:szCs w:val="16"/>
              </w:rPr>
            </w:pPr>
            <w:r w:rsidRPr="00B748FF">
              <w:rPr>
                <w:rFonts w:ascii="Calibri" w:hAnsi="Calibri" w:cs="Calibri"/>
                <w:color w:val="000000"/>
                <w:sz w:val="16"/>
                <w:szCs w:val="16"/>
              </w:rPr>
              <w:t>744</w:t>
            </w:r>
          </w:p>
        </w:tc>
        <w:tc>
          <w:tcPr>
            <w:tcW w:w="662" w:type="dxa"/>
            <w:tcBorders>
              <w:top w:val="nil"/>
              <w:left w:val="nil"/>
              <w:bottom w:val="nil"/>
              <w:right w:val="nil"/>
            </w:tcBorders>
            <w:shd w:val="clear" w:color="auto" w:fill="EAF1DD" w:themeFill="accent3" w:themeFillTint="33"/>
            <w:noWrap/>
            <w:vAlign w:val="bottom"/>
            <w:hideMark/>
          </w:tcPr>
          <w:p w14:paraId="0CB892DE"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12,234</w:t>
            </w:r>
          </w:p>
        </w:tc>
        <w:tc>
          <w:tcPr>
            <w:tcW w:w="662" w:type="dxa"/>
            <w:tcBorders>
              <w:top w:val="nil"/>
              <w:left w:val="nil"/>
              <w:bottom w:val="nil"/>
              <w:right w:val="nil"/>
            </w:tcBorders>
            <w:shd w:val="clear" w:color="auto" w:fill="EAF1DD" w:themeFill="accent3" w:themeFillTint="33"/>
            <w:noWrap/>
            <w:vAlign w:val="bottom"/>
            <w:hideMark/>
          </w:tcPr>
          <w:p w14:paraId="1FE6F4CA"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12,480</w:t>
            </w:r>
          </w:p>
        </w:tc>
        <w:tc>
          <w:tcPr>
            <w:tcW w:w="662" w:type="dxa"/>
            <w:tcBorders>
              <w:top w:val="nil"/>
              <w:left w:val="nil"/>
              <w:bottom w:val="nil"/>
              <w:right w:val="nil"/>
            </w:tcBorders>
            <w:shd w:val="clear" w:color="auto" w:fill="EAF1DD" w:themeFill="accent3" w:themeFillTint="33"/>
            <w:noWrap/>
            <w:vAlign w:val="bottom"/>
            <w:hideMark/>
          </w:tcPr>
          <w:p w14:paraId="7A49AE50"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12,510</w:t>
            </w:r>
          </w:p>
        </w:tc>
        <w:tc>
          <w:tcPr>
            <w:tcW w:w="662" w:type="dxa"/>
            <w:tcBorders>
              <w:top w:val="nil"/>
              <w:left w:val="nil"/>
              <w:bottom w:val="nil"/>
              <w:right w:val="nil"/>
            </w:tcBorders>
            <w:shd w:val="clear" w:color="auto" w:fill="EAF1DD" w:themeFill="accent3" w:themeFillTint="33"/>
            <w:noWrap/>
            <w:vAlign w:val="bottom"/>
            <w:hideMark/>
          </w:tcPr>
          <w:p w14:paraId="77B13775"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13,135</w:t>
            </w:r>
          </w:p>
        </w:tc>
        <w:tc>
          <w:tcPr>
            <w:tcW w:w="662" w:type="dxa"/>
            <w:tcBorders>
              <w:top w:val="nil"/>
              <w:left w:val="nil"/>
              <w:bottom w:val="nil"/>
              <w:right w:val="nil"/>
            </w:tcBorders>
            <w:shd w:val="clear" w:color="auto" w:fill="EAF1DD" w:themeFill="accent3" w:themeFillTint="33"/>
            <w:noWrap/>
            <w:vAlign w:val="bottom"/>
            <w:hideMark/>
          </w:tcPr>
          <w:p w14:paraId="64A98235"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12,287</w:t>
            </w:r>
          </w:p>
        </w:tc>
        <w:tc>
          <w:tcPr>
            <w:tcW w:w="662" w:type="dxa"/>
            <w:tcBorders>
              <w:top w:val="nil"/>
              <w:left w:val="nil"/>
              <w:bottom w:val="nil"/>
              <w:right w:val="nil"/>
            </w:tcBorders>
            <w:shd w:val="clear" w:color="auto" w:fill="EAF1DD" w:themeFill="accent3" w:themeFillTint="33"/>
            <w:noWrap/>
            <w:vAlign w:val="bottom"/>
            <w:hideMark/>
          </w:tcPr>
          <w:p w14:paraId="55F50B16"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11,899</w:t>
            </w:r>
          </w:p>
        </w:tc>
        <w:tc>
          <w:tcPr>
            <w:tcW w:w="662" w:type="dxa"/>
            <w:tcBorders>
              <w:top w:val="nil"/>
              <w:left w:val="nil"/>
              <w:bottom w:val="nil"/>
              <w:right w:val="nil"/>
            </w:tcBorders>
            <w:shd w:val="clear" w:color="auto" w:fill="EAF1DD" w:themeFill="accent3" w:themeFillTint="33"/>
            <w:noWrap/>
            <w:vAlign w:val="bottom"/>
            <w:hideMark/>
          </w:tcPr>
          <w:p w14:paraId="34B7310C"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11,914</w:t>
            </w:r>
          </w:p>
        </w:tc>
        <w:tc>
          <w:tcPr>
            <w:tcW w:w="662" w:type="dxa"/>
            <w:tcBorders>
              <w:top w:val="nil"/>
              <w:left w:val="nil"/>
              <w:bottom w:val="nil"/>
              <w:right w:val="nil"/>
            </w:tcBorders>
            <w:shd w:val="clear" w:color="auto" w:fill="EAF1DD" w:themeFill="accent3" w:themeFillTint="33"/>
            <w:noWrap/>
            <w:vAlign w:val="bottom"/>
            <w:hideMark/>
          </w:tcPr>
          <w:p w14:paraId="72E15BF8"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11,953</w:t>
            </w:r>
          </w:p>
        </w:tc>
        <w:tc>
          <w:tcPr>
            <w:tcW w:w="662" w:type="dxa"/>
            <w:tcBorders>
              <w:top w:val="nil"/>
              <w:left w:val="nil"/>
              <w:bottom w:val="nil"/>
              <w:right w:val="nil"/>
            </w:tcBorders>
            <w:shd w:val="clear" w:color="auto" w:fill="EAF1DD" w:themeFill="accent3" w:themeFillTint="33"/>
            <w:noWrap/>
            <w:vAlign w:val="bottom"/>
            <w:hideMark/>
          </w:tcPr>
          <w:p w14:paraId="4A92254A"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12,257</w:t>
            </w:r>
          </w:p>
        </w:tc>
        <w:tc>
          <w:tcPr>
            <w:tcW w:w="662" w:type="dxa"/>
            <w:tcBorders>
              <w:top w:val="nil"/>
              <w:left w:val="nil"/>
              <w:bottom w:val="nil"/>
              <w:right w:val="nil"/>
            </w:tcBorders>
            <w:shd w:val="clear" w:color="auto" w:fill="EAF1DD" w:themeFill="accent3" w:themeFillTint="33"/>
            <w:noWrap/>
            <w:vAlign w:val="bottom"/>
            <w:hideMark/>
          </w:tcPr>
          <w:p w14:paraId="63AD6CCF"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11,788</w:t>
            </w:r>
          </w:p>
        </w:tc>
        <w:tc>
          <w:tcPr>
            <w:tcW w:w="662" w:type="dxa"/>
            <w:tcBorders>
              <w:top w:val="nil"/>
              <w:left w:val="nil"/>
              <w:bottom w:val="nil"/>
              <w:right w:val="nil"/>
            </w:tcBorders>
            <w:shd w:val="clear" w:color="auto" w:fill="EAF1DD" w:themeFill="accent3" w:themeFillTint="33"/>
            <w:noWrap/>
            <w:vAlign w:val="bottom"/>
            <w:hideMark/>
          </w:tcPr>
          <w:p w14:paraId="0F3434BE"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12,334</w:t>
            </w:r>
          </w:p>
        </w:tc>
        <w:tc>
          <w:tcPr>
            <w:tcW w:w="662" w:type="dxa"/>
            <w:tcBorders>
              <w:top w:val="nil"/>
              <w:left w:val="nil"/>
              <w:bottom w:val="nil"/>
              <w:right w:val="nil"/>
            </w:tcBorders>
            <w:shd w:val="clear" w:color="auto" w:fill="EAF1DD" w:themeFill="accent3" w:themeFillTint="33"/>
            <w:noWrap/>
            <w:vAlign w:val="bottom"/>
            <w:hideMark/>
          </w:tcPr>
          <w:p w14:paraId="60D813F2"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13,028</w:t>
            </w:r>
          </w:p>
        </w:tc>
        <w:tc>
          <w:tcPr>
            <w:tcW w:w="662" w:type="dxa"/>
            <w:tcBorders>
              <w:top w:val="nil"/>
              <w:left w:val="nil"/>
              <w:bottom w:val="nil"/>
              <w:right w:val="nil"/>
            </w:tcBorders>
            <w:shd w:val="clear" w:color="auto" w:fill="EAF1DD" w:themeFill="accent3" w:themeFillTint="33"/>
            <w:noWrap/>
            <w:vAlign w:val="bottom"/>
            <w:hideMark/>
          </w:tcPr>
          <w:p w14:paraId="5C820A39"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12,340</w:t>
            </w:r>
          </w:p>
        </w:tc>
        <w:tc>
          <w:tcPr>
            <w:tcW w:w="662" w:type="dxa"/>
            <w:tcBorders>
              <w:top w:val="nil"/>
              <w:left w:val="nil"/>
              <w:bottom w:val="nil"/>
              <w:right w:val="nil"/>
            </w:tcBorders>
            <w:shd w:val="clear" w:color="auto" w:fill="EAF1DD" w:themeFill="accent3" w:themeFillTint="33"/>
            <w:noWrap/>
            <w:vAlign w:val="bottom"/>
            <w:hideMark/>
          </w:tcPr>
          <w:p w14:paraId="03CF0859"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12,609</w:t>
            </w:r>
          </w:p>
        </w:tc>
        <w:tc>
          <w:tcPr>
            <w:tcW w:w="662" w:type="dxa"/>
            <w:tcBorders>
              <w:top w:val="nil"/>
              <w:left w:val="nil"/>
              <w:bottom w:val="nil"/>
              <w:right w:val="nil"/>
            </w:tcBorders>
            <w:shd w:val="clear" w:color="auto" w:fill="EAF1DD" w:themeFill="accent3" w:themeFillTint="33"/>
            <w:noWrap/>
            <w:vAlign w:val="bottom"/>
            <w:hideMark/>
          </w:tcPr>
          <w:p w14:paraId="387FF76E"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12,716</w:t>
            </w:r>
          </w:p>
        </w:tc>
        <w:tc>
          <w:tcPr>
            <w:tcW w:w="820" w:type="dxa"/>
            <w:tcBorders>
              <w:top w:val="nil"/>
              <w:left w:val="nil"/>
              <w:bottom w:val="nil"/>
              <w:right w:val="nil"/>
            </w:tcBorders>
            <w:shd w:val="clear" w:color="auto" w:fill="EAF1DD" w:themeFill="accent3" w:themeFillTint="33"/>
            <w:noWrap/>
            <w:vAlign w:val="bottom"/>
            <w:hideMark/>
          </w:tcPr>
          <w:p w14:paraId="2043FA2D" w14:textId="77777777" w:rsidR="004C0F71" w:rsidRPr="00B748FF" w:rsidRDefault="004C0F71" w:rsidP="008A0E3B">
            <w:pPr>
              <w:jc w:val="center"/>
              <w:rPr>
                <w:rFonts w:ascii="Calibri" w:hAnsi="Calibri" w:cs="Calibri"/>
                <w:color w:val="000000"/>
                <w:sz w:val="16"/>
                <w:szCs w:val="16"/>
              </w:rPr>
            </w:pPr>
            <w:r>
              <w:rPr>
                <w:rFonts w:ascii="Calibri" w:hAnsi="Calibri" w:cs="Calibri"/>
                <w:color w:val="000000"/>
                <w:sz w:val="16"/>
                <w:szCs w:val="16"/>
              </w:rPr>
              <w:t>12,366</w:t>
            </w:r>
          </w:p>
        </w:tc>
      </w:tr>
    </w:tbl>
    <w:p w14:paraId="2B48791C" w14:textId="42A833E3" w:rsidR="00B5059E" w:rsidRDefault="00B5059E" w:rsidP="008E294A">
      <w:pPr>
        <w:pStyle w:val="StyleLinespacingMultiple115li"/>
      </w:pPr>
    </w:p>
    <w:p w14:paraId="377A18DB" w14:textId="621859CE" w:rsidR="00B5059E" w:rsidRDefault="00B5059E" w:rsidP="008E294A">
      <w:pPr>
        <w:pStyle w:val="StyleLinespacingMultiple115li"/>
      </w:pPr>
    </w:p>
    <w:p w14:paraId="1BC32E30" w14:textId="3C9CE216" w:rsidR="00B5059E" w:rsidRPr="00B5059E" w:rsidRDefault="00B5059E" w:rsidP="00B5059E">
      <w:pPr>
        <w:spacing w:line="276" w:lineRule="auto"/>
        <w:jc w:val="center"/>
        <w:rPr>
          <w:rFonts w:asciiTheme="minorHAnsi" w:hAnsiTheme="minorHAnsi"/>
          <w:b/>
          <w:sz w:val="20"/>
        </w:rPr>
      </w:pPr>
      <w:r w:rsidRPr="00E76ABC">
        <w:rPr>
          <w:rFonts w:asciiTheme="minorHAnsi" w:hAnsiTheme="minorHAnsi"/>
          <w:b/>
          <w:sz w:val="20"/>
        </w:rPr>
        <w:t>Historical Weather Year</w:t>
      </w:r>
    </w:p>
    <w:p w14:paraId="29CFADA6" w14:textId="387CAB5D" w:rsidR="00B5059E" w:rsidRPr="004442ED" w:rsidRDefault="00B5059E" w:rsidP="00B5059E">
      <w:pPr>
        <w:spacing w:line="276" w:lineRule="auto"/>
        <w:jc w:val="center"/>
        <w:rPr>
          <w:b/>
          <w:u w:val="single"/>
        </w:rPr>
      </w:pPr>
      <w:r w:rsidRPr="004442ED">
        <w:rPr>
          <w:b/>
          <w:u w:val="single"/>
        </w:rPr>
        <w:t xml:space="preserve">Table </w:t>
      </w:r>
      <w:r w:rsidR="0029373C">
        <w:rPr>
          <w:b/>
          <w:u w:val="single"/>
        </w:rPr>
        <w:t>4</w:t>
      </w:r>
      <w:r w:rsidRPr="004442ED">
        <w:rPr>
          <w:b/>
          <w:u w:val="single"/>
        </w:rPr>
        <w:t>: Coast Weather Zone 202</w:t>
      </w:r>
      <w:r w:rsidR="00470BEE">
        <w:rPr>
          <w:b/>
          <w:u w:val="single"/>
        </w:rPr>
        <w:t>4</w:t>
      </w:r>
      <w:r w:rsidRPr="004442ED">
        <w:rPr>
          <w:b/>
          <w:u w:val="single"/>
        </w:rPr>
        <w:t xml:space="preserve"> </w:t>
      </w:r>
      <w:r w:rsidR="008F007D">
        <w:rPr>
          <w:b/>
          <w:u w:val="single"/>
        </w:rPr>
        <w:t xml:space="preserve">-2025 </w:t>
      </w:r>
      <w:r w:rsidRPr="004442ED">
        <w:rPr>
          <w:b/>
          <w:u w:val="single"/>
        </w:rPr>
        <w:t>Winter Peak Forecast Scenarios</w:t>
      </w:r>
    </w:p>
    <w:tbl>
      <w:tblPr>
        <w:tblpPr w:leftFromText="180" w:rightFromText="180" w:vertAnchor="text" w:horzAnchor="margin" w:tblpY="76"/>
        <w:tblW w:w="11298" w:type="dxa"/>
        <w:tblLook w:val="04A0" w:firstRow="1" w:lastRow="0" w:firstColumn="1" w:lastColumn="0" w:noHBand="0" w:noVBand="1"/>
      </w:tblPr>
      <w:tblGrid>
        <w:gridCol w:w="548"/>
        <w:gridCol w:w="662"/>
        <w:gridCol w:w="662"/>
        <w:gridCol w:w="662"/>
        <w:gridCol w:w="662"/>
        <w:gridCol w:w="662"/>
        <w:gridCol w:w="662"/>
        <w:gridCol w:w="662"/>
        <w:gridCol w:w="662"/>
        <w:gridCol w:w="662"/>
        <w:gridCol w:w="662"/>
        <w:gridCol w:w="662"/>
        <w:gridCol w:w="662"/>
        <w:gridCol w:w="662"/>
        <w:gridCol w:w="662"/>
        <w:gridCol w:w="662"/>
        <w:gridCol w:w="820"/>
      </w:tblGrid>
      <w:tr w:rsidR="00B5059E" w14:paraId="7700B560" w14:textId="77777777" w:rsidTr="00B5059E">
        <w:trPr>
          <w:trHeight w:hRule="exact" w:val="20"/>
        </w:trPr>
        <w:tc>
          <w:tcPr>
            <w:tcW w:w="548" w:type="dxa"/>
            <w:tcBorders>
              <w:top w:val="nil"/>
              <w:left w:val="nil"/>
              <w:bottom w:val="nil"/>
              <w:right w:val="nil"/>
            </w:tcBorders>
            <w:shd w:val="clear" w:color="000000" w:fill="E2EFDA"/>
            <w:noWrap/>
            <w:vAlign w:val="bottom"/>
            <w:hideMark/>
          </w:tcPr>
          <w:p w14:paraId="47C63577" w14:textId="77777777" w:rsidR="00B5059E" w:rsidRDefault="00B5059E" w:rsidP="00B5059E">
            <w:pPr>
              <w:rPr>
                <w:sz w:val="2"/>
              </w:rPr>
            </w:pPr>
            <w:bookmarkStart w:id="4" w:name="_79daf5db_d8a8_4b0e_b127_1dc187d4b0ca"/>
          </w:p>
        </w:tc>
        <w:tc>
          <w:tcPr>
            <w:tcW w:w="662" w:type="dxa"/>
            <w:tcBorders>
              <w:top w:val="nil"/>
              <w:left w:val="nil"/>
              <w:bottom w:val="nil"/>
              <w:right w:val="nil"/>
            </w:tcBorders>
            <w:shd w:val="clear" w:color="000000" w:fill="E2EFDA"/>
            <w:noWrap/>
            <w:vAlign w:val="bottom"/>
            <w:hideMark/>
          </w:tcPr>
          <w:p w14:paraId="19FDE37C" w14:textId="77777777" w:rsidR="00B5059E" w:rsidRDefault="00B5059E" w:rsidP="00B5059E">
            <w:pPr>
              <w:rPr>
                <w:sz w:val="2"/>
              </w:rPr>
            </w:pPr>
          </w:p>
        </w:tc>
        <w:tc>
          <w:tcPr>
            <w:tcW w:w="662" w:type="dxa"/>
            <w:tcBorders>
              <w:top w:val="nil"/>
              <w:left w:val="nil"/>
              <w:bottom w:val="nil"/>
              <w:right w:val="nil"/>
            </w:tcBorders>
            <w:shd w:val="clear" w:color="000000" w:fill="E2EFDA"/>
            <w:noWrap/>
            <w:vAlign w:val="bottom"/>
            <w:hideMark/>
          </w:tcPr>
          <w:p w14:paraId="3C0CC9F0" w14:textId="77777777" w:rsidR="00B5059E" w:rsidRDefault="00B5059E" w:rsidP="00B5059E">
            <w:pPr>
              <w:rPr>
                <w:sz w:val="2"/>
              </w:rPr>
            </w:pPr>
          </w:p>
        </w:tc>
        <w:tc>
          <w:tcPr>
            <w:tcW w:w="662" w:type="dxa"/>
            <w:tcBorders>
              <w:top w:val="nil"/>
              <w:left w:val="nil"/>
              <w:bottom w:val="nil"/>
              <w:right w:val="nil"/>
            </w:tcBorders>
            <w:shd w:val="clear" w:color="000000" w:fill="E2EFDA"/>
            <w:noWrap/>
            <w:vAlign w:val="bottom"/>
            <w:hideMark/>
          </w:tcPr>
          <w:p w14:paraId="51ABD760" w14:textId="77777777" w:rsidR="00B5059E" w:rsidRDefault="00B5059E" w:rsidP="00B5059E">
            <w:pPr>
              <w:rPr>
                <w:sz w:val="2"/>
              </w:rPr>
            </w:pPr>
          </w:p>
        </w:tc>
        <w:tc>
          <w:tcPr>
            <w:tcW w:w="662" w:type="dxa"/>
            <w:tcBorders>
              <w:top w:val="nil"/>
              <w:left w:val="nil"/>
              <w:bottom w:val="nil"/>
              <w:right w:val="nil"/>
            </w:tcBorders>
            <w:shd w:val="clear" w:color="000000" w:fill="E2EFDA"/>
            <w:noWrap/>
            <w:vAlign w:val="bottom"/>
            <w:hideMark/>
          </w:tcPr>
          <w:p w14:paraId="487259E3" w14:textId="77777777" w:rsidR="00B5059E" w:rsidRDefault="00B5059E" w:rsidP="00B5059E">
            <w:pPr>
              <w:rPr>
                <w:sz w:val="2"/>
              </w:rPr>
            </w:pPr>
          </w:p>
        </w:tc>
        <w:tc>
          <w:tcPr>
            <w:tcW w:w="662" w:type="dxa"/>
            <w:tcBorders>
              <w:top w:val="nil"/>
              <w:left w:val="nil"/>
              <w:bottom w:val="nil"/>
              <w:right w:val="nil"/>
            </w:tcBorders>
            <w:shd w:val="clear" w:color="000000" w:fill="E2EFDA"/>
            <w:noWrap/>
            <w:vAlign w:val="bottom"/>
            <w:hideMark/>
          </w:tcPr>
          <w:p w14:paraId="65EF3566" w14:textId="77777777" w:rsidR="00B5059E" w:rsidRDefault="00B5059E" w:rsidP="00B5059E">
            <w:pPr>
              <w:rPr>
                <w:sz w:val="2"/>
              </w:rPr>
            </w:pPr>
          </w:p>
        </w:tc>
        <w:tc>
          <w:tcPr>
            <w:tcW w:w="662" w:type="dxa"/>
            <w:tcBorders>
              <w:top w:val="nil"/>
              <w:left w:val="nil"/>
              <w:bottom w:val="nil"/>
              <w:right w:val="nil"/>
            </w:tcBorders>
            <w:shd w:val="clear" w:color="000000" w:fill="E2EFDA"/>
            <w:noWrap/>
            <w:vAlign w:val="bottom"/>
            <w:hideMark/>
          </w:tcPr>
          <w:p w14:paraId="24E08563" w14:textId="77777777" w:rsidR="00B5059E" w:rsidRDefault="00B5059E" w:rsidP="00B5059E">
            <w:pPr>
              <w:rPr>
                <w:sz w:val="2"/>
              </w:rPr>
            </w:pPr>
          </w:p>
        </w:tc>
        <w:tc>
          <w:tcPr>
            <w:tcW w:w="662" w:type="dxa"/>
            <w:tcBorders>
              <w:top w:val="nil"/>
              <w:left w:val="nil"/>
              <w:bottom w:val="nil"/>
              <w:right w:val="nil"/>
            </w:tcBorders>
            <w:shd w:val="clear" w:color="000000" w:fill="E2EFDA"/>
            <w:noWrap/>
            <w:vAlign w:val="bottom"/>
            <w:hideMark/>
          </w:tcPr>
          <w:p w14:paraId="546A000E" w14:textId="77777777" w:rsidR="00B5059E" w:rsidRDefault="00B5059E" w:rsidP="00B5059E">
            <w:pPr>
              <w:rPr>
                <w:sz w:val="2"/>
              </w:rPr>
            </w:pPr>
          </w:p>
        </w:tc>
        <w:tc>
          <w:tcPr>
            <w:tcW w:w="662" w:type="dxa"/>
            <w:tcBorders>
              <w:top w:val="nil"/>
              <w:left w:val="nil"/>
              <w:bottom w:val="nil"/>
              <w:right w:val="nil"/>
            </w:tcBorders>
            <w:shd w:val="clear" w:color="000000" w:fill="E2EFDA"/>
            <w:noWrap/>
            <w:vAlign w:val="bottom"/>
            <w:hideMark/>
          </w:tcPr>
          <w:p w14:paraId="0190F1CE" w14:textId="77777777" w:rsidR="00B5059E" w:rsidRDefault="00B5059E" w:rsidP="00B5059E">
            <w:pPr>
              <w:rPr>
                <w:sz w:val="2"/>
              </w:rPr>
            </w:pPr>
          </w:p>
        </w:tc>
        <w:tc>
          <w:tcPr>
            <w:tcW w:w="662" w:type="dxa"/>
            <w:tcBorders>
              <w:top w:val="nil"/>
              <w:left w:val="nil"/>
              <w:bottom w:val="nil"/>
              <w:right w:val="nil"/>
            </w:tcBorders>
            <w:shd w:val="clear" w:color="000000" w:fill="E2EFDA"/>
            <w:noWrap/>
            <w:vAlign w:val="bottom"/>
            <w:hideMark/>
          </w:tcPr>
          <w:p w14:paraId="309921B6" w14:textId="77777777" w:rsidR="00B5059E" w:rsidRDefault="00B5059E" w:rsidP="00B5059E">
            <w:pPr>
              <w:rPr>
                <w:sz w:val="2"/>
              </w:rPr>
            </w:pPr>
          </w:p>
        </w:tc>
        <w:tc>
          <w:tcPr>
            <w:tcW w:w="662" w:type="dxa"/>
            <w:tcBorders>
              <w:top w:val="nil"/>
              <w:left w:val="nil"/>
              <w:bottom w:val="nil"/>
              <w:right w:val="nil"/>
            </w:tcBorders>
            <w:shd w:val="clear" w:color="000000" w:fill="E2EFDA"/>
            <w:noWrap/>
            <w:vAlign w:val="bottom"/>
            <w:hideMark/>
          </w:tcPr>
          <w:p w14:paraId="7DAF0D98" w14:textId="77777777" w:rsidR="00B5059E" w:rsidRDefault="00B5059E" w:rsidP="00B5059E">
            <w:pPr>
              <w:rPr>
                <w:sz w:val="2"/>
              </w:rPr>
            </w:pPr>
          </w:p>
        </w:tc>
        <w:tc>
          <w:tcPr>
            <w:tcW w:w="662" w:type="dxa"/>
            <w:tcBorders>
              <w:top w:val="nil"/>
              <w:left w:val="nil"/>
              <w:bottom w:val="nil"/>
              <w:right w:val="nil"/>
            </w:tcBorders>
            <w:shd w:val="clear" w:color="000000" w:fill="E2EFDA"/>
            <w:noWrap/>
            <w:vAlign w:val="bottom"/>
            <w:hideMark/>
          </w:tcPr>
          <w:p w14:paraId="3FA97AB0" w14:textId="77777777" w:rsidR="00B5059E" w:rsidRDefault="00B5059E" w:rsidP="00B5059E">
            <w:pPr>
              <w:rPr>
                <w:sz w:val="2"/>
              </w:rPr>
            </w:pPr>
          </w:p>
        </w:tc>
        <w:tc>
          <w:tcPr>
            <w:tcW w:w="662" w:type="dxa"/>
            <w:tcBorders>
              <w:top w:val="nil"/>
              <w:left w:val="nil"/>
              <w:bottom w:val="nil"/>
              <w:right w:val="nil"/>
            </w:tcBorders>
            <w:shd w:val="clear" w:color="000000" w:fill="E2EFDA"/>
            <w:noWrap/>
            <w:vAlign w:val="bottom"/>
            <w:hideMark/>
          </w:tcPr>
          <w:p w14:paraId="63D49AE9" w14:textId="77777777" w:rsidR="00B5059E" w:rsidRDefault="00B5059E" w:rsidP="00B5059E">
            <w:pPr>
              <w:rPr>
                <w:sz w:val="2"/>
              </w:rPr>
            </w:pPr>
          </w:p>
        </w:tc>
        <w:tc>
          <w:tcPr>
            <w:tcW w:w="662" w:type="dxa"/>
            <w:tcBorders>
              <w:top w:val="nil"/>
              <w:left w:val="nil"/>
              <w:bottom w:val="nil"/>
              <w:right w:val="nil"/>
            </w:tcBorders>
            <w:shd w:val="clear" w:color="000000" w:fill="E2EFDA"/>
            <w:noWrap/>
            <w:vAlign w:val="bottom"/>
            <w:hideMark/>
          </w:tcPr>
          <w:p w14:paraId="6E47C8D7" w14:textId="77777777" w:rsidR="00B5059E" w:rsidRDefault="00B5059E" w:rsidP="00B5059E">
            <w:pPr>
              <w:rPr>
                <w:sz w:val="2"/>
              </w:rPr>
            </w:pPr>
          </w:p>
        </w:tc>
        <w:tc>
          <w:tcPr>
            <w:tcW w:w="662" w:type="dxa"/>
            <w:tcBorders>
              <w:top w:val="nil"/>
              <w:left w:val="nil"/>
              <w:bottom w:val="nil"/>
              <w:right w:val="nil"/>
            </w:tcBorders>
            <w:shd w:val="clear" w:color="000000" w:fill="E2EFDA"/>
            <w:noWrap/>
            <w:vAlign w:val="bottom"/>
            <w:hideMark/>
          </w:tcPr>
          <w:p w14:paraId="52F0C508" w14:textId="77777777" w:rsidR="00B5059E" w:rsidRDefault="00B5059E" w:rsidP="00B5059E">
            <w:pPr>
              <w:rPr>
                <w:sz w:val="2"/>
              </w:rPr>
            </w:pPr>
          </w:p>
        </w:tc>
        <w:tc>
          <w:tcPr>
            <w:tcW w:w="662" w:type="dxa"/>
            <w:tcBorders>
              <w:top w:val="nil"/>
              <w:left w:val="nil"/>
              <w:bottom w:val="nil"/>
              <w:right w:val="nil"/>
            </w:tcBorders>
            <w:shd w:val="clear" w:color="000000" w:fill="E2EFDA"/>
            <w:noWrap/>
            <w:vAlign w:val="bottom"/>
            <w:hideMark/>
          </w:tcPr>
          <w:p w14:paraId="79C3B784" w14:textId="77777777" w:rsidR="00B5059E" w:rsidRDefault="00B5059E" w:rsidP="00B5059E">
            <w:pPr>
              <w:rPr>
                <w:sz w:val="2"/>
              </w:rPr>
            </w:pPr>
          </w:p>
        </w:tc>
        <w:tc>
          <w:tcPr>
            <w:tcW w:w="820" w:type="dxa"/>
            <w:tcBorders>
              <w:top w:val="nil"/>
              <w:left w:val="nil"/>
              <w:bottom w:val="nil"/>
              <w:right w:val="nil"/>
            </w:tcBorders>
            <w:shd w:val="clear" w:color="000000" w:fill="E2EFDA"/>
            <w:noWrap/>
            <w:vAlign w:val="bottom"/>
            <w:hideMark/>
          </w:tcPr>
          <w:p w14:paraId="64644D92" w14:textId="77777777" w:rsidR="00B5059E" w:rsidRDefault="00B5059E" w:rsidP="00B5059E">
            <w:pPr>
              <w:rPr>
                <w:sz w:val="2"/>
              </w:rPr>
            </w:pPr>
          </w:p>
        </w:tc>
      </w:tr>
      <w:tr w:rsidR="00B5059E" w14:paraId="36DFF34E" w14:textId="77777777" w:rsidTr="00526A33">
        <w:trPr>
          <w:trHeight w:val="300"/>
        </w:trPr>
        <w:tc>
          <w:tcPr>
            <w:tcW w:w="548" w:type="dxa"/>
            <w:tcBorders>
              <w:top w:val="nil"/>
              <w:left w:val="nil"/>
              <w:bottom w:val="nil"/>
              <w:right w:val="nil"/>
            </w:tcBorders>
            <w:shd w:val="clear" w:color="000000" w:fill="E2EFDA"/>
            <w:noWrap/>
            <w:vAlign w:val="bottom"/>
            <w:hideMark/>
          </w:tcPr>
          <w:p w14:paraId="713B0DD2" w14:textId="77777777"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Rank</w:t>
            </w:r>
          </w:p>
        </w:tc>
        <w:tc>
          <w:tcPr>
            <w:tcW w:w="662" w:type="dxa"/>
            <w:tcBorders>
              <w:top w:val="nil"/>
              <w:left w:val="nil"/>
              <w:right w:val="nil"/>
            </w:tcBorders>
            <w:shd w:val="clear" w:color="000000" w:fill="E2EFDA"/>
            <w:noWrap/>
            <w:vAlign w:val="bottom"/>
            <w:hideMark/>
          </w:tcPr>
          <w:p w14:paraId="018E2B80" w14:textId="6D05FBD3"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200</w:t>
            </w:r>
            <w:r w:rsidR="00470BEE">
              <w:rPr>
                <w:rFonts w:ascii="Calibri" w:hAnsi="Calibri" w:cs="Calibri"/>
                <w:b/>
                <w:bCs/>
                <w:color w:val="000000"/>
                <w:sz w:val="16"/>
                <w:szCs w:val="16"/>
              </w:rPr>
              <w:t>8</w:t>
            </w:r>
          </w:p>
        </w:tc>
        <w:tc>
          <w:tcPr>
            <w:tcW w:w="662" w:type="dxa"/>
            <w:tcBorders>
              <w:top w:val="nil"/>
              <w:left w:val="nil"/>
              <w:right w:val="nil"/>
            </w:tcBorders>
            <w:shd w:val="clear" w:color="000000" w:fill="E2EFDA"/>
            <w:noWrap/>
            <w:vAlign w:val="bottom"/>
            <w:hideMark/>
          </w:tcPr>
          <w:p w14:paraId="46278ADE" w14:textId="61682CDB"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200</w:t>
            </w:r>
            <w:r w:rsidR="00470BEE">
              <w:rPr>
                <w:rFonts w:ascii="Calibri" w:hAnsi="Calibri" w:cs="Calibri"/>
                <w:b/>
                <w:bCs/>
                <w:color w:val="000000"/>
                <w:sz w:val="16"/>
                <w:szCs w:val="16"/>
              </w:rPr>
              <w:t>9</w:t>
            </w:r>
          </w:p>
        </w:tc>
        <w:tc>
          <w:tcPr>
            <w:tcW w:w="662" w:type="dxa"/>
            <w:tcBorders>
              <w:top w:val="nil"/>
              <w:left w:val="nil"/>
              <w:right w:val="nil"/>
            </w:tcBorders>
            <w:shd w:val="clear" w:color="000000" w:fill="E2EFDA"/>
            <w:noWrap/>
            <w:vAlign w:val="bottom"/>
            <w:hideMark/>
          </w:tcPr>
          <w:p w14:paraId="7607376B" w14:textId="1A35A00B"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20</w:t>
            </w:r>
            <w:r w:rsidR="00470BEE">
              <w:rPr>
                <w:rFonts w:ascii="Calibri" w:hAnsi="Calibri" w:cs="Calibri"/>
                <w:b/>
                <w:bCs/>
                <w:color w:val="000000"/>
                <w:sz w:val="16"/>
                <w:szCs w:val="16"/>
              </w:rPr>
              <w:t>10</w:t>
            </w:r>
          </w:p>
        </w:tc>
        <w:tc>
          <w:tcPr>
            <w:tcW w:w="662" w:type="dxa"/>
            <w:tcBorders>
              <w:top w:val="nil"/>
              <w:left w:val="nil"/>
              <w:right w:val="nil"/>
            </w:tcBorders>
            <w:shd w:val="clear" w:color="000000" w:fill="E2EFDA"/>
            <w:noWrap/>
            <w:vAlign w:val="bottom"/>
            <w:hideMark/>
          </w:tcPr>
          <w:p w14:paraId="0DE60833" w14:textId="1E7AA977"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470BEE">
              <w:rPr>
                <w:rFonts w:ascii="Calibri" w:hAnsi="Calibri" w:cs="Calibri"/>
                <w:b/>
                <w:bCs/>
                <w:color w:val="000000"/>
                <w:sz w:val="16"/>
                <w:szCs w:val="16"/>
              </w:rPr>
              <w:t>1</w:t>
            </w:r>
          </w:p>
        </w:tc>
        <w:tc>
          <w:tcPr>
            <w:tcW w:w="662" w:type="dxa"/>
            <w:tcBorders>
              <w:top w:val="nil"/>
              <w:left w:val="nil"/>
              <w:right w:val="nil"/>
            </w:tcBorders>
            <w:shd w:val="clear" w:color="000000" w:fill="E2EFDA"/>
            <w:noWrap/>
            <w:vAlign w:val="bottom"/>
            <w:hideMark/>
          </w:tcPr>
          <w:p w14:paraId="4CD5379C" w14:textId="1215A3D5"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470BEE">
              <w:rPr>
                <w:rFonts w:ascii="Calibri" w:hAnsi="Calibri" w:cs="Calibri"/>
                <w:b/>
                <w:bCs/>
                <w:color w:val="000000"/>
                <w:sz w:val="16"/>
                <w:szCs w:val="16"/>
              </w:rPr>
              <w:t>2</w:t>
            </w:r>
          </w:p>
        </w:tc>
        <w:tc>
          <w:tcPr>
            <w:tcW w:w="662" w:type="dxa"/>
            <w:tcBorders>
              <w:top w:val="nil"/>
              <w:left w:val="nil"/>
              <w:right w:val="nil"/>
            </w:tcBorders>
            <w:shd w:val="clear" w:color="000000" w:fill="E2EFDA"/>
            <w:noWrap/>
            <w:vAlign w:val="bottom"/>
            <w:hideMark/>
          </w:tcPr>
          <w:p w14:paraId="2AC34685" w14:textId="66194279"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470BEE">
              <w:rPr>
                <w:rFonts w:ascii="Calibri" w:hAnsi="Calibri" w:cs="Calibri"/>
                <w:b/>
                <w:bCs/>
                <w:color w:val="000000"/>
                <w:sz w:val="16"/>
                <w:szCs w:val="16"/>
              </w:rPr>
              <w:t>3</w:t>
            </w:r>
          </w:p>
        </w:tc>
        <w:tc>
          <w:tcPr>
            <w:tcW w:w="662" w:type="dxa"/>
            <w:tcBorders>
              <w:top w:val="nil"/>
              <w:left w:val="nil"/>
              <w:right w:val="nil"/>
            </w:tcBorders>
            <w:shd w:val="clear" w:color="000000" w:fill="E2EFDA"/>
            <w:noWrap/>
            <w:vAlign w:val="bottom"/>
            <w:hideMark/>
          </w:tcPr>
          <w:p w14:paraId="207536E8" w14:textId="21B545CD"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470BEE">
              <w:rPr>
                <w:rFonts w:ascii="Calibri" w:hAnsi="Calibri" w:cs="Calibri"/>
                <w:b/>
                <w:bCs/>
                <w:color w:val="000000"/>
                <w:sz w:val="16"/>
                <w:szCs w:val="16"/>
              </w:rPr>
              <w:t>4</w:t>
            </w:r>
          </w:p>
        </w:tc>
        <w:tc>
          <w:tcPr>
            <w:tcW w:w="662" w:type="dxa"/>
            <w:tcBorders>
              <w:top w:val="nil"/>
              <w:left w:val="nil"/>
              <w:right w:val="nil"/>
            </w:tcBorders>
            <w:shd w:val="clear" w:color="000000" w:fill="E2EFDA"/>
            <w:noWrap/>
            <w:vAlign w:val="bottom"/>
            <w:hideMark/>
          </w:tcPr>
          <w:p w14:paraId="4BC82CE9" w14:textId="35FFDB34"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470BEE">
              <w:rPr>
                <w:rFonts w:ascii="Calibri" w:hAnsi="Calibri" w:cs="Calibri"/>
                <w:b/>
                <w:bCs/>
                <w:color w:val="000000"/>
                <w:sz w:val="16"/>
                <w:szCs w:val="16"/>
              </w:rPr>
              <w:t>5</w:t>
            </w:r>
          </w:p>
        </w:tc>
        <w:tc>
          <w:tcPr>
            <w:tcW w:w="662" w:type="dxa"/>
            <w:tcBorders>
              <w:top w:val="nil"/>
              <w:left w:val="nil"/>
              <w:right w:val="nil"/>
            </w:tcBorders>
            <w:shd w:val="clear" w:color="000000" w:fill="E2EFDA"/>
            <w:noWrap/>
            <w:vAlign w:val="bottom"/>
            <w:hideMark/>
          </w:tcPr>
          <w:p w14:paraId="596FBD2F" w14:textId="3089EA81"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470BEE">
              <w:rPr>
                <w:rFonts w:ascii="Calibri" w:hAnsi="Calibri" w:cs="Calibri"/>
                <w:b/>
                <w:bCs/>
                <w:color w:val="000000"/>
                <w:sz w:val="16"/>
                <w:szCs w:val="16"/>
              </w:rPr>
              <w:t>6</w:t>
            </w:r>
          </w:p>
        </w:tc>
        <w:tc>
          <w:tcPr>
            <w:tcW w:w="662" w:type="dxa"/>
            <w:tcBorders>
              <w:top w:val="nil"/>
              <w:left w:val="nil"/>
              <w:right w:val="nil"/>
            </w:tcBorders>
            <w:shd w:val="clear" w:color="000000" w:fill="E2EFDA"/>
            <w:noWrap/>
            <w:vAlign w:val="bottom"/>
            <w:hideMark/>
          </w:tcPr>
          <w:p w14:paraId="2EB9AC69" w14:textId="3FF98399"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470BEE">
              <w:rPr>
                <w:rFonts w:ascii="Calibri" w:hAnsi="Calibri" w:cs="Calibri"/>
                <w:b/>
                <w:bCs/>
                <w:color w:val="000000"/>
                <w:sz w:val="16"/>
                <w:szCs w:val="16"/>
              </w:rPr>
              <w:t>7</w:t>
            </w:r>
          </w:p>
        </w:tc>
        <w:tc>
          <w:tcPr>
            <w:tcW w:w="662" w:type="dxa"/>
            <w:tcBorders>
              <w:top w:val="nil"/>
              <w:left w:val="nil"/>
              <w:right w:val="nil"/>
            </w:tcBorders>
            <w:shd w:val="clear" w:color="000000" w:fill="E2EFDA"/>
            <w:noWrap/>
            <w:vAlign w:val="bottom"/>
            <w:hideMark/>
          </w:tcPr>
          <w:p w14:paraId="2418070C" w14:textId="74B821BB"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470BEE">
              <w:rPr>
                <w:rFonts w:ascii="Calibri" w:hAnsi="Calibri" w:cs="Calibri"/>
                <w:b/>
                <w:bCs/>
                <w:color w:val="000000"/>
                <w:sz w:val="16"/>
                <w:szCs w:val="16"/>
              </w:rPr>
              <w:t>8</w:t>
            </w:r>
          </w:p>
        </w:tc>
        <w:tc>
          <w:tcPr>
            <w:tcW w:w="662" w:type="dxa"/>
            <w:tcBorders>
              <w:top w:val="nil"/>
              <w:left w:val="nil"/>
              <w:right w:val="nil"/>
            </w:tcBorders>
            <w:shd w:val="clear" w:color="000000" w:fill="E2EFDA"/>
            <w:noWrap/>
            <w:vAlign w:val="bottom"/>
            <w:hideMark/>
          </w:tcPr>
          <w:p w14:paraId="48D3151A" w14:textId="4205FBE5"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201</w:t>
            </w:r>
            <w:r w:rsidR="00470BEE">
              <w:rPr>
                <w:rFonts w:ascii="Calibri" w:hAnsi="Calibri" w:cs="Calibri"/>
                <w:b/>
                <w:bCs/>
                <w:color w:val="000000"/>
                <w:sz w:val="16"/>
                <w:szCs w:val="16"/>
              </w:rPr>
              <w:t>9</w:t>
            </w:r>
          </w:p>
        </w:tc>
        <w:tc>
          <w:tcPr>
            <w:tcW w:w="662" w:type="dxa"/>
            <w:tcBorders>
              <w:top w:val="nil"/>
              <w:left w:val="nil"/>
              <w:right w:val="nil"/>
            </w:tcBorders>
            <w:shd w:val="clear" w:color="000000" w:fill="E2EFDA"/>
            <w:noWrap/>
            <w:vAlign w:val="bottom"/>
            <w:hideMark/>
          </w:tcPr>
          <w:p w14:paraId="64DD53B2" w14:textId="2EF3FC6F"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20</w:t>
            </w:r>
            <w:r w:rsidR="00470BEE">
              <w:rPr>
                <w:rFonts w:ascii="Calibri" w:hAnsi="Calibri" w:cs="Calibri"/>
                <w:b/>
                <w:bCs/>
                <w:color w:val="000000"/>
                <w:sz w:val="16"/>
                <w:szCs w:val="16"/>
              </w:rPr>
              <w:t>20</w:t>
            </w:r>
          </w:p>
        </w:tc>
        <w:tc>
          <w:tcPr>
            <w:tcW w:w="662" w:type="dxa"/>
            <w:tcBorders>
              <w:top w:val="nil"/>
              <w:left w:val="nil"/>
              <w:right w:val="nil"/>
            </w:tcBorders>
            <w:shd w:val="clear" w:color="000000" w:fill="E2EFDA"/>
            <w:noWrap/>
            <w:vAlign w:val="bottom"/>
            <w:hideMark/>
          </w:tcPr>
          <w:p w14:paraId="19E0B7EC" w14:textId="547DAF1B"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202</w:t>
            </w:r>
            <w:r w:rsidR="00470BEE">
              <w:rPr>
                <w:rFonts w:ascii="Calibri" w:hAnsi="Calibri" w:cs="Calibri"/>
                <w:b/>
                <w:bCs/>
                <w:color w:val="000000"/>
                <w:sz w:val="16"/>
                <w:szCs w:val="16"/>
              </w:rPr>
              <w:t>1</w:t>
            </w:r>
          </w:p>
        </w:tc>
        <w:tc>
          <w:tcPr>
            <w:tcW w:w="662" w:type="dxa"/>
            <w:tcBorders>
              <w:top w:val="nil"/>
              <w:left w:val="nil"/>
              <w:right w:val="nil"/>
            </w:tcBorders>
            <w:shd w:val="clear" w:color="000000" w:fill="E2EFDA"/>
            <w:noWrap/>
            <w:vAlign w:val="bottom"/>
            <w:hideMark/>
          </w:tcPr>
          <w:p w14:paraId="5CFC8D8F" w14:textId="25619BE2"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202</w:t>
            </w:r>
            <w:r w:rsidR="00470BEE">
              <w:rPr>
                <w:rFonts w:ascii="Calibri" w:hAnsi="Calibri" w:cs="Calibri"/>
                <w:b/>
                <w:bCs/>
                <w:color w:val="000000"/>
                <w:sz w:val="16"/>
                <w:szCs w:val="16"/>
              </w:rPr>
              <w:t>2</w:t>
            </w:r>
          </w:p>
        </w:tc>
        <w:tc>
          <w:tcPr>
            <w:tcW w:w="820" w:type="dxa"/>
            <w:tcBorders>
              <w:top w:val="nil"/>
              <w:left w:val="nil"/>
              <w:right w:val="nil"/>
            </w:tcBorders>
            <w:shd w:val="clear" w:color="000000" w:fill="E2EFDA"/>
            <w:noWrap/>
            <w:vAlign w:val="bottom"/>
            <w:hideMark/>
          </w:tcPr>
          <w:p w14:paraId="5FCF82F6" w14:textId="77777777" w:rsidR="00B5059E" w:rsidRPr="00B748FF" w:rsidRDefault="00B5059E" w:rsidP="00B5059E">
            <w:pPr>
              <w:jc w:val="center"/>
              <w:rPr>
                <w:rFonts w:ascii="Calibri" w:hAnsi="Calibri" w:cs="Calibri"/>
                <w:b/>
                <w:bCs/>
                <w:color w:val="000000"/>
                <w:sz w:val="16"/>
                <w:szCs w:val="16"/>
              </w:rPr>
            </w:pPr>
            <w:r w:rsidRPr="00B748FF">
              <w:rPr>
                <w:rFonts w:ascii="Calibri" w:hAnsi="Calibri" w:cs="Calibri"/>
                <w:b/>
                <w:bCs/>
                <w:color w:val="000000"/>
                <w:sz w:val="16"/>
                <w:szCs w:val="16"/>
              </w:rPr>
              <w:t>Average</w:t>
            </w:r>
          </w:p>
        </w:tc>
      </w:tr>
      <w:tr w:rsidR="00526A33" w14:paraId="6B76836D" w14:textId="77777777" w:rsidTr="00526A33">
        <w:trPr>
          <w:trHeight w:val="300"/>
        </w:trPr>
        <w:tc>
          <w:tcPr>
            <w:tcW w:w="548" w:type="dxa"/>
            <w:tcBorders>
              <w:top w:val="nil"/>
              <w:left w:val="nil"/>
              <w:bottom w:val="nil"/>
              <w:right w:val="nil"/>
            </w:tcBorders>
            <w:shd w:val="clear" w:color="000000" w:fill="E2EFDA"/>
            <w:noWrap/>
            <w:vAlign w:val="bottom"/>
            <w:hideMark/>
          </w:tcPr>
          <w:p w14:paraId="4885CC4E" w14:textId="77777777" w:rsidR="00526A33" w:rsidRPr="00E64D71" w:rsidRDefault="00526A33" w:rsidP="00526A33">
            <w:pPr>
              <w:jc w:val="center"/>
              <w:rPr>
                <w:rFonts w:ascii="Calibri" w:hAnsi="Calibri" w:cs="Calibri"/>
                <w:color w:val="000000"/>
                <w:sz w:val="16"/>
                <w:szCs w:val="16"/>
              </w:rPr>
            </w:pPr>
            <w:r w:rsidRPr="00E64D71">
              <w:rPr>
                <w:rFonts w:ascii="Calibri" w:hAnsi="Calibri" w:cs="Calibri"/>
                <w:color w:val="000000"/>
                <w:sz w:val="16"/>
                <w:szCs w:val="16"/>
              </w:rPr>
              <w:t>1</w:t>
            </w:r>
          </w:p>
        </w:tc>
        <w:tc>
          <w:tcPr>
            <w:tcW w:w="662" w:type="dxa"/>
            <w:tcBorders>
              <w:top w:val="nil"/>
              <w:left w:val="nil"/>
              <w:bottom w:val="nil"/>
              <w:right w:val="nil"/>
            </w:tcBorders>
            <w:shd w:val="clear" w:color="auto" w:fill="EAF1DD" w:themeFill="accent3" w:themeFillTint="33"/>
            <w:noWrap/>
            <w:vAlign w:val="bottom"/>
            <w:hideMark/>
          </w:tcPr>
          <w:p w14:paraId="4FFBA56D" w14:textId="3BED45F0" w:rsidR="00526A33" w:rsidRPr="00E64D71" w:rsidRDefault="00526A33" w:rsidP="00526A33">
            <w:pPr>
              <w:jc w:val="center"/>
              <w:rPr>
                <w:rFonts w:ascii="Calibri" w:hAnsi="Calibri" w:cs="Calibri"/>
                <w:color w:val="000000"/>
                <w:sz w:val="16"/>
                <w:szCs w:val="16"/>
              </w:rPr>
            </w:pPr>
            <w:r>
              <w:rPr>
                <w:rFonts w:ascii="Calibri" w:hAnsi="Calibri" w:cs="Calibri"/>
                <w:color w:val="000000"/>
                <w:sz w:val="16"/>
                <w:szCs w:val="16"/>
              </w:rPr>
              <w:t>16,627</w:t>
            </w:r>
          </w:p>
        </w:tc>
        <w:tc>
          <w:tcPr>
            <w:tcW w:w="662" w:type="dxa"/>
            <w:tcBorders>
              <w:top w:val="nil"/>
              <w:left w:val="nil"/>
              <w:bottom w:val="nil"/>
              <w:right w:val="nil"/>
            </w:tcBorders>
            <w:shd w:val="clear" w:color="auto" w:fill="EAF1DD" w:themeFill="accent3" w:themeFillTint="33"/>
            <w:noWrap/>
            <w:vAlign w:val="bottom"/>
            <w:hideMark/>
          </w:tcPr>
          <w:p w14:paraId="04061F51" w14:textId="6F73738E" w:rsidR="00526A33" w:rsidRPr="00E64D71" w:rsidRDefault="00526A33" w:rsidP="00526A33">
            <w:pPr>
              <w:jc w:val="center"/>
              <w:rPr>
                <w:rFonts w:ascii="Calibri" w:hAnsi="Calibri" w:cs="Calibri"/>
                <w:color w:val="000000"/>
                <w:sz w:val="16"/>
                <w:szCs w:val="16"/>
              </w:rPr>
            </w:pPr>
            <w:r>
              <w:rPr>
                <w:rFonts w:ascii="Calibri" w:hAnsi="Calibri" w:cs="Calibri"/>
                <w:color w:val="000000"/>
                <w:sz w:val="16"/>
                <w:szCs w:val="16"/>
              </w:rPr>
              <w:t>16,653</w:t>
            </w:r>
          </w:p>
        </w:tc>
        <w:tc>
          <w:tcPr>
            <w:tcW w:w="662" w:type="dxa"/>
            <w:tcBorders>
              <w:top w:val="nil"/>
              <w:left w:val="nil"/>
              <w:bottom w:val="nil"/>
              <w:right w:val="nil"/>
            </w:tcBorders>
            <w:shd w:val="clear" w:color="auto" w:fill="EAF1DD" w:themeFill="accent3" w:themeFillTint="33"/>
            <w:noWrap/>
            <w:vAlign w:val="bottom"/>
            <w:hideMark/>
          </w:tcPr>
          <w:p w14:paraId="79EC1C4C" w14:textId="1867651D" w:rsidR="00526A33" w:rsidRPr="00E64D71" w:rsidRDefault="00526A33" w:rsidP="00526A33">
            <w:pPr>
              <w:jc w:val="center"/>
              <w:rPr>
                <w:rFonts w:ascii="Calibri" w:hAnsi="Calibri" w:cs="Calibri"/>
                <w:color w:val="000000"/>
                <w:sz w:val="16"/>
                <w:szCs w:val="16"/>
              </w:rPr>
            </w:pPr>
            <w:r>
              <w:rPr>
                <w:rFonts w:ascii="Calibri" w:hAnsi="Calibri" w:cs="Calibri"/>
                <w:color w:val="000000"/>
                <w:sz w:val="16"/>
                <w:szCs w:val="16"/>
              </w:rPr>
              <w:t>18,269</w:t>
            </w:r>
          </w:p>
        </w:tc>
        <w:tc>
          <w:tcPr>
            <w:tcW w:w="662" w:type="dxa"/>
            <w:tcBorders>
              <w:top w:val="nil"/>
              <w:left w:val="nil"/>
              <w:bottom w:val="nil"/>
              <w:right w:val="nil"/>
            </w:tcBorders>
            <w:shd w:val="clear" w:color="auto" w:fill="EAF1DD" w:themeFill="accent3" w:themeFillTint="33"/>
            <w:noWrap/>
            <w:vAlign w:val="bottom"/>
            <w:hideMark/>
          </w:tcPr>
          <w:p w14:paraId="72068073" w14:textId="54B42C02" w:rsidR="00526A33" w:rsidRPr="00E64D71" w:rsidRDefault="00526A33" w:rsidP="00526A33">
            <w:pPr>
              <w:jc w:val="center"/>
              <w:rPr>
                <w:rFonts w:ascii="Calibri" w:hAnsi="Calibri" w:cs="Calibri"/>
                <w:color w:val="000000"/>
                <w:sz w:val="16"/>
                <w:szCs w:val="16"/>
              </w:rPr>
            </w:pPr>
            <w:r>
              <w:rPr>
                <w:rFonts w:ascii="Calibri" w:hAnsi="Calibri" w:cs="Calibri"/>
                <w:color w:val="000000"/>
                <w:sz w:val="16"/>
                <w:szCs w:val="16"/>
              </w:rPr>
              <w:t>18,263</w:t>
            </w:r>
          </w:p>
        </w:tc>
        <w:tc>
          <w:tcPr>
            <w:tcW w:w="662" w:type="dxa"/>
            <w:tcBorders>
              <w:top w:val="nil"/>
              <w:left w:val="nil"/>
              <w:bottom w:val="nil"/>
              <w:right w:val="nil"/>
            </w:tcBorders>
            <w:shd w:val="clear" w:color="auto" w:fill="EAF1DD" w:themeFill="accent3" w:themeFillTint="33"/>
            <w:noWrap/>
            <w:vAlign w:val="bottom"/>
            <w:hideMark/>
          </w:tcPr>
          <w:p w14:paraId="7E7AAAE4" w14:textId="3C380995" w:rsidR="00526A33" w:rsidRPr="00E64D71" w:rsidRDefault="00526A33" w:rsidP="00526A33">
            <w:pPr>
              <w:jc w:val="center"/>
              <w:rPr>
                <w:rFonts w:ascii="Calibri" w:hAnsi="Calibri" w:cs="Calibri"/>
                <w:color w:val="000000"/>
                <w:sz w:val="16"/>
                <w:szCs w:val="16"/>
              </w:rPr>
            </w:pPr>
            <w:r>
              <w:rPr>
                <w:rFonts w:ascii="Calibri" w:hAnsi="Calibri" w:cs="Calibri"/>
                <w:color w:val="000000"/>
                <w:sz w:val="16"/>
                <w:szCs w:val="16"/>
              </w:rPr>
              <w:t>15,783</w:t>
            </w:r>
          </w:p>
        </w:tc>
        <w:tc>
          <w:tcPr>
            <w:tcW w:w="662" w:type="dxa"/>
            <w:tcBorders>
              <w:top w:val="nil"/>
              <w:left w:val="nil"/>
              <w:bottom w:val="nil"/>
              <w:right w:val="nil"/>
            </w:tcBorders>
            <w:shd w:val="clear" w:color="auto" w:fill="EAF1DD" w:themeFill="accent3" w:themeFillTint="33"/>
            <w:noWrap/>
            <w:vAlign w:val="bottom"/>
            <w:hideMark/>
          </w:tcPr>
          <w:p w14:paraId="42FAFB6B" w14:textId="0B6B5B5E" w:rsidR="00526A33" w:rsidRPr="00E64D71" w:rsidRDefault="00526A33" w:rsidP="00526A33">
            <w:pPr>
              <w:jc w:val="center"/>
              <w:rPr>
                <w:rFonts w:ascii="Calibri" w:hAnsi="Calibri" w:cs="Calibri"/>
                <w:color w:val="000000"/>
                <w:sz w:val="16"/>
                <w:szCs w:val="16"/>
              </w:rPr>
            </w:pPr>
            <w:r>
              <w:rPr>
                <w:rFonts w:ascii="Calibri" w:hAnsi="Calibri" w:cs="Calibri"/>
                <w:color w:val="000000"/>
                <w:sz w:val="16"/>
                <w:szCs w:val="16"/>
              </w:rPr>
              <w:t>16,390</w:t>
            </w:r>
          </w:p>
        </w:tc>
        <w:tc>
          <w:tcPr>
            <w:tcW w:w="662" w:type="dxa"/>
            <w:tcBorders>
              <w:top w:val="nil"/>
              <w:left w:val="nil"/>
              <w:bottom w:val="nil"/>
              <w:right w:val="nil"/>
            </w:tcBorders>
            <w:shd w:val="clear" w:color="auto" w:fill="EAF1DD" w:themeFill="accent3" w:themeFillTint="33"/>
            <w:noWrap/>
            <w:vAlign w:val="bottom"/>
            <w:hideMark/>
          </w:tcPr>
          <w:p w14:paraId="318C04D3" w14:textId="0BC4E896" w:rsidR="00526A33" w:rsidRPr="00E64D71" w:rsidRDefault="00526A33" w:rsidP="00526A33">
            <w:pPr>
              <w:jc w:val="center"/>
              <w:rPr>
                <w:rFonts w:ascii="Calibri" w:hAnsi="Calibri" w:cs="Calibri"/>
                <w:color w:val="000000"/>
                <w:sz w:val="16"/>
                <w:szCs w:val="16"/>
              </w:rPr>
            </w:pPr>
            <w:r>
              <w:rPr>
                <w:rFonts w:ascii="Calibri" w:hAnsi="Calibri" w:cs="Calibri"/>
                <w:color w:val="000000"/>
                <w:sz w:val="16"/>
                <w:szCs w:val="16"/>
              </w:rPr>
              <w:t>17,861</w:t>
            </w:r>
          </w:p>
        </w:tc>
        <w:tc>
          <w:tcPr>
            <w:tcW w:w="662" w:type="dxa"/>
            <w:tcBorders>
              <w:top w:val="nil"/>
              <w:left w:val="nil"/>
              <w:bottom w:val="nil"/>
              <w:right w:val="nil"/>
            </w:tcBorders>
            <w:shd w:val="clear" w:color="auto" w:fill="EAF1DD" w:themeFill="accent3" w:themeFillTint="33"/>
            <w:noWrap/>
            <w:vAlign w:val="bottom"/>
            <w:hideMark/>
          </w:tcPr>
          <w:p w14:paraId="63A1DB08" w14:textId="6452DF39" w:rsidR="00526A33" w:rsidRPr="00E64D71" w:rsidRDefault="00526A33" w:rsidP="00526A33">
            <w:pPr>
              <w:jc w:val="center"/>
              <w:rPr>
                <w:rFonts w:ascii="Calibri" w:hAnsi="Calibri" w:cs="Calibri"/>
                <w:color w:val="000000"/>
                <w:sz w:val="16"/>
                <w:szCs w:val="16"/>
              </w:rPr>
            </w:pPr>
            <w:r>
              <w:rPr>
                <w:rFonts w:ascii="Calibri" w:hAnsi="Calibri" w:cs="Calibri"/>
                <w:color w:val="000000"/>
                <w:sz w:val="16"/>
                <w:szCs w:val="16"/>
              </w:rPr>
              <w:t>16,720</w:t>
            </w:r>
          </w:p>
        </w:tc>
        <w:tc>
          <w:tcPr>
            <w:tcW w:w="662" w:type="dxa"/>
            <w:tcBorders>
              <w:top w:val="nil"/>
              <w:left w:val="nil"/>
              <w:bottom w:val="nil"/>
              <w:right w:val="nil"/>
            </w:tcBorders>
            <w:shd w:val="clear" w:color="auto" w:fill="EAF1DD" w:themeFill="accent3" w:themeFillTint="33"/>
            <w:noWrap/>
            <w:vAlign w:val="bottom"/>
            <w:hideMark/>
          </w:tcPr>
          <w:p w14:paraId="535CAD94" w14:textId="739E5597" w:rsidR="00526A33" w:rsidRPr="00E64D71" w:rsidRDefault="00526A33" w:rsidP="00526A33">
            <w:pPr>
              <w:jc w:val="center"/>
              <w:rPr>
                <w:rFonts w:ascii="Calibri" w:hAnsi="Calibri" w:cs="Calibri"/>
                <w:color w:val="000000"/>
                <w:sz w:val="16"/>
                <w:szCs w:val="16"/>
              </w:rPr>
            </w:pPr>
            <w:r>
              <w:rPr>
                <w:rFonts w:ascii="Calibri" w:hAnsi="Calibri" w:cs="Calibri"/>
                <w:color w:val="000000"/>
                <w:sz w:val="16"/>
                <w:szCs w:val="16"/>
              </w:rPr>
              <w:t>15,600</w:t>
            </w:r>
          </w:p>
        </w:tc>
        <w:tc>
          <w:tcPr>
            <w:tcW w:w="662" w:type="dxa"/>
            <w:tcBorders>
              <w:top w:val="nil"/>
              <w:left w:val="nil"/>
              <w:bottom w:val="nil"/>
              <w:right w:val="nil"/>
            </w:tcBorders>
            <w:shd w:val="clear" w:color="auto" w:fill="EAF1DD" w:themeFill="accent3" w:themeFillTint="33"/>
            <w:noWrap/>
            <w:vAlign w:val="bottom"/>
            <w:hideMark/>
          </w:tcPr>
          <w:p w14:paraId="257BE148" w14:textId="54635460" w:rsidR="00526A33" w:rsidRPr="00E64D71" w:rsidRDefault="00526A33" w:rsidP="00526A33">
            <w:pPr>
              <w:jc w:val="center"/>
              <w:rPr>
                <w:rFonts w:ascii="Calibri" w:hAnsi="Calibri" w:cs="Calibri"/>
                <w:color w:val="000000"/>
                <w:sz w:val="16"/>
                <w:szCs w:val="16"/>
              </w:rPr>
            </w:pPr>
            <w:r>
              <w:rPr>
                <w:rFonts w:ascii="Calibri" w:hAnsi="Calibri" w:cs="Calibri"/>
                <w:color w:val="000000"/>
                <w:sz w:val="16"/>
                <w:szCs w:val="16"/>
              </w:rPr>
              <w:t>17,062</w:t>
            </w:r>
          </w:p>
        </w:tc>
        <w:tc>
          <w:tcPr>
            <w:tcW w:w="662" w:type="dxa"/>
            <w:tcBorders>
              <w:top w:val="nil"/>
              <w:left w:val="nil"/>
              <w:bottom w:val="nil"/>
              <w:right w:val="nil"/>
            </w:tcBorders>
            <w:shd w:val="clear" w:color="auto" w:fill="EAF1DD" w:themeFill="accent3" w:themeFillTint="33"/>
            <w:noWrap/>
            <w:vAlign w:val="bottom"/>
            <w:hideMark/>
          </w:tcPr>
          <w:p w14:paraId="1C7E4AD2" w14:textId="436E8D36" w:rsidR="00526A33" w:rsidRPr="00E64D71" w:rsidRDefault="00526A33" w:rsidP="00526A33">
            <w:pPr>
              <w:jc w:val="center"/>
              <w:rPr>
                <w:rFonts w:ascii="Calibri" w:hAnsi="Calibri" w:cs="Calibri"/>
                <w:color w:val="000000"/>
                <w:sz w:val="16"/>
                <w:szCs w:val="16"/>
              </w:rPr>
            </w:pPr>
            <w:r>
              <w:rPr>
                <w:rFonts w:ascii="Calibri" w:hAnsi="Calibri" w:cs="Calibri"/>
                <w:color w:val="000000"/>
                <w:sz w:val="16"/>
                <w:szCs w:val="16"/>
              </w:rPr>
              <w:t>18,991</w:t>
            </w:r>
          </w:p>
        </w:tc>
        <w:tc>
          <w:tcPr>
            <w:tcW w:w="662" w:type="dxa"/>
            <w:tcBorders>
              <w:top w:val="nil"/>
              <w:left w:val="nil"/>
              <w:bottom w:val="nil"/>
              <w:right w:val="nil"/>
            </w:tcBorders>
            <w:shd w:val="clear" w:color="auto" w:fill="EAF1DD" w:themeFill="accent3" w:themeFillTint="33"/>
            <w:noWrap/>
            <w:vAlign w:val="bottom"/>
            <w:hideMark/>
          </w:tcPr>
          <w:p w14:paraId="34090E97" w14:textId="4FEA0D33" w:rsidR="00526A33" w:rsidRPr="00E64D71" w:rsidRDefault="00526A33" w:rsidP="00526A33">
            <w:pPr>
              <w:jc w:val="center"/>
              <w:rPr>
                <w:rFonts w:ascii="Calibri" w:hAnsi="Calibri" w:cs="Calibri"/>
                <w:color w:val="000000"/>
                <w:sz w:val="16"/>
                <w:szCs w:val="16"/>
              </w:rPr>
            </w:pPr>
            <w:r>
              <w:rPr>
                <w:rFonts w:ascii="Calibri" w:hAnsi="Calibri" w:cs="Calibri"/>
                <w:color w:val="000000"/>
                <w:sz w:val="16"/>
                <w:szCs w:val="16"/>
              </w:rPr>
              <w:t>15,786</w:t>
            </w:r>
          </w:p>
        </w:tc>
        <w:tc>
          <w:tcPr>
            <w:tcW w:w="662" w:type="dxa"/>
            <w:tcBorders>
              <w:top w:val="nil"/>
              <w:left w:val="nil"/>
              <w:bottom w:val="nil"/>
              <w:right w:val="nil"/>
            </w:tcBorders>
            <w:shd w:val="clear" w:color="auto" w:fill="EAF1DD" w:themeFill="accent3" w:themeFillTint="33"/>
            <w:noWrap/>
            <w:vAlign w:val="bottom"/>
            <w:hideMark/>
          </w:tcPr>
          <w:p w14:paraId="5A818873" w14:textId="3BE85F71" w:rsidR="00526A33" w:rsidRPr="00E64D71" w:rsidRDefault="00526A33" w:rsidP="00526A33">
            <w:pPr>
              <w:jc w:val="center"/>
              <w:rPr>
                <w:rFonts w:ascii="Calibri" w:hAnsi="Calibri" w:cs="Calibri"/>
                <w:color w:val="000000"/>
                <w:sz w:val="16"/>
                <w:szCs w:val="16"/>
              </w:rPr>
            </w:pPr>
            <w:r>
              <w:rPr>
                <w:rFonts w:ascii="Calibri" w:hAnsi="Calibri" w:cs="Calibri"/>
                <w:color w:val="000000"/>
                <w:sz w:val="16"/>
                <w:szCs w:val="16"/>
              </w:rPr>
              <w:t>15,123</w:t>
            </w:r>
          </w:p>
        </w:tc>
        <w:tc>
          <w:tcPr>
            <w:tcW w:w="662" w:type="dxa"/>
            <w:tcBorders>
              <w:top w:val="nil"/>
              <w:left w:val="nil"/>
              <w:bottom w:val="nil"/>
              <w:right w:val="nil"/>
            </w:tcBorders>
            <w:shd w:val="clear" w:color="auto" w:fill="EAF1DD" w:themeFill="accent3" w:themeFillTint="33"/>
            <w:noWrap/>
            <w:vAlign w:val="bottom"/>
            <w:hideMark/>
          </w:tcPr>
          <w:p w14:paraId="365C9C90" w14:textId="5857A63C" w:rsidR="00526A33" w:rsidRPr="00E64D71" w:rsidRDefault="00526A33" w:rsidP="00526A33">
            <w:pPr>
              <w:jc w:val="center"/>
              <w:rPr>
                <w:rFonts w:ascii="Calibri" w:hAnsi="Calibri" w:cs="Calibri"/>
                <w:color w:val="000000"/>
                <w:sz w:val="16"/>
                <w:szCs w:val="16"/>
              </w:rPr>
            </w:pPr>
            <w:r>
              <w:rPr>
                <w:rFonts w:ascii="Calibri" w:hAnsi="Calibri" w:cs="Calibri"/>
                <w:color w:val="000000"/>
                <w:sz w:val="16"/>
                <w:szCs w:val="16"/>
              </w:rPr>
              <w:t>20,523</w:t>
            </w:r>
          </w:p>
        </w:tc>
        <w:tc>
          <w:tcPr>
            <w:tcW w:w="662" w:type="dxa"/>
            <w:tcBorders>
              <w:top w:val="nil"/>
              <w:left w:val="nil"/>
              <w:bottom w:val="nil"/>
              <w:right w:val="nil"/>
            </w:tcBorders>
            <w:shd w:val="clear" w:color="auto" w:fill="EAF1DD" w:themeFill="accent3" w:themeFillTint="33"/>
            <w:noWrap/>
            <w:vAlign w:val="bottom"/>
            <w:hideMark/>
          </w:tcPr>
          <w:p w14:paraId="19EF12A9" w14:textId="1BD0D63A" w:rsidR="00526A33" w:rsidRPr="00E64D71" w:rsidRDefault="00526A33" w:rsidP="00526A33">
            <w:pPr>
              <w:jc w:val="center"/>
              <w:rPr>
                <w:rFonts w:ascii="Calibri" w:hAnsi="Calibri" w:cs="Calibri"/>
                <w:color w:val="000000"/>
                <w:sz w:val="16"/>
                <w:szCs w:val="16"/>
              </w:rPr>
            </w:pPr>
            <w:r>
              <w:rPr>
                <w:rFonts w:ascii="Calibri" w:hAnsi="Calibri" w:cs="Calibri"/>
                <w:color w:val="000000"/>
                <w:sz w:val="16"/>
                <w:szCs w:val="16"/>
              </w:rPr>
              <w:t>17,876</w:t>
            </w:r>
          </w:p>
        </w:tc>
        <w:tc>
          <w:tcPr>
            <w:tcW w:w="820" w:type="dxa"/>
            <w:tcBorders>
              <w:top w:val="nil"/>
              <w:left w:val="nil"/>
              <w:bottom w:val="nil"/>
              <w:right w:val="nil"/>
            </w:tcBorders>
            <w:shd w:val="clear" w:color="auto" w:fill="EAF1DD" w:themeFill="accent3" w:themeFillTint="33"/>
            <w:noWrap/>
            <w:vAlign w:val="bottom"/>
            <w:hideMark/>
          </w:tcPr>
          <w:p w14:paraId="03ABA8C7" w14:textId="4F27F5D9" w:rsidR="00526A33" w:rsidRPr="00E64D71" w:rsidRDefault="00526A33" w:rsidP="00526A33">
            <w:pPr>
              <w:jc w:val="center"/>
              <w:rPr>
                <w:rFonts w:ascii="Calibri" w:hAnsi="Calibri" w:cs="Calibri"/>
                <w:color w:val="000000"/>
                <w:sz w:val="16"/>
                <w:szCs w:val="16"/>
              </w:rPr>
            </w:pPr>
            <w:r>
              <w:rPr>
                <w:rFonts w:ascii="Calibri" w:hAnsi="Calibri" w:cs="Calibri"/>
                <w:color w:val="000000"/>
                <w:sz w:val="16"/>
                <w:szCs w:val="16"/>
              </w:rPr>
              <w:t>17,169</w:t>
            </w:r>
          </w:p>
        </w:tc>
      </w:tr>
      <w:bookmarkEnd w:id="4"/>
    </w:tbl>
    <w:p w14:paraId="5B3A2247" w14:textId="6041F3F4" w:rsidR="00B5059E" w:rsidRDefault="00B5059E" w:rsidP="008E294A">
      <w:pPr>
        <w:pStyle w:val="StyleLinespacingMultiple115li"/>
      </w:pPr>
    </w:p>
    <w:p w14:paraId="03890943" w14:textId="77777777" w:rsidR="00C4733C" w:rsidRDefault="00727317" w:rsidP="00DA5789">
      <w:pPr>
        <w:pStyle w:val="StyleLinespacingMultiple115li"/>
      </w:pPr>
      <w:r>
        <w:t xml:space="preserve">In the current </w:t>
      </w:r>
      <w:r w:rsidRPr="00512C40">
        <w:t>LTDEF</w:t>
      </w:r>
      <w:r>
        <w:t xml:space="preserve">, </w:t>
      </w:r>
      <w:r w:rsidR="00F41070">
        <w:t xml:space="preserve">Far West, </w:t>
      </w:r>
      <w:r>
        <w:t xml:space="preserve">North Central, South, and South Central have shifted summer peak hours from the mapping year peak due to large flexible load and rooftop PV growth impact on the net forecast. </w:t>
      </w:r>
      <w:r w:rsidR="00C4733C">
        <w:t xml:space="preserve">As shown in </w:t>
      </w:r>
    </w:p>
    <w:p w14:paraId="5EF0EF1B" w14:textId="52F2B197" w:rsidR="005856F3" w:rsidRDefault="00C4733C" w:rsidP="00DA5789">
      <w:pPr>
        <w:pStyle w:val="StyleLinespacingMultiple115li"/>
      </w:pPr>
      <w:r>
        <w:t xml:space="preserve">Figure </w:t>
      </w:r>
      <w:r w:rsidR="0029373C">
        <w:t>5</w:t>
      </w:r>
      <w:r>
        <w:t xml:space="preserve">: North Central peaks at hour ending </w:t>
      </w:r>
      <w:r w:rsidR="00897E26">
        <w:t>19, after the sun set,</w:t>
      </w:r>
      <w:r>
        <w:t xml:space="preserve"> in 2028 and 2029 because the growth rate of </w:t>
      </w:r>
      <w:r w:rsidR="00897E26">
        <w:t xml:space="preserve">rooftop </w:t>
      </w:r>
      <w:r>
        <w:t xml:space="preserve">PV is increasing </w:t>
      </w:r>
      <w:r w:rsidR="00897E26">
        <w:t>more</w:t>
      </w:r>
      <w:r>
        <w:t xml:space="preserve"> than base load.</w:t>
      </w:r>
      <w:r w:rsidR="005856F3">
        <w:t xml:space="preserve"> </w:t>
      </w:r>
    </w:p>
    <w:p w14:paraId="3C465D3D" w14:textId="5FA3CF75" w:rsidR="00AF4C34" w:rsidRDefault="005856F3" w:rsidP="00475F94">
      <w:pPr>
        <w:spacing w:line="276" w:lineRule="auto"/>
        <w:rPr>
          <w:b/>
        </w:rPr>
      </w:pPr>
      <w:r w:rsidRPr="005856F3">
        <w:rPr>
          <w:b/>
        </w:rPr>
        <w:t xml:space="preserve"> </w:t>
      </w:r>
      <w:r w:rsidRPr="005856F3">
        <w:rPr>
          <w:b/>
        </w:rPr>
        <w:tab/>
      </w:r>
      <w:r w:rsidRPr="005856F3">
        <w:rPr>
          <w:b/>
        </w:rPr>
        <w:tab/>
      </w:r>
      <w:r w:rsidRPr="005856F3">
        <w:rPr>
          <w:b/>
        </w:rPr>
        <w:tab/>
      </w:r>
      <w:r w:rsidRPr="005856F3">
        <w:rPr>
          <w:b/>
        </w:rPr>
        <w:tab/>
      </w:r>
    </w:p>
    <w:p w14:paraId="5F021888" w14:textId="77777777" w:rsidR="00AF4C34" w:rsidRDefault="00AF4C34" w:rsidP="00475F94">
      <w:pPr>
        <w:spacing w:line="276" w:lineRule="auto"/>
        <w:rPr>
          <w:b/>
        </w:rPr>
      </w:pPr>
    </w:p>
    <w:p w14:paraId="200FE32E" w14:textId="77777777" w:rsidR="003E0A07" w:rsidRDefault="003E0A07" w:rsidP="00475F94">
      <w:pPr>
        <w:spacing w:line="276" w:lineRule="auto"/>
        <w:rPr>
          <w:b/>
        </w:rPr>
      </w:pPr>
    </w:p>
    <w:p w14:paraId="20845713" w14:textId="77777777" w:rsidR="003E0A07" w:rsidRDefault="003E0A07" w:rsidP="00475F94">
      <w:pPr>
        <w:spacing w:line="276" w:lineRule="auto"/>
        <w:rPr>
          <w:b/>
        </w:rPr>
      </w:pPr>
    </w:p>
    <w:p w14:paraId="64DD3833" w14:textId="77777777" w:rsidR="003E0A07" w:rsidRDefault="003E0A07" w:rsidP="00475F94">
      <w:pPr>
        <w:spacing w:line="276" w:lineRule="auto"/>
        <w:rPr>
          <w:b/>
        </w:rPr>
      </w:pPr>
    </w:p>
    <w:p w14:paraId="4BBEFDFD" w14:textId="77777777" w:rsidR="003E0A07" w:rsidRDefault="003E0A07" w:rsidP="00475F94">
      <w:pPr>
        <w:spacing w:line="276" w:lineRule="auto"/>
        <w:rPr>
          <w:b/>
        </w:rPr>
      </w:pPr>
    </w:p>
    <w:p w14:paraId="402C105D" w14:textId="7922A900" w:rsidR="005856F3" w:rsidRPr="003E0A07" w:rsidRDefault="005856F3" w:rsidP="003E0A07">
      <w:pPr>
        <w:spacing w:line="276" w:lineRule="auto"/>
        <w:jc w:val="center"/>
        <w:rPr>
          <w:b/>
        </w:rPr>
      </w:pPr>
      <w:r w:rsidRPr="00D776C0">
        <w:rPr>
          <w:b/>
          <w:u w:val="single"/>
        </w:rPr>
        <w:t xml:space="preserve">Figure </w:t>
      </w:r>
      <w:r w:rsidR="0029373C">
        <w:rPr>
          <w:b/>
          <w:u w:val="single"/>
        </w:rPr>
        <w:t>5</w:t>
      </w:r>
      <w:r w:rsidRPr="00D776C0">
        <w:rPr>
          <w:b/>
          <w:u w:val="single"/>
        </w:rPr>
        <w:t xml:space="preserve">: </w:t>
      </w:r>
      <w:r>
        <w:rPr>
          <w:b/>
          <w:u w:val="single"/>
        </w:rPr>
        <w:t>NCENT NCP Summer Forecast</w:t>
      </w:r>
    </w:p>
    <w:p w14:paraId="05C581C0" w14:textId="6982308B" w:rsidR="00622D88" w:rsidRPr="00DD7DC5" w:rsidRDefault="007A775B" w:rsidP="003238E6">
      <w:pPr>
        <w:pStyle w:val="StyleLinespacingMultiple115li"/>
        <w:jc w:val="center"/>
      </w:pPr>
      <w:r>
        <w:rPr>
          <w:noProof/>
        </w:rPr>
        <w:drawing>
          <wp:inline distT="0" distB="0" distL="0" distR="0" wp14:anchorId="6C291EB8" wp14:editId="0A831838">
            <wp:extent cx="6911788" cy="4472107"/>
            <wp:effectExtent l="0" t="0" r="3810" b="5080"/>
            <wp:docPr id="7" name="Chart 7">
              <a:extLst xmlns:a="http://schemas.openxmlformats.org/drawingml/2006/main">
                <a:ext uri="{FF2B5EF4-FFF2-40B4-BE49-F238E27FC236}">
                  <a16:creationId xmlns:a16="http://schemas.microsoft.com/office/drawing/2014/main" id="{073A4F8A-4FF4-859A-2D3C-D8D7FA6CB3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bookmarkStart w:id="5" w:name="_8545b49e_7894_4286_9741_dee3a89d9cc7"/>
      <w:bookmarkEnd w:id="5"/>
    </w:p>
    <w:p w14:paraId="3E742671" w14:textId="77777777" w:rsidR="00A773FD" w:rsidRDefault="00A773FD" w:rsidP="006812D4">
      <w:pPr>
        <w:pStyle w:val="StyleLinespacingMultiple115li"/>
      </w:pPr>
    </w:p>
    <w:p w14:paraId="6943CB45" w14:textId="70B3D80C" w:rsidR="00702D6A" w:rsidRDefault="00475F94" w:rsidP="006812D4">
      <w:pPr>
        <w:pStyle w:val="StyleLinespacingMultiple115li"/>
      </w:pPr>
      <w:r>
        <w:t xml:space="preserve">This </w:t>
      </w:r>
      <w:r w:rsidR="005A08D9" w:rsidRPr="00DD7DC5">
        <w:t xml:space="preserve">mapping process </w:t>
      </w:r>
      <w:r w:rsidR="005D27E3" w:rsidRPr="00DD7DC5">
        <w:t>wa</w:t>
      </w:r>
      <w:r w:rsidR="005A08D9" w:rsidRPr="00DD7DC5">
        <w:t>s completed using</w:t>
      </w:r>
      <w:r w:rsidR="000A5BC4" w:rsidRPr="00DD7DC5">
        <w:t xml:space="preserve"> </w:t>
      </w:r>
      <w:r w:rsidR="005A08D9" w:rsidRPr="00DD7DC5">
        <w:t xml:space="preserve">calendar years </w:t>
      </w:r>
      <w:r w:rsidR="005A08D9" w:rsidRPr="004442ED">
        <w:t>200</w:t>
      </w:r>
      <w:r w:rsidR="00D7496A">
        <w:t>8</w:t>
      </w:r>
      <w:r w:rsidR="005A08D9" w:rsidRPr="004442ED">
        <w:t>-20</w:t>
      </w:r>
      <w:r w:rsidR="00702D6A">
        <w:t>2</w:t>
      </w:r>
      <w:r w:rsidR="00D7496A">
        <w:t>2</w:t>
      </w:r>
      <w:r w:rsidR="005A08D9" w:rsidRPr="00DD7DC5">
        <w:t xml:space="preserve">.  </w:t>
      </w:r>
      <w:r w:rsidR="005D27E3" w:rsidRPr="00DD7DC5">
        <w:t>This produced</w:t>
      </w:r>
      <w:r w:rsidR="009B1421" w:rsidRPr="00DD7DC5">
        <w:t xml:space="preserve"> </w:t>
      </w:r>
      <w:r w:rsidR="00702D6A">
        <w:t>f</w:t>
      </w:r>
      <w:r w:rsidR="004563CD">
        <w:t>if</w:t>
      </w:r>
      <w:r w:rsidR="00A06F2E">
        <w:t>teen</w:t>
      </w:r>
      <w:r w:rsidR="009B1421" w:rsidRPr="00DD7DC5">
        <w:t xml:space="preserve"> different hourly</w:t>
      </w:r>
      <w:r w:rsidR="004442ED">
        <w:t xml:space="preserve"> forecasts</w:t>
      </w:r>
      <w:r w:rsidR="008D3437" w:rsidRPr="00DD7DC5">
        <w:t xml:space="preserve"> </w:t>
      </w:r>
      <w:r w:rsidR="004563CD">
        <w:t>one based on each</w:t>
      </w:r>
      <w:r w:rsidR="008D3437" w:rsidRPr="00DD7DC5">
        <w:t xml:space="preserve"> </w:t>
      </w:r>
      <w:r w:rsidR="00366C09">
        <w:t>calendar year</w:t>
      </w:r>
      <w:r w:rsidR="009B1421" w:rsidRPr="00DD7DC5">
        <w:t xml:space="preserve">.  </w:t>
      </w:r>
      <w:r w:rsidR="002C5A38" w:rsidRPr="00DD7DC5">
        <w:t>N</w:t>
      </w:r>
      <w:r w:rsidR="009B1421" w:rsidRPr="00DD7DC5">
        <w:t>ote</w:t>
      </w:r>
      <w:r w:rsidR="008D3437" w:rsidRPr="00DD7DC5">
        <w:t>,</w:t>
      </w:r>
      <w:r w:rsidR="009B1421" w:rsidRPr="00DD7DC5">
        <w:t xml:space="preserve"> though</w:t>
      </w:r>
      <w:r w:rsidR="008D3437" w:rsidRPr="00DD7DC5">
        <w:t>,</w:t>
      </w:r>
      <w:r w:rsidR="009B1421" w:rsidRPr="00DD7DC5">
        <w:t xml:space="preserve"> that the monthly peak</w:t>
      </w:r>
      <w:r w:rsidR="00D05830" w:rsidRPr="00DD7DC5">
        <w:t xml:space="preserve"> demand</w:t>
      </w:r>
      <w:r w:rsidR="009B1421" w:rsidRPr="00DD7DC5">
        <w:t xml:space="preserve"> and monthly energy</w:t>
      </w:r>
      <w:r w:rsidR="00D05830" w:rsidRPr="00DD7DC5">
        <w:t xml:space="preserve"> </w:t>
      </w:r>
    </w:p>
    <w:p w14:paraId="3F0CBE82" w14:textId="674A9754" w:rsidR="00535FD6" w:rsidRPr="00DD7DC5" w:rsidRDefault="00D05830" w:rsidP="006812D4">
      <w:pPr>
        <w:pStyle w:val="StyleLinespacingMultiple115li"/>
      </w:pPr>
      <w:r w:rsidRPr="00DD7DC5">
        <w:t>values</w:t>
      </w:r>
      <w:r w:rsidR="009B1421" w:rsidRPr="00DD7DC5">
        <w:t xml:space="preserve"> </w:t>
      </w:r>
      <w:r w:rsidR="005D27E3" w:rsidRPr="00DD7DC5">
        <w:t>are</w:t>
      </w:r>
      <w:r w:rsidR="009B1421" w:rsidRPr="00DD7DC5">
        <w:t xml:space="preserve"> </w:t>
      </w:r>
      <w:r w:rsidR="00702D6A" w:rsidRPr="00DD7DC5">
        <w:t>the same</w:t>
      </w:r>
      <w:r w:rsidR="009B1421" w:rsidRPr="00DD7DC5">
        <w:t xml:space="preserve"> in</w:t>
      </w:r>
      <w:r w:rsidR="00C37E33" w:rsidRPr="00DD7DC5">
        <w:t xml:space="preserve"> each of</w:t>
      </w:r>
      <w:r w:rsidR="009B1421" w:rsidRPr="00DD7DC5">
        <w:t xml:space="preserve"> the </w:t>
      </w:r>
      <w:r w:rsidR="00702D6A">
        <w:t>f</w:t>
      </w:r>
      <w:r w:rsidR="004563CD">
        <w:t>if</w:t>
      </w:r>
      <w:r w:rsidR="00702D6A">
        <w:t>teen</w:t>
      </w:r>
      <w:r w:rsidR="009B1421" w:rsidRPr="00DD7DC5">
        <w:t xml:space="preserve"> hourly </w:t>
      </w:r>
      <w:r w:rsidRPr="00DD7DC5">
        <w:t xml:space="preserve">weather zone </w:t>
      </w:r>
      <w:r w:rsidR="009B1421" w:rsidRPr="00DD7DC5">
        <w:t xml:space="preserve">forecasts.  The only difference is </w:t>
      </w:r>
      <w:r w:rsidR="003A0884" w:rsidRPr="00DD7DC5">
        <w:t xml:space="preserve">the </w:t>
      </w:r>
      <w:r w:rsidR="00C37E33" w:rsidRPr="00DD7DC5">
        <w:t>day and time that</w:t>
      </w:r>
      <w:r w:rsidR="009B1421" w:rsidRPr="00DD7DC5">
        <w:t xml:space="preserve"> the </w:t>
      </w:r>
      <w:r w:rsidR="002C5A38" w:rsidRPr="00DD7DC5">
        <w:t xml:space="preserve">forecasted </w:t>
      </w:r>
      <w:r w:rsidR="009B1421" w:rsidRPr="00DD7DC5">
        <w:t>hourly values occur</w:t>
      </w:r>
      <w:r w:rsidR="003C5899">
        <w:t xml:space="preserve"> when mapped to the different historical years</w:t>
      </w:r>
      <w:r w:rsidR="009B1421" w:rsidRPr="00DD7DC5">
        <w:t>.</w:t>
      </w:r>
      <w:r w:rsidR="005A08D9" w:rsidRPr="00DD7DC5">
        <w:t xml:space="preserve">  </w:t>
      </w:r>
    </w:p>
    <w:p w14:paraId="567B3385" w14:textId="77777777" w:rsidR="00137DB3" w:rsidRDefault="00137DB3" w:rsidP="006812D4">
      <w:pPr>
        <w:pStyle w:val="StyleLinespacingMultiple115li"/>
      </w:pPr>
    </w:p>
    <w:p w14:paraId="7E70E4F9" w14:textId="66D3629E" w:rsidR="002C5A38" w:rsidRPr="00941232" w:rsidRDefault="00C00B23" w:rsidP="006812D4">
      <w:pPr>
        <w:pStyle w:val="StyleLinespacingMultiple115li"/>
      </w:pPr>
      <w:r w:rsidRPr="00941232">
        <w:t>Example:</w:t>
      </w:r>
    </w:p>
    <w:p w14:paraId="5BD013C5" w14:textId="59CD37A3" w:rsidR="008B4E45" w:rsidRDefault="00C00B23" w:rsidP="0096701A">
      <w:pPr>
        <w:pStyle w:val="StyleLinespacingMultiple115li"/>
      </w:pPr>
      <w:r w:rsidRPr="00DD7DC5">
        <w:t xml:space="preserve">There are 744 (31 days times 24 hours per day) hourly forecasted demand values for </w:t>
      </w:r>
      <w:r w:rsidR="003C5899">
        <w:t xml:space="preserve">the </w:t>
      </w:r>
      <w:r w:rsidRPr="00DD7DC5">
        <w:t xml:space="preserve">Coast </w:t>
      </w:r>
      <w:r w:rsidR="003C5899">
        <w:t xml:space="preserve">weather zone </w:t>
      </w:r>
      <w:r w:rsidRPr="00DD7DC5">
        <w:t xml:space="preserve">for August.  They </w:t>
      </w:r>
      <w:r w:rsidR="003C5899">
        <w:t>are</w:t>
      </w:r>
      <w:r w:rsidRPr="00DD7DC5">
        <w:t xml:space="preserve"> mapped into a day and time (in August) based on the historical ranking </w:t>
      </w:r>
      <w:r w:rsidR="008D3437" w:rsidRPr="00DD7DC5">
        <w:t xml:space="preserve">of actual load values </w:t>
      </w:r>
      <w:r w:rsidRPr="00DD7DC5">
        <w:t xml:space="preserve">from </w:t>
      </w:r>
      <w:r w:rsidRPr="004442ED">
        <w:t>August 200</w:t>
      </w:r>
      <w:r w:rsidR="002A256B">
        <w:t>8</w:t>
      </w:r>
      <w:r w:rsidRPr="004442ED">
        <w:t>, August 200</w:t>
      </w:r>
      <w:r w:rsidR="002A256B">
        <w:t>9</w:t>
      </w:r>
      <w:r w:rsidRPr="004442ED">
        <w:t>, August 20</w:t>
      </w:r>
      <w:r w:rsidR="002A256B">
        <w:t>10</w:t>
      </w:r>
      <w:r w:rsidRPr="004442ED">
        <w:t xml:space="preserve">, </w:t>
      </w:r>
      <w:r w:rsidR="00702D6A" w:rsidRPr="004442ED">
        <w:t>...,</w:t>
      </w:r>
      <w:r w:rsidR="008D3437" w:rsidRPr="004442ED">
        <w:t xml:space="preserve"> August 20</w:t>
      </w:r>
      <w:r w:rsidR="004563CD">
        <w:t>2</w:t>
      </w:r>
      <w:r w:rsidR="002A256B">
        <w:t>1</w:t>
      </w:r>
      <w:r w:rsidRPr="004442ED">
        <w:t>, and August 20</w:t>
      </w:r>
      <w:r w:rsidR="00702D6A">
        <w:t>2</w:t>
      </w:r>
      <w:r w:rsidR="002A256B">
        <w:t>2</w:t>
      </w:r>
      <w:r w:rsidRPr="004442ED">
        <w:t>.</w:t>
      </w:r>
      <w:r w:rsidRPr="00DD7DC5">
        <w:t xml:space="preserve">  </w:t>
      </w:r>
      <w:r w:rsidR="002A6BAC" w:rsidRPr="00DD7DC5">
        <w:t>E</w:t>
      </w:r>
      <w:r w:rsidR="00B35184" w:rsidRPr="00DD7DC5">
        <w:t xml:space="preserve">ach </w:t>
      </w:r>
      <w:r w:rsidRPr="00DD7DC5">
        <w:t>forecasted value</w:t>
      </w:r>
      <w:r w:rsidR="00B35184" w:rsidRPr="00DD7DC5">
        <w:t xml:space="preserve"> </w:t>
      </w:r>
      <w:r w:rsidR="005D27E3" w:rsidRPr="00DD7DC5">
        <w:t>wa</w:t>
      </w:r>
      <w:r w:rsidR="00B35184" w:rsidRPr="00DD7DC5">
        <w:t>s</w:t>
      </w:r>
      <w:r w:rsidRPr="00DD7DC5">
        <w:t xml:space="preserve"> assigned a day and hour ba</w:t>
      </w:r>
      <w:r w:rsidR="008D3437" w:rsidRPr="00DD7DC5">
        <w:t xml:space="preserve">sed on the historical ranking.  </w:t>
      </w:r>
      <w:r w:rsidRPr="00DD7DC5">
        <w:t>But the monthly peak demand and monthly energy values are the same</w:t>
      </w:r>
      <w:r w:rsidR="005D27E3" w:rsidRPr="00DD7DC5">
        <w:t xml:space="preserve"> no matter which</w:t>
      </w:r>
      <w:r w:rsidR="00374885" w:rsidRPr="00DD7DC5">
        <w:t xml:space="preserve"> historical mapping year is used.</w:t>
      </w:r>
    </w:p>
    <w:p w14:paraId="0A09A9FD" w14:textId="77777777" w:rsidR="00702D6A" w:rsidRDefault="00702D6A" w:rsidP="0096701A">
      <w:pPr>
        <w:pStyle w:val="StyleLinespacingMultiple115li"/>
      </w:pPr>
    </w:p>
    <w:p w14:paraId="3009CF2D" w14:textId="77777777" w:rsidR="005D65A2" w:rsidRDefault="005D65A2" w:rsidP="006812D4">
      <w:pPr>
        <w:pStyle w:val="StyleLinespacingMultiple115li"/>
        <w:rPr>
          <w:u w:val="single"/>
        </w:rPr>
      </w:pPr>
    </w:p>
    <w:p w14:paraId="706A191D" w14:textId="2706196A" w:rsidR="003A0884" w:rsidRPr="00DD7DC5" w:rsidRDefault="003A0884" w:rsidP="006812D4">
      <w:pPr>
        <w:pStyle w:val="StyleLinespacingMultiple115li"/>
        <w:rPr>
          <w:u w:val="single"/>
        </w:rPr>
      </w:pPr>
      <w:r w:rsidRPr="00DD7DC5">
        <w:rPr>
          <w:u w:val="single"/>
        </w:rPr>
        <w:t>ERCOT Zone Normal Weather (P50) Hourly Forecast</w:t>
      </w:r>
    </w:p>
    <w:p w14:paraId="3D48C18A" w14:textId="77777777" w:rsidR="0051299E" w:rsidRPr="00DD7DC5" w:rsidRDefault="0051299E" w:rsidP="006812D4">
      <w:pPr>
        <w:pStyle w:val="StyleLinespacingMultiple115li"/>
        <w:rPr>
          <w:u w:val="single"/>
        </w:rPr>
      </w:pPr>
    </w:p>
    <w:p w14:paraId="4AA47D9B" w14:textId="1632D2DB" w:rsidR="003A0884" w:rsidRDefault="002C5A38" w:rsidP="006812D4">
      <w:pPr>
        <w:pStyle w:val="StyleLinespacingMultiple115li"/>
      </w:pPr>
      <w:r w:rsidRPr="00DD7DC5">
        <w:lastRenderedPageBreak/>
        <w:t>Each of t</w:t>
      </w:r>
      <w:r w:rsidR="003A0884" w:rsidRPr="00DD7DC5">
        <w:t xml:space="preserve">he </w:t>
      </w:r>
      <w:r w:rsidR="00702D6A">
        <w:t>f</w:t>
      </w:r>
      <w:r w:rsidR="004563CD">
        <w:t>if</w:t>
      </w:r>
      <w:r w:rsidR="00D13D56">
        <w:t>teen</w:t>
      </w:r>
      <w:r w:rsidR="003A0884" w:rsidRPr="00DD7DC5">
        <w:t xml:space="preserve"> different mapped h</w:t>
      </w:r>
      <w:r w:rsidR="003A0884">
        <w:t>ourly forecasts based on the histor</w:t>
      </w:r>
      <w:r w:rsidR="008D3437">
        <w:t xml:space="preserve">ical calendar </w:t>
      </w:r>
      <w:r w:rsidR="007302D9">
        <w:t xml:space="preserve">years of </w:t>
      </w:r>
      <w:r w:rsidR="007302D9" w:rsidRPr="004442ED">
        <w:t>200</w:t>
      </w:r>
      <w:r w:rsidR="00D7496A">
        <w:t>8</w:t>
      </w:r>
      <w:r w:rsidR="007302D9" w:rsidRPr="004442ED">
        <w:t>-20</w:t>
      </w:r>
      <w:r w:rsidR="00702D6A">
        <w:t>2</w:t>
      </w:r>
      <w:r w:rsidR="00D7496A">
        <w:t>2</w:t>
      </w:r>
      <w:r w:rsidR="003A0884">
        <w:t xml:space="preserve"> f</w:t>
      </w:r>
      <w:r>
        <w:t xml:space="preserve">or each weather zone are summed for each forecasted </w:t>
      </w:r>
      <w:r w:rsidR="00B35184">
        <w:t xml:space="preserve">year, </w:t>
      </w:r>
      <w:r>
        <w:t xml:space="preserve">month, day, and hour.  This results in </w:t>
      </w:r>
      <w:r w:rsidR="00702D6A">
        <w:t>f</w:t>
      </w:r>
      <w:r w:rsidR="004563CD">
        <w:t>if</w:t>
      </w:r>
      <w:r w:rsidR="00702D6A">
        <w:t>teen</w:t>
      </w:r>
      <w:r>
        <w:t xml:space="preserve"> different ERCOT hourly coincident forecasts.</w:t>
      </w:r>
      <w:r w:rsidR="008D3437">
        <w:t xml:space="preserve">  The differences among </w:t>
      </w:r>
      <w:r w:rsidR="00432DBD">
        <w:t xml:space="preserve">these forecasts </w:t>
      </w:r>
      <w:r w:rsidR="000C7701">
        <w:t>are</w:t>
      </w:r>
      <w:r w:rsidR="00432DBD">
        <w:t xml:space="preserve"> caused by the different timing of weather conditions across the ERCOT region. It bears repeating that all of the underlying weather zone load forecasts have the same exact monthly peak demand and energy values.</w:t>
      </w:r>
    </w:p>
    <w:p w14:paraId="2B359B88" w14:textId="77777777" w:rsidR="0051299E" w:rsidRDefault="0051299E" w:rsidP="006812D4">
      <w:pPr>
        <w:pStyle w:val="StyleLinespacingMultiple115li"/>
      </w:pPr>
    </w:p>
    <w:p w14:paraId="23927180" w14:textId="4493A711" w:rsidR="002C1FA7" w:rsidRDefault="007C1AA4" w:rsidP="00D3494B">
      <w:pPr>
        <w:pStyle w:val="StyleLinespacingMultiple115li"/>
      </w:pPr>
      <w:r>
        <w:t>To</w:t>
      </w:r>
      <w:r w:rsidR="000C7701">
        <w:t xml:space="preserve"> determine which </w:t>
      </w:r>
      <w:r w:rsidR="002C5A38">
        <w:t xml:space="preserve">hourly </w:t>
      </w:r>
      <w:r w:rsidR="00432DBD">
        <w:t>ERCOT</w:t>
      </w:r>
      <w:r w:rsidR="000C7701">
        <w:t xml:space="preserve"> coincident</w:t>
      </w:r>
      <w:r w:rsidR="00432DBD">
        <w:t xml:space="preserve"> forecast</w:t>
      </w:r>
      <w:r w:rsidR="000C7701">
        <w:t xml:space="preserve"> to use as </w:t>
      </w:r>
      <w:r w:rsidR="004B6149">
        <w:t>the</w:t>
      </w:r>
      <w:r w:rsidR="000C7701">
        <w:t xml:space="preserve"> primary and official ERCOT coincident forecast</w:t>
      </w:r>
      <w:r w:rsidR="00432DBD">
        <w:t>, an analysis was</w:t>
      </w:r>
      <w:r w:rsidR="002C5A38">
        <w:t xml:space="preserve"> performed on these </w:t>
      </w:r>
      <w:r w:rsidR="00702D6A">
        <w:t>f</w:t>
      </w:r>
      <w:r w:rsidR="004563CD">
        <w:t>if</w:t>
      </w:r>
      <w:r w:rsidR="00702D6A">
        <w:t>teen</w:t>
      </w:r>
      <w:r w:rsidR="002C5A38">
        <w:t xml:space="preserve"> different hourly coincident forecasts.  The distribution of ERCOT summer peak demand was determined. Seeing that it is very difficult to determine how weather conditions will align or not at the time of</w:t>
      </w:r>
      <w:r w:rsidR="00D13D56">
        <w:t xml:space="preserve"> </w:t>
      </w:r>
      <w:r w:rsidR="002C5A38">
        <w:t>ERCOT’s summer peak, the forecast using historical</w:t>
      </w:r>
      <w:r w:rsidR="000C7701">
        <w:t xml:space="preserve"> factors from 20</w:t>
      </w:r>
      <w:r w:rsidR="004563CD">
        <w:t>08</w:t>
      </w:r>
      <w:r w:rsidR="000C7701">
        <w:t xml:space="preserve"> was deemed</w:t>
      </w:r>
      <w:r w:rsidR="002C5A38">
        <w:t xml:space="preserve"> the ERCOT official forecast.  </w:t>
      </w:r>
      <w:r w:rsidR="007302D9">
        <w:t>Using the 20</w:t>
      </w:r>
      <w:r w:rsidR="004563CD">
        <w:t>08</w:t>
      </w:r>
      <w:r w:rsidR="002A6BAC">
        <w:t xml:space="preserve"> his</w:t>
      </w:r>
      <w:r w:rsidR="002C1FA7">
        <w:t>torical factors resulted in t</w:t>
      </w:r>
      <w:r w:rsidR="000C7701">
        <w:t xml:space="preserve">he least amount of diversity between </w:t>
      </w:r>
      <w:r w:rsidR="002C1FA7">
        <w:t xml:space="preserve">weather zone demand </w:t>
      </w:r>
      <w:r w:rsidR="006130DE">
        <w:t xml:space="preserve">and ERCOT-wide demand </w:t>
      </w:r>
      <w:r w:rsidR="002C1FA7">
        <w:t xml:space="preserve">at the time of ERCOT’s summer peak.  </w:t>
      </w:r>
      <w:r w:rsidR="00D3494B">
        <w:t xml:space="preserve">As shown in Figure 6: ERCOT summer coincident peak shifts </w:t>
      </w:r>
      <w:r w:rsidR="005B2333">
        <w:t>from 5:00 PM to 10:00 PM</w:t>
      </w:r>
      <w:r w:rsidR="00045EC3">
        <w:t xml:space="preserve"> starting in 2028</w:t>
      </w:r>
      <w:r w:rsidR="005B2333">
        <w:t>.</w:t>
      </w:r>
    </w:p>
    <w:p w14:paraId="3B9DB61C" w14:textId="2C60339A" w:rsidR="00D3494B" w:rsidRDefault="00D3494B" w:rsidP="00D3494B">
      <w:pPr>
        <w:pStyle w:val="StyleLinespacingMultiple115li"/>
      </w:pPr>
    </w:p>
    <w:p w14:paraId="01A87636" w14:textId="0EA2AA81" w:rsidR="00D3494B" w:rsidRDefault="00D3494B" w:rsidP="00D3494B">
      <w:pPr>
        <w:pStyle w:val="StyleLinespacingMultiple115li"/>
      </w:pPr>
      <w:r w:rsidRPr="005856F3">
        <w:rPr>
          <w:b/>
        </w:rPr>
        <w:tab/>
      </w:r>
      <w:r>
        <w:rPr>
          <w:b/>
        </w:rPr>
        <w:t xml:space="preserve">                                     </w:t>
      </w:r>
      <w:r w:rsidRPr="00D776C0">
        <w:rPr>
          <w:b/>
          <w:u w:val="single"/>
        </w:rPr>
        <w:t xml:space="preserve">Figure </w:t>
      </w:r>
      <w:r>
        <w:rPr>
          <w:b/>
          <w:u w:val="single"/>
        </w:rPr>
        <w:t>6</w:t>
      </w:r>
      <w:r w:rsidRPr="00D776C0">
        <w:rPr>
          <w:b/>
          <w:u w:val="single"/>
        </w:rPr>
        <w:t xml:space="preserve">: </w:t>
      </w:r>
      <w:r w:rsidR="00D570C1">
        <w:rPr>
          <w:b/>
          <w:u w:val="single"/>
        </w:rPr>
        <w:t>ERCOT</w:t>
      </w:r>
      <w:r>
        <w:rPr>
          <w:b/>
          <w:u w:val="single"/>
        </w:rPr>
        <w:t xml:space="preserve"> </w:t>
      </w:r>
      <w:r w:rsidR="00D570C1">
        <w:rPr>
          <w:b/>
          <w:u w:val="single"/>
        </w:rPr>
        <w:t>Coincident Peak</w:t>
      </w:r>
      <w:r>
        <w:rPr>
          <w:b/>
          <w:u w:val="single"/>
        </w:rPr>
        <w:t xml:space="preserve"> Summer Forecast</w:t>
      </w:r>
    </w:p>
    <w:p w14:paraId="17C1384B" w14:textId="667C0DB3" w:rsidR="002E61C9" w:rsidRPr="003F6789" w:rsidRDefault="00D37E5E" w:rsidP="006812D4">
      <w:pPr>
        <w:pStyle w:val="StyleLinespacingMultiple115li"/>
      </w:pPr>
      <w:r>
        <w:rPr>
          <w:noProof/>
        </w:rPr>
        <w:drawing>
          <wp:inline distT="0" distB="0" distL="0" distR="0" wp14:anchorId="40266963" wp14:editId="001CA8BB">
            <wp:extent cx="6858000" cy="3841750"/>
            <wp:effectExtent l="0" t="0" r="0" b="6350"/>
            <wp:docPr id="9" name="Chart 9">
              <a:extLst xmlns:a="http://schemas.openxmlformats.org/drawingml/2006/main">
                <a:ext uri="{FF2B5EF4-FFF2-40B4-BE49-F238E27FC236}">
                  <a16:creationId xmlns:a16="http://schemas.microsoft.com/office/drawing/2014/main" id="{FE324375-66C3-A080-9ECC-C18FCDD496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29D49C4" w14:textId="77777777" w:rsidR="00A773FD" w:rsidRDefault="00A773FD" w:rsidP="006812D4">
      <w:pPr>
        <w:pStyle w:val="StyleLinespacingMultiple115li"/>
        <w:rPr>
          <w:u w:val="single"/>
        </w:rPr>
      </w:pPr>
    </w:p>
    <w:p w14:paraId="7B827346" w14:textId="08F38E0D" w:rsidR="00DE068C" w:rsidRDefault="00DE068C" w:rsidP="006812D4">
      <w:pPr>
        <w:pStyle w:val="StyleLinespacingMultiple115li"/>
        <w:rPr>
          <w:u w:val="single"/>
        </w:rPr>
      </w:pPr>
      <w:r w:rsidRPr="00FF0605">
        <w:rPr>
          <w:u w:val="single"/>
        </w:rPr>
        <w:t>Load Forecast Scenarios (ERCOT</w:t>
      </w:r>
      <w:r w:rsidR="001978D3" w:rsidRPr="00FF0605">
        <w:rPr>
          <w:u w:val="single"/>
        </w:rPr>
        <w:t xml:space="preserve"> system</w:t>
      </w:r>
      <w:r w:rsidRPr="00FF0605">
        <w:rPr>
          <w:u w:val="single"/>
        </w:rPr>
        <w:t>)</w:t>
      </w:r>
    </w:p>
    <w:p w14:paraId="0B9F8885" w14:textId="77777777" w:rsidR="00F637C7" w:rsidRPr="00FF0605" w:rsidRDefault="00F637C7" w:rsidP="006812D4">
      <w:pPr>
        <w:pStyle w:val="StyleLinespacingMultiple115li"/>
        <w:rPr>
          <w:u w:val="single"/>
        </w:rPr>
      </w:pPr>
    </w:p>
    <w:p w14:paraId="02D9E043" w14:textId="48CF4B61" w:rsidR="001D7321" w:rsidRDefault="002C0E7E" w:rsidP="008B4E45">
      <w:pPr>
        <w:pStyle w:val="StyleLinespacingMultiple115li"/>
      </w:pPr>
      <w:r w:rsidRPr="00DE50A1">
        <w:t xml:space="preserve">The </w:t>
      </w:r>
      <w:r w:rsidR="001978D3" w:rsidRPr="00DE50A1">
        <w:t xml:space="preserve">weather </w:t>
      </w:r>
      <w:r w:rsidR="00432DBD" w:rsidRPr="00DE50A1">
        <w:t xml:space="preserve">zone </w:t>
      </w:r>
      <w:r w:rsidR="001978D3" w:rsidRPr="00DE50A1">
        <w:t xml:space="preserve">load forecast scenarios are used as the basis for creating load forecast scenarios for the ERCOT system.  </w:t>
      </w:r>
      <w:r w:rsidR="00FF0605" w:rsidRPr="002A6BAC">
        <w:t>T</w:t>
      </w:r>
      <w:r w:rsidR="001978D3" w:rsidRPr="00FF0605">
        <w:t>he hourly values from each weather zone are summed for each year, month, day, and hour</w:t>
      </w:r>
      <w:r w:rsidR="00FF0605">
        <w:t xml:space="preserve"> to get the ERCOT total forecasted hourly demand</w:t>
      </w:r>
      <w:r w:rsidR="001978D3" w:rsidRPr="00FF0605">
        <w:t xml:space="preserve">. </w:t>
      </w:r>
    </w:p>
    <w:p w14:paraId="3D24FB82" w14:textId="77777777" w:rsidR="00045EC3" w:rsidRDefault="00045EC3" w:rsidP="00856893">
      <w:pPr>
        <w:pStyle w:val="StyleLinespacingMultiple115li"/>
        <w:rPr>
          <w:u w:val="single"/>
        </w:rPr>
      </w:pPr>
    </w:p>
    <w:p w14:paraId="5FE96916" w14:textId="41FA5F40" w:rsidR="00856893" w:rsidRDefault="00856893" w:rsidP="00856893">
      <w:pPr>
        <w:pStyle w:val="StyleLinespacingMultiple115li"/>
        <w:rPr>
          <w:u w:val="single"/>
        </w:rPr>
      </w:pPr>
      <w:r w:rsidRPr="00D01089">
        <w:rPr>
          <w:u w:val="single"/>
        </w:rPr>
        <w:t xml:space="preserve">Weather Zone </w:t>
      </w:r>
      <w:r>
        <w:rPr>
          <w:u w:val="single"/>
        </w:rPr>
        <w:t>90</w:t>
      </w:r>
      <w:r w:rsidRPr="00A06F2E">
        <w:rPr>
          <w:u w:val="single"/>
          <w:vertAlign w:val="superscript"/>
        </w:rPr>
        <w:t>th</w:t>
      </w:r>
      <w:r>
        <w:rPr>
          <w:u w:val="single"/>
        </w:rPr>
        <w:t xml:space="preserve"> Percentile </w:t>
      </w:r>
      <w:r w:rsidRPr="00D01089">
        <w:rPr>
          <w:u w:val="single"/>
        </w:rPr>
        <w:t>Summer Peak Demand</w:t>
      </w:r>
      <w:r>
        <w:rPr>
          <w:u w:val="single"/>
        </w:rPr>
        <w:t xml:space="preserve"> Forecast</w:t>
      </w:r>
    </w:p>
    <w:p w14:paraId="18715027" w14:textId="77777777" w:rsidR="00856893" w:rsidRDefault="00856893" w:rsidP="00856893">
      <w:pPr>
        <w:pStyle w:val="StyleLinespacingMultiple115li"/>
        <w:rPr>
          <w:u w:val="single"/>
        </w:rPr>
      </w:pPr>
    </w:p>
    <w:p w14:paraId="4E1CB5DE" w14:textId="12305ED5" w:rsidR="00856893" w:rsidRDefault="00856893" w:rsidP="00856893">
      <w:pPr>
        <w:pStyle w:val="StyleLinespacingMultiple115li"/>
        <w:rPr>
          <w:u w:val="single"/>
        </w:rPr>
      </w:pPr>
      <w:r>
        <w:t>Another forecast of interest is the 90</w:t>
      </w:r>
      <w:r w:rsidRPr="00535FD6">
        <w:rPr>
          <w:vertAlign w:val="superscript"/>
        </w:rPr>
        <w:t>th</w:t>
      </w:r>
      <w:r>
        <w:t xml:space="preserve"> percentile (denoted as P90) weather zone summer peak demand forecast. </w:t>
      </w:r>
      <w:r w:rsidRPr="00133BCF">
        <w:t xml:space="preserve">The </w:t>
      </w:r>
      <w:r>
        <w:t>process for determining the 90</w:t>
      </w:r>
      <w:r w:rsidRPr="00535FD6">
        <w:rPr>
          <w:vertAlign w:val="superscript"/>
        </w:rPr>
        <w:t>th</w:t>
      </w:r>
      <w:r>
        <w:t xml:space="preserve"> percentile weather zone summer peak demand forecast is identical to the process used for calculating the base forecast, except that instead of using the average of the fifteen-weather year load forecast scenarios, the 90</w:t>
      </w:r>
      <w:r w:rsidRPr="00535FD6">
        <w:rPr>
          <w:vertAlign w:val="superscript"/>
        </w:rPr>
        <w:t>th</w:t>
      </w:r>
      <w:r>
        <w:t xml:space="preserve"> percentile of the values is used.</w:t>
      </w:r>
      <w:r w:rsidR="005A5BED">
        <w:t xml:space="preserve"> This is the methodology for the 90</w:t>
      </w:r>
      <w:r w:rsidR="005A5BED" w:rsidRPr="005A5BED">
        <w:rPr>
          <w:vertAlign w:val="superscript"/>
        </w:rPr>
        <w:t>th</w:t>
      </w:r>
      <w:r w:rsidR="005A5BED">
        <w:t xml:space="preserve"> percentile forecast for planning purposes, the operational 90</w:t>
      </w:r>
      <w:r w:rsidR="005A5BED" w:rsidRPr="005A5BED">
        <w:rPr>
          <w:vertAlign w:val="superscript"/>
        </w:rPr>
        <w:t>th</w:t>
      </w:r>
      <w:r w:rsidR="005A5BED">
        <w:t xml:space="preserve"> percentile forecast is subject to be changed to reflect seasonal conditions.</w:t>
      </w:r>
    </w:p>
    <w:p w14:paraId="3E79ED5A" w14:textId="77777777" w:rsidR="00856893" w:rsidRPr="004B6149" w:rsidRDefault="00856893" w:rsidP="00856893">
      <w:pPr>
        <w:pStyle w:val="StyleLinespacingMultiple115li"/>
        <w:rPr>
          <w:highlight w:val="yellow"/>
        </w:rPr>
      </w:pPr>
      <w:r w:rsidRPr="004B6149">
        <w:rPr>
          <w:highlight w:val="yellow"/>
        </w:rPr>
        <w:t xml:space="preserve"> </w:t>
      </w:r>
    </w:p>
    <w:p w14:paraId="4086339B" w14:textId="77777777" w:rsidR="00856893" w:rsidRDefault="00856893" w:rsidP="00856893">
      <w:pPr>
        <w:pStyle w:val="StyleLinespacingMultiple115li"/>
        <w:rPr>
          <w:u w:val="single"/>
        </w:rPr>
      </w:pPr>
    </w:p>
    <w:p w14:paraId="5B1AB203" w14:textId="70536351" w:rsidR="00856893" w:rsidRDefault="00856893" w:rsidP="00856893">
      <w:pPr>
        <w:pStyle w:val="StyleLinespacingMultiple115li"/>
        <w:rPr>
          <w:u w:val="single"/>
        </w:rPr>
      </w:pPr>
      <w:r w:rsidRPr="00D01089">
        <w:rPr>
          <w:u w:val="single"/>
        </w:rPr>
        <w:t xml:space="preserve">Weather Zone </w:t>
      </w:r>
      <w:r>
        <w:rPr>
          <w:u w:val="single"/>
        </w:rPr>
        <w:t xml:space="preserve">(P90) </w:t>
      </w:r>
      <w:r w:rsidRPr="00D01089">
        <w:rPr>
          <w:u w:val="single"/>
        </w:rPr>
        <w:t>Summer Peak Demand</w:t>
      </w:r>
      <w:r>
        <w:rPr>
          <w:u w:val="single"/>
        </w:rPr>
        <w:t xml:space="preserve"> Forecast for Far West</w:t>
      </w:r>
    </w:p>
    <w:p w14:paraId="2A2C016C" w14:textId="77777777" w:rsidR="00856893" w:rsidRDefault="00856893" w:rsidP="00856893">
      <w:pPr>
        <w:pStyle w:val="StyleLinespacingMultiple115li"/>
        <w:rPr>
          <w:u w:val="single"/>
        </w:rPr>
      </w:pPr>
    </w:p>
    <w:p w14:paraId="753F4806" w14:textId="77777777" w:rsidR="00856893" w:rsidRDefault="00856893" w:rsidP="00856893">
      <w:pPr>
        <w:pStyle w:val="StyleLinespacingMultiple115li"/>
        <w:rPr>
          <w:b/>
          <w:bCs/>
        </w:rPr>
      </w:pPr>
      <w:r w:rsidRPr="00BA1913">
        <w:rPr>
          <w:rFonts w:eastAsiaTheme="minorHAnsi"/>
        </w:rPr>
        <w:t xml:space="preserve">Although using weather variation </w:t>
      </w:r>
      <w:r>
        <w:rPr>
          <w:rFonts w:eastAsiaTheme="minorHAnsi"/>
        </w:rPr>
        <w:t xml:space="preserve">from fifteen historical weather years </w:t>
      </w:r>
      <w:r w:rsidRPr="00BA1913">
        <w:rPr>
          <w:rFonts w:eastAsiaTheme="minorHAnsi"/>
        </w:rPr>
        <w:t xml:space="preserve">to derive percentiles works well for </w:t>
      </w:r>
      <w:r>
        <w:rPr>
          <w:rFonts w:eastAsiaTheme="minorHAnsi"/>
        </w:rPr>
        <w:t>most w</w:t>
      </w:r>
      <w:r w:rsidRPr="00BA1913">
        <w:rPr>
          <w:rFonts w:eastAsiaTheme="minorHAnsi"/>
        </w:rPr>
        <w:t xml:space="preserve">eather </w:t>
      </w:r>
      <w:r>
        <w:rPr>
          <w:rFonts w:eastAsiaTheme="minorHAnsi"/>
        </w:rPr>
        <w:t>z</w:t>
      </w:r>
      <w:r w:rsidRPr="00BA1913">
        <w:rPr>
          <w:rFonts w:eastAsiaTheme="minorHAnsi"/>
        </w:rPr>
        <w:t>ones where load is highly dependent on weather, using weather to derive percentiles</w:t>
      </w:r>
      <w:r>
        <w:rPr>
          <w:rFonts w:eastAsiaTheme="minorHAnsi"/>
        </w:rPr>
        <w:t xml:space="preserve"> does no</w:t>
      </w:r>
      <w:r w:rsidRPr="00BA1913">
        <w:rPr>
          <w:rFonts w:eastAsiaTheme="minorHAnsi"/>
        </w:rPr>
        <w:t>t work</w:t>
      </w:r>
    </w:p>
    <w:p w14:paraId="0755E32B" w14:textId="4DB4B106" w:rsidR="00CF0BFA" w:rsidRPr="0084540A" w:rsidRDefault="00856893" w:rsidP="00CF0BFA">
      <w:pPr>
        <w:pStyle w:val="StyleLinespacingMultiple115li"/>
        <w:rPr>
          <w:b/>
        </w:rPr>
      </w:pPr>
      <w:r w:rsidRPr="00BA1913">
        <w:rPr>
          <w:rFonts w:eastAsiaTheme="minorHAnsi"/>
        </w:rPr>
        <w:t>well for F</w:t>
      </w:r>
      <w:r>
        <w:rPr>
          <w:rFonts w:eastAsiaTheme="minorHAnsi"/>
        </w:rPr>
        <w:t xml:space="preserve">ar </w:t>
      </w:r>
      <w:r w:rsidRPr="00BA1913">
        <w:rPr>
          <w:rFonts w:eastAsiaTheme="minorHAnsi"/>
        </w:rPr>
        <w:t>W</w:t>
      </w:r>
      <w:r>
        <w:rPr>
          <w:rFonts w:eastAsiaTheme="minorHAnsi"/>
        </w:rPr>
        <w:t>est</w:t>
      </w:r>
      <w:r w:rsidRPr="00BA1913">
        <w:rPr>
          <w:rFonts w:eastAsiaTheme="minorHAnsi"/>
        </w:rPr>
        <w:t xml:space="preserve">, where the load is </w:t>
      </w:r>
      <w:r w:rsidR="00BF1295">
        <w:rPr>
          <w:rFonts w:eastAsiaTheme="minorHAnsi"/>
        </w:rPr>
        <w:t xml:space="preserve">relatively </w:t>
      </w:r>
      <w:r w:rsidRPr="00BA1913">
        <w:rPr>
          <w:rFonts w:eastAsiaTheme="minorHAnsi"/>
        </w:rPr>
        <w:t xml:space="preserve">consistent across weather variations. </w:t>
      </w:r>
      <w:r>
        <w:rPr>
          <w:rFonts w:eastAsiaTheme="minorHAnsi"/>
        </w:rPr>
        <w:t xml:space="preserve">Instead, </w:t>
      </w:r>
      <w:r w:rsidRPr="00BA1913">
        <w:rPr>
          <w:rFonts w:eastAsiaTheme="minorHAnsi"/>
        </w:rPr>
        <w:t>economic variation</w:t>
      </w:r>
      <w:r>
        <w:rPr>
          <w:rFonts w:eastAsiaTheme="minorHAnsi"/>
        </w:rPr>
        <w:t xml:space="preserve">, in particular the Moody’s high economic scenario, was used </w:t>
      </w:r>
      <w:r w:rsidRPr="00BA1913">
        <w:rPr>
          <w:rFonts w:eastAsiaTheme="minorHAnsi"/>
        </w:rPr>
        <w:t>to derive a 90</w:t>
      </w:r>
      <w:r w:rsidRPr="00BA1913">
        <w:rPr>
          <w:rFonts w:eastAsiaTheme="minorHAnsi"/>
          <w:vertAlign w:val="superscript"/>
        </w:rPr>
        <w:t>th</w:t>
      </w:r>
      <w:r w:rsidRPr="00BA1913">
        <w:rPr>
          <w:rFonts w:eastAsiaTheme="minorHAnsi"/>
        </w:rPr>
        <w:t xml:space="preserve"> Percentile </w:t>
      </w:r>
      <w:r>
        <w:rPr>
          <w:rFonts w:eastAsiaTheme="minorHAnsi"/>
        </w:rPr>
        <w:t xml:space="preserve">forecast </w:t>
      </w:r>
      <w:r w:rsidRPr="00BA1913">
        <w:rPr>
          <w:rFonts w:eastAsiaTheme="minorHAnsi"/>
        </w:rPr>
        <w:t>for F</w:t>
      </w:r>
      <w:r>
        <w:rPr>
          <w:rFonts w:eastAsiaTheme="minorHAnsi"/>
        </w:rPr>
        <w:t>ar West</w:t>
      </w:r>
      <w:r w:rsidRPr="00BA1913">
        <w:rPr>
          <w:rFonts w:eastAsiaTheme="minorHAnsi"/>
        </w:rPr>
        <w:t>.</w:t>
      </w:r>
      <w:r>
        <w:rPr>
          <w:b/>
        </w:rPr>
        <w:t xml:space="preserve"> </w:t>
      </w:r>
    </w:p>
    <w:p w14:paraId="521E8A85" w14:textId="77777777" w:rsidR="00CF0BFA" w:rsidRDefault="00CF0BFA" w:rsidP="00CF0BFA">
      <w:pPr>
        <w:pStyle w:val="StyleLinespacingMultiple115li"/>
        <w:rPr>
          <w:bCs/>
          <w:u w:val="single"/>
        </w:rPr>
      </w:pPr>
    </w:p>
    <w:p w14:paraId="4E9EFCAE" w14:textId="77777777" w:rsidR="00CF0BFA" w:rsidRDefault="00CF0BFA" w:rsidP="00CF0BFA">
      <w:pPr>
        <w:pStyle w:val="StyleLinespacingMultiple115li"/>
        <w:rPr>
          <w:bCs/>
          <w:u w:val="single"/>
        </w:rPr>
      </w:pPr>
    </w:p>
    <w:p w14:paraId="01009739" w14:textId="78B4E415" w:rsidR="00CF0BFA" w:rsidRPr="00CF0BFA" w:rsidRDefault="00CF0BFA" w:rsidP="00CF0BFA">
      <w:pPr>
        <w:pStyle w:val="StyleLinespacingMultiple115li"/>
        <w:rPr>
          <w:bCs/>
          <w:u w:val="single"/>
        </w:rPr>
      </w:pPr>
      <w:r w:rsidRPr="00CF0BFA">
        <w:rPr>
          <w:bCs/>
          <w:u w:val="single"/>
        </w:rPr>
        <w:t>ERCOT Electric Vehicle Forecast</w:t>
      </w:r>
    </w:p>
    <w:p w14:paraId="0EB61E48" w14:textId="77777777" w:rsidR="00CF0BFA" w:rsidRPr="00CF0BFA" w:rsidRDefault="00CF0BFA" w:rsidP="00CF0BFA">
      <w:pPr>
        <w:pStyle w:val="StyleLinespacingMultiple115li"/>
        <w:rPr>
          <w:bCs/>
        </w:rPr>
      </w:pPr>
    </w:p>
    <w:p w14:paraId="532B31D8" w14:textId="57889CAC" w:rsidR="00CF0BFA" w:rsidRDefault="00BF1295" w:rsidP="00CF0BFA">
      <w:pPr>
        <w:pStyle w:val="StyleLinespacingMultiple115li"/>
        <w:rPr>
          <w:bCs/>
        </w:rPr>
      </w:pPr>
      <w:r>
        <w:rPr>
          <w:bCs/>
        </w:rPr>
        <w:t>ERCOT’s EV forecast is summarized as follows:</w:t>
      </w:r>
    </w:p>
    <w:p w14:paraId="2EEF6580" w14:textId="77777777" w:rsidR="00BF1295" w:rsidRPr="00CF0BFA" w:rsidRDefault="00BF1295" w:rsidP="00CF0BFA">
      <w:pPr>
        <w:pStyle w:val="StyleLinespacingMultiple115li"/>
        <w:rPr>
          <w:bCs/>
        </w:rPr>
      </w:pPr>
    </w:p>
    <w:p w14:paraId="3B23FB91" w14:textId="77777777" w:rsidR="00CF0BFA" w:rsidRPr="00CF0BFA" w:rsidRDefault="00CF0BFA" w:rsidP="00CF0BFA">
      <w:pPr>
        <w:pStyle w:val="StyleLinespacingMultiple115li"/>
        <w:rPr>
          <w:bCs/>
        </w:rPr>
      </w:pPr>
      <w:r w:rsidRPr="00CF0BFA">
        <w:rPr>
          <w:bCs/>
        </w:rPr>
        <w:t>1.</w:t>
      </w:r>
      <w:r w:rsidRPr="00CF0BFA">
        <w:rPr>
          <w:bCs/>
        </w:rPr>
        <w:tab/>
        <w:t>Approximately 998,000 Light Duty Vehicles (LDVs) and 103,000 Medium/Heavy Duty Vehicles (MHDVs) are projected to be electric by 2029 in Texas, representing about 4% of the LDV stock and 4% of MHDV stock and therefore 4% of all vehicles on the road. Approximately 96% of electrified LDVs and 93% of MHDVs will be registered in ERCOT’s service territory.</w:t>
      </w:r>
    </w:p>
    <w:p w14:paraId="6E76CA2E" w14:textId="77777777" w:rsidR="00CF0BFA" w:rsidRPr="00CF0BFA" w:rsidRDefault="00CF0BFA" w:rsidP="00CF0BFA">
      <w:pPr>
        <w:pStyle w:val="StyleLinespacingMultiple115li"/>
        <w:rPr>
          <w:bCs/>
        </w:rPr>
      </w:pPr>
      <w:r w:rsidRPr="00CF0BFA">
        <w:rPr>
          <w:bCs/>
        </w:rPr>
        <w:t>2.</w:t>
      </w:r>
      <w:r w:rsidRPr="00CF0BFA">
        <w:rPr>
          <w:bCs/>
        </w:rPr>
        <w:tab/>
        <w:t>The total EV charging load in 2029 is approximately 6 TWh, adding 1.25% of load to ERCOT’s electric load forecast in 2029 up from 0.2% in 2023</w:t>
      </w:r>
    </w:p>
    <w:p w14:paraId="4294EF18" w14:textId="77777777" w:rsidR="00CF0BFA" w:rsidRPr="00CF0BFA" w:rsidRDefault="00CF0BFA" w:rsidP="00CF0BFA">
      <w:pPr>
        <w:pStyle w:val="StyleLinespacingMultiple115li"/>
        <w:rPr>
          <w:bCs/>
        </w:rPr>
      </w:pPr>
    </w:p>
    <w:p w14:paraId="2868BC4E" w14:textId="5503A63F" w:rsidR="00BF1295" w:rsidRDefault="00BF1295" w:rsidP="00BF1295">
      <w:pPr>
        <w:pStyle w:val="StyleLinespacingMultiple115li"/>
        <w:rPr>
          <w:bCs/>
        </w:rPr>
      </w:pPr>
      <w:r>
        <w:rPr>
          <w:bCs/>
        </w:rPr>
        <w:t>Table</w:t>
      </w:r>
      <w:r w:rsidR="0029373C">
        <w:rPr>
          <w:bCs/>
        </w:rPr>
        <w:t xml:space="preserve"> 5</w:t>
      </w:r>
      <w:r>
        <w:rPr>
          <w:bCs/>
        </w:rPr>
        <w:t xml:space="preserve"> shows the forecasted EV demand at the time of summer peak, by year.</w:t>
      </w:r>
    </w:p>
    <w:p w14:paraId="6AA53462" w14:textId="1C6F823B" w:rsidR="005E218A" w:rsidRDefault="005E218A" w:rsidP="00BF1295">
      <w:pPr>
        <w:pStyle w:val="StyleLinespacingMultiple115li"/>
        <w:rPr>
          <w:bCs/>
        </w:rPr>
      </w:pPr>
    </w:p>
    <w:p w14:paraId="7CE3C4E8" w14:textId="1A8E44BD" w:rsidR="005E218A" w:rsidRDefault="005E218A" w:rsidP="005E218A">
      <w:pPr>
        <w:pStyle w:val="StyleLinespacingMultiple115li"/>
        <w:jc w:val="center"/>
        <w:rPr>
          <w:bCs/>
        </w:rPr>
      </w:pPr>
      <w:r w:rsidRPr="00E76ABC">
        <w:rPr>
          <w:b/>
          <w:u w:val="single"/>
        </w:rPr>
        <w:t xml:space="preserve">Table </w:t>
      </w:r>
      <w:r w:rsidR="0029373C">
        <w:rPr>
          <w:b/>
          <w:u w:val="single"/>
        </w:rPr>
        <w:t>5</w:t>
      </w:r>
      <w:r>
        <w:rPr>
          <w:b/>
          <w:u w:val="single"/>
        </w:rPr>
        <w:t>: EV Load at Summer Peak</w:t>
      </w:r>
    </w:p>
    <w:p w14:paraId="776CDF64" w14:textId="26C2EED3" w:rsidR="00591721" w:rsidRDefault="00591721" w:rsidP="00BF1295">
      <w:pPr>
        <w:pStyle w:val="StyleLinespacingMultiple115li"/>
        <w:rPr>
          <w:bCs/>
        </w:rPr>
      </w:pPr>
    </w:p>
    <w:tbl>
      <w:tblPr>
        <w:tblStyle w:val="TableGrid"/>
        <w:tblW w:w="0" w:type="auto"/>
        <w:tblInd w:w="94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F1DD" w:themeFill="accent3" w:themeFillTint="33"/>
        <w:tblLook w:val="04A0" w:firstRow="1" w:lastRow="0" w:firstColumn="1" w:lastColumn="0" w:noHBand="0" w:noVBand="1"/>
      </w:tblPr>
      <w:tblGrid>
        <w:gridCol w:w="4450"/>
        <w:gridCol w:w="4450"/>
      </w:tblGrid>
      <w:tr w:rsidR="00591721" w14:paraId="6925D9A2" w14:textId="77777777" w:rsidTr="00D36229">
        <w:trPr>
          <w:trHeight w:hRule="exact" w:val="20"/>
        </w:trPr>
        <w:tc>
          <w:tcPr>
            <w:tcW w:w="4450" w:type="dxa"/>
            <w:shd w:val="clear" w:color="auto" w:fill="EAF1DD" w:themeFill="accent3" w:themeFillTint="33"/>
          </w:tcPr>
          <w:p w14:paraId="38F07D5C" w14:textId="4D053ADF" w:rsidR="00591721" w:rsidRDefault="00591721">
            <w:pPr>
              <w:rPr>
                <w:sz w:val="2"/>
              </w:rPr>
            </w:pPr>
            <w:bookmarkStart w:id="6" w:name="_b7929451_888c_47a8_abc8_e0ba69a76e85"/>
            <w:bookmarkStart w:id="7" w:name="_169dc4f4_e671_4a71_8bd2_b96d3fd34e99"/>
            <w:bookmarkEnd w:id="6"/>
            <w:r>
              <w:rPr>
                <w:rFonts w:ascii="Calibri" w:hAnsi="Calibri" w:cs="Calibri"/>
                <w:b/>
                <w:bCs/>
                <w:color w:val="000000"/>
                <w:sz w:val="22"/>
                <w:szCs w:val="22"/>
              </w:rPr>
              <w:t>EV Load (MW) at Summer Peak</w:t>
            </w:r>
          </w:p>
        </w:tc>
        <w:tc>
          <w:tcPr>
            <w:tcW w:w="4450" w:type="dxa"/>
            <w:shd w:val="clear" w:color="auto" w:fill="EAF1DD" w:themeFill="accent3" w:themeFillTint="33"/>
          </w:tcPr>
          <w:p w14:paraId="7D05F8C7" w14:textId="77777777" w:rsidR="00591721" w:rsidRDefault="00591721">
            <w:pPr>
              <w:rPr>
                <w:sz w:val="2"/>
              </w:rPr>
            </w:pPr>
          </w:p>
        </w:tc>
      </w:tr>
      <w:tr w:rsidR="00591721" w14:paraId="34455E64" w14:textId="77777777" w:rsidTr="00D36229">
        <w:trPr>
          <w:trHeight w:val="295"/>
        </w:trPr>
        <w:tc>
          <w:tcPr>
            <w:tcW w:w="4450" w:type="dxa"/>
            <w:shd w:val="clear" w:color="auto" w:fill="EAF1DD" w:themeFill="accent3" w:themeFillTint="33"/>
          </w:tcPr>
          <w:p w14:paraId="6C1B190E" w14:textId="77777777" w:rsidR="00591721" w:rsidRPr="00D36229" w:rsidRDefault="00591721" w:rsidP="00FB389F">
            <w:pPr>
              <w:pStyle w:val="StyleLinespacingMultiple115li"/>
              <w:jc w:val="center"/>
              <w:rPr>
                <w:rFonts w:asciiTheme="minorHAnsi" w:hAnsiTheme="minorHAnsi" w:cstheme="minorHAnsi"/>
                <w:b/>
                <w:sz w:val="22"/>
                <w:szCs w:val="22"/>
              </w:rPr>
            </w:pPr>
            <w:r w:rsidRPr="00D36229">
              <w:rPr>
                <w:rFonts w:asciiTheme="minorHAnsi" w:hAnsiTheme="minorHAnsi" w:cstheme="minorHAnsi"/>
                <w:b/>
                <w:sz w:val="22"/>
                <w:szCs w:val="22"/>
              </w:rPr>
              <w:t>Year</w:t>
            </w:r>
          </w:p>
        </w:tc>
        <w:tc>
          <w:tcPr>
            <w:tcW w:w="4450" w:type="dxa"/>
            <w:shd w:val="clear" w:color="auto" w:fill="EAF1DD" w:themeFill="accent3" w:themeFillTint="33"/>
          </w:tcPr>
          <w:p w14:paraId="669D1BEE" w14:textId="261D7E72" w:rsidR="00591721" w:rsidRPr="00D36229" w:rsidRDefault="00591721" w:rsidP="00591721">
            <w:pPr>
              <w:pStyle w:val="StyleLinespacingMultiple115li"/>
              <w:jc w:val="center"/>
              <w:rPr>
                <w:rFonts w:asciiTheme="minorHAnsi" w:hAnsiTheme="minorHAnsi" w:cstheme="minorHAnsi"/>
                <w:b/>
                <w:sz w:val="22"/>
                <w:szCs w:val="22"/>
              </w:rPr>
            </w:pPr>
            <w:r w:rsidRPr="00D36229">
              <w:rPr>
                <w:rFonts w:asciiTheme="minorHAnsi" w:hAnsiTheme="minorHAnsi" w:cstheme="minorHAnsi"/>
                <w:b/>
                <w:sz w:val="22"/>
                <w:szCs w:val="22"/>
              </w:rPr>
              <w:t>EV Load (MW) at Summer Peak</w:t>
            </w:r>
          </w:p>
        </w:tc>
      </w:tr>
      <w:tr w:rsidR="00591721" w14:paraId="3131621D" w14:textId="77777777" w:rsidTr="00D36229">
        <w:trPr>
          <w:trHeight w:val="295"/>
        </w:trPr>
        <w:tc>
          <w:tcPr>
            <w:tcW w:w="4450" w:type="dxa"/>
            <w:shd w:val="clear" w:color="auto" w:fill="EAF1DD" w:themeFill="accent3" w:themeFillTint="33"/>
          </w:tcPr>
          <w:p w14:paraId="6442EF81" w14:textId="77777777" w:rsidR="00591721" w:rsidRPr="00D36229" w:rsidRDefault="00591721" w:rsidP="00FB389F">
            <w:pPr>
              <w:pStyle w:val="StyleLinespacingMultiple115li"/>
              <w:jc w:val="center"/>
              <w:rPr>
                <w:rFonts w:asciiTheme="minorHAnsi" w:hAnsiTheme="minorHAnsi" w:cstheme="minorHAnsi"/>
                <w:bCs/>
                <w:sz w:val="22"/>
                <w:szCs w:val="22"/>
              </w:rPr>
            </w:pPr>
            <w:r w:rsidRPr="00D36229">
              <w:rPr>
                <w:rFonts w:asciiTheme="minorHAnsi" w:hAnsiTheme="minorHAnsi" w:cstheme="minorHAnsi"/>
                <w:bCs/>
                <w:sz w:val="22"/>
                <w:szCs w:val="22"/>
              </w:rPr>
              <w:t>2024</w:t>
            </w:r>
          </w:p>
        </w:tc>
        <w:tc>
          <w:tcPr>
            <w:tcW w:w="4450" w:type="dxa"/>
            <w:shd w:val="clear" w:color="auto" w:fill="EAF1DD" w:themeFill="accent3" w:themeFillTint="33"/>
          </w:tcPr>
          <w:p w14:paraId="76EB0525" w14:textId="3939105B" w:rsidR="00591721" w:rsidRPr="00D36229" w:rsidRDefault="00591721" w:rsidP="00591721">
            <w:pPr>
              <w:pStyle w:val="StyleLinespacingMultiple115li"/>
              <w:jc w:val="center"/>
              <w:rPr>
                <w:rFonts w:asciiTheme="minorHAnsi" w:hAnsiTheme="minorHAnsi" w:cstheme="minorHAnsi"/>
                <w:bCs/>
                <w:sz w:val="22"/>
                <w:szCs w:val="22"/>
              </w:rPr>
            </w:pPr>
            <w:r w:rsidRPr="00D36229">
              <w:rPr>
                <w:rFonts w:asciiTheme="minorHAnsi" w:hAnsiTheme="minorHAnsi" w:cstheme="minorHAnsi"/>
                <w:bCs/>
                <w:sz w:val="22"/>
                <w:szCs w:val="22"/>
              </w:rPr>
              <w:t>91</w:t>
            </w:r>
          </w:p>
        </w:tc>
      </w:tr>
      <w:tr w:rsidR="00591721" w14:paraId="6546D19F" w14:textId="77777777" w:rsidTr="00D36229">
        <w:trPr>
          <w:trHeight w:val="281"/>
        </w:trPr>
        <w:tc>
          <w:tcPr>
            <w:tcW w:w="4450" w:type="dxa"/>
            <w:shd w:val="clear" w:color="auto" w:fill="EAF1DD" w:themeFill="accent3" w:themeFillTint="33"/>
          </w:tcPr>
          <w:p w14:paraId="4E8DCE2C" w14:textId="77777777" w:rsidR="00591721" w:rsidRPr="00D36229" w:rsidRDefault="00591721" w:rsidP="00FB389F">
            <w:pPr>
              <w:pStyle w:val="StyleLinespacingMultiple115li"/>
              <w:jc w:val="center"/>
              <w:rPr>
                <w:rFonts w:asciiTheme="minorHAnsi" w:hAnsiTheme="minorHAnsi" w:cstheme="minorHAnsi"/>
                <w:bCs/>
                <w:sz w:val="22"/>
                <w:szCs w:val="22"/>
              </w:rPr>
            </w:pPr>
            <w:r w:rsidRPr="00D36229">
              <w:rPr>
                <w:rFonts w:asciiTheme="minorHAnsi" w:hAnsiTheme="minorHAnsi" w:cstheme="minorHAnsi"/>
                <w:bCs/>
                <w:sz w:val="22"/>
                <w:szCs w:val="22"/>
              </w:rPr>
              <w:t>2025</w:t>
            </w:r>
          </w:p>
        </w:tc>
        <w:tc>
          <w:tcPr>
            <w:tcW w:w="4450" w:type="dxa"/>
            <w:shd w:val="clear" w:color="auto" w:fill="EAF1DD" w:themeFill="accent3" w:themeFillTint="33"/>
          </w:tcPr>
          <w:p w14:paraId="312B4D72" w14:textId="0B2B35B1" w:rsidR="00591721" w:rsidRPr="00D36229" w:rsidRDefault="00591721" w:rsidP="00591721">
            <w:pPr>
              <w:pStyle w:val="StyleLinespacingMultiple115li"/>
              <w:jc w:val="center"/>
              <w:rPr>
                <w:rFonts w:asciiTheme="minorHAnsi" w:hAnsiTheme="minorHAnsi" w:cstheme="minorHAnsi"/>
                <w:bCs/>
                <w:sz w:val="22"/>
                <w:szCs w:val="22"/>
              </w:rPr>
            </w:pPr>
            <w:r w:rsidRPr="00D36229">
              <w:rPr>
                <w:rFonts w:asciiTheme="minorHAnsi" w:hAnsiTheme="minorHAnsi" w:cstheme="minorHAnsi"/>
                <w:bCs/>
                <w:sz w:val="22"/>
                <w:szCs w:val="22"/>
              </w:rPr>
              <w:t>195</w:t>
            </w:r>
          </w:p>
        </w:tc>
      </w:tr>
      <w:tr w:rsidR="00591721" w14:paraId="4B8EEFA2" w14:textId="77777777" w:rsidTr="00D36229">
        <w:trPr>
          <w:trHeight w:val="295"/>
        </w:trPr>
        <w:tc>
          <w:tcPr>
            <w:tcW w:w="4450" w:type="dxa"/>
            <w:shd w:val="clear" w:color="auto" w:fill="EAF1DD" w:themeFill="accent3" w:themeFillTint="33"/>
          </w:tcPr>
          <w:p w14:paraId="68E4BE57" w14:textId="77777777" w:rsidR="00591721" w:rsidRPr="00D36229" w:rsidRDefault="00591721" w:rsidP="00FB389F">
            <w:pPr>
              <w:pStyle w:val="StyleLinespacingMultiple115li"/>
              <w:jc w:val="center"/>
              <w:rPr>
                <w:rFonts w:asciiTheme="minorHAnsi" w:hAnsiTheme="minorHAnsi" w:cstheme="minorHAnsi"/>
                <w:bCs/>
                <w:sz w:val="22"/>
                <w:szCs w:val="22"/>
              </w:rPr>
            </w:pPr>
            <w:r w:rsidRPr="00D36229">
              <w:rPr>
                <w:rFonts w:asciiTheme="minorHAnsi" w:hAnsiTheme="minorHAnsi" w:cstheme="minorHAnsi"/>
                <w:bCs/>
                <w:sz w:val="22"/>
                <w:szCs w:val="22"/>
              </w:rPr>
              <w:t>2026</w:t>
            </w:r>
          </w:p>
        </w:tc>
        <w:tc>
          <w:tcPr>
            <w:tcW w:w="4450" w:type="dxa"/>
            <w:shd w:val="clear" w:color="auto" w:fill="EAF1DD" w:themeFill="accent3" w:themeFillTint="33"/>
          </w:tcPr>
          <w:p w14:paraId="2A66F9EE" w14:textId="6734BBB6" w:rsidR="00591721" w:rsidRPr="00D36229" w:rsidRDefault="00591721" w:rsidP="00591721">
            <w:pPr>
              <w:pStyle w:val="StyleLinespacingMultiple115li"/>
              <w:jc w:val="center"/>
              <w:rPr>
                <w:rFonts w:asciiTheme="minorHAnsi" w:hAnsiTheme="minorHAnsi" w:cstheme="minorHAnsi"/>
                <w:bCs/>
                <w:sz w:val="22"/>
                <w:szCs w:val="22"/>
              </w:rPr>
            </w:pPr>
            <w:r w:rsidRPr="00D36229">
              <w:rPr>
                <w:rFonts w:asciiTheme="minorHAnsi" w:hAnsiTheme="minorHAnsi" w:cstheme="minorHAnsi"/>
                <w:bCs/>
                <w:sz w:val="22"/>
                <w:szCs w:val="22"/>
              </w:rPr>
              <w:t>278</w:t>
            </w:r>
          </w:p>
        </w:tc>
      </w:tr>
      <w:tr w:rsidR="00591721" w14:paraId="6FBED7F2" w14:textId="77777777" w:rsidTr="00D36229">
        <w:trPr>
          <w:trHeight w:val="295"/>
        </w:trPr>
        <w:tc>
          <w:tcPr>
            <w:tcW w:w="4450" w:type="dxa"/>
            <w:shd w:val="clear" w:color="auto" w:fill="EAF1DD" w:themeFill="accent3" w:themeFillTint="33"/>
          </w:tcPr>
          <w:p w14:paraId="458C0154" w14:textId="77777777" w:rsidR="00591721" w:rsidRPr="00D36229" w:rsidRDefault="00591721" w:rsidP="00FB389F">
            <w:pPr>
              <w:pStyle w:val="StyleLinespacingMultiple115li"/>
              <w:jc w:val="center"/>
              <w:rPr>
                <w:rFonts w:asciiTheme="minorHAnsi" w:hAnsiTheme="minorHAnsi" w:cstheme="minorHAnsi"/>
                <w:bCs/>
                <w:sz w:val="22"/>
                <w:szCs w:val="22"/>
              </w:rPr>
            </w:pPr>
            <w:r w:rsidRPr="00D36229">
              <w:rPr>
                <w:rFonts w:asciiTheme="minorHAnsi" w:hAnsiTheme="minorHAnsi" w:cstheme="minorHAnsi"/>
                <w:bCs/>
                <w:sz w:val="22"/>
                <w:szCs w:val="22"/>
              </w:rPr>
              <w:t>2027</w:t>
            </w:r>
          </w:p>
        </w:tc>
        <w:tc>
          <w:tcPr>
            <w:tcW w:w="4450" w:type="dxa"/>
            <w:shd w:val="clear" w:color="auto" w:fill="EAF1DD" w:themeFill="accent3" w:themeFillTint="33"/>
          </w:tcPr>
          <w:p w14:paraId="271BC770" w14:textId="026E07A6" w:rsidR="00591721" w:rsidRPr="00D36229" w:rsidRDefault="00591721" w:rsidP="00591721">
            <w:pPr>
              <w:pStyle w:val="StyleLinespacingMultiple115li"/>
              <w:jc w:val="center"/>
              <w:rPr>
                <w:rFonts w:asciiTheme="minorHAnsi" w:hAnsiTheme="minorHAnsi" w:cstheme="minorHAnsi"/>
                <w:bCs/>
                <w:sz w:val="22"/>
                <w:szCs w:val="22"/>
              </w:rPr>
            </w:pPr>
            <w:r w:rsidRPr="00D36229">
              <w:rPr>
                <w:rFonts w:asciiTheme="minorHAnsi" w:hAnsiTheme="minorHAnsi" w:cstheme="minorHAnsi"/>
                <w:bCs/>
                <w:sz w:val="22"/>
                <w:szCs w:val="22"/>
              </w:rPr>
              <w:t>393</w:t>
            </w:r>
          </w:p>
        </w:tc>
      </w:tr>
      <w:tr w:rsidR="00591721" w14:paraId="12E9DC96" w14:textId="77777777" w:rsidTr="00D36229">
        <w:trPr>
          <w:trHeight w:val="295"/>
        </w:trPr>
        <w:tc>
          <w:tcPr>
            <w:tcW w:w="4450" w:type="dxa"/>
            <w:shd w:val="clear" w:color="auto" w:fill="EAF1DD" w:themeFill="accent3" w:themeFillTint="33"/>
          </w:tcPr>
          <w:p w14:paraId="076F4AF7" w14:textId="77777777" w:rsidR="00591721" w:rsidRPr="00D36229" w:rsidRDefault="00591721" w:rsidP="00FB389F">
            <w:pPr>
              <w:pStyle w:val="StyleLinespacingMultiple115li"/>
              <w:jc w:val="center"/>
              <w:rPr>
                <w:rFonts w:asciiTheme="minorHAnsi" w:hAnsiTheme="minorHAnsi" w:cstheme="minorHAnsi"/>
                <w:bCs/>
                <w:sz w:val="22"/>
                <w:szCs w:val="22"/>
              </w:rPr>
            </w:pPr>
            <w:r w:rsidRPr="00D36229">
              <w:rPr>
                <w:rFonts w:asciiTheme="minorHAnsi" w:hAnsiTheme="minorHAnsi" w:cstheme="minorHAnsi"/>
                <w:bCs/>
                <w:sz w:val="22"/>
                <w:szCs w:val="22"/>
              </w:rPr>
              <w:t>2028</w:t>
            </w:r>
          </w:p>
        </w:tc>
        <w:tc>
          <w:tcPr>
            <w:tcW w:w="4450" w:type="dxa"/>
            <w:shd w:val="clear" w:color="auto" w:fill="EAF1DD" w:themeFill="accent3" w:themeFillTint="33"/>
          </w:tcPr>
          <w:p w14:paraId="539B9682" w14:textId="4B9EDC04" w:rsidR="00591721" w:rsidRPr="00D36229" w:rsidRDefault="00591721" w:rsidP="00591721">
            <w:pPr>
              <w:pStyle w:val="StyleLinespacingMultiple115li"/>
              <w:jc w:val="center"/>
              <w:rPr>
                <w:rFonts w:asciiTheme="minorHAnsi" w:hAnsiTheme="minorHAnsi" w:cstheme="minorHAnsi"/>
                <w:bCs/>
                <w:sz w:val="22"/>
                <w:szCs w:val="22"/>
              </w:rPr>
            </w:pPr>
            <w:r w:rsidRPr="00D36229">
              <w:rPr>
                <w:rFonts w:asciiTheme="minorHAnsi" w:hAnsiTheme="minorHAnsi" w:cstheme="minorHAnsi"/>
                <w:bCs/>
                <w:sz w:val="22"/>
                <w:szCs w:val="22"/>
              </w:rPr>
              <w:t>970</w:t>
            </w:r>
          </w:p>
        </w:tc>
      </w:tr>
      <w:tr w:rsidR="00591721" w14:paraId="47826CAF" w14:textId="77777777" w:rsidTr="00D36229">
        <w:trPr>
          <w:trHeight w:val="281"/>
        </w:trPr>
        <w:tc>
          <w:tcPr>
            <w:tcW w:w="4450" w:type="dxa"/>
            <w:shd w:val="clear" w:color="auto" w:fill="EAF1DD" w:themeFill="accent3" w:themeFillTint="33"/>
          </w:tcPr>
          <w:p w14:paraId="30C0146D" w14:textId="77777777" w:rsidR="00591721" w:rsidRPr="00D36229" w:rsidRDefault="00591721" w:rsidP="00FB389F">
            <w:pPr>
              <w:pStyle w:val="StyleLinespacingMultiple115li"/>
              <w:jc w:val="center"/>
              <w:rPr>
                <w:rFonts w:asciiTheme="minorHAnsi" w:hAnsiTheme="minorHAnsi" w:cstheme="minorHAnsi"/>
                <w:bCs/>
                <w:sz w:val="22"/>
                <w:szCs w:val="22"/>
              </w:rPr>
            </w:pPr>
            <w:r w:rsidRPr="00D36229">
              <w:rPr>
                <w:rFonts w:asciiTheme="minorHAnsi" w:hAnsiTheme="minorHAnsi" w:cstheme="minorHAnsi"/>
                <w:bCs/>
                <w:sz w:val="22"/>
                <w:szCs w:val="22"/>
              </w:rPr>
              <w:t>2029</w:t>
            </w:r>
          </w:p>
        </w:tc>
        <w:tc>
          <w:tcPr>
            <w:tcW w:w="4450" w:type="dxa"/>
            <w:shd w:val="clear" w:color="auto" w:fill="EAF1DD" w:themeFill="accent3" w:themeFillTint="33"/>
          </w:tcPr>
          <w:p w14:paraId="53DC5A56" w14:textId="6D45870E" w:rsidR="00591721" w:rsidRPr="00D36229" w:rsidRDefault="00591721" w:rsidP="00591721">
            <w:pPr>
              <w:pStyle w:val="StyleLinespacingMultiple115li"/>
              <w:jc w:val="center"/>
              <w:rPr>
                <w:rFonts w:asciiTheme="minorHAnsi" w:hAnsiTheme="minorHAnsi" w:cstheme="minorHAnsi"/>
                <w:bCs/>
                <w:sz w:val="22"/>
                <w:szCs w:val="22"/>
              </w:rPr>
            </w:pPr>
            <w:r w:rsidRPr="00D36229">
              <w:rPr>
                <w:rFonts w:asciiTheme="minorHAnsi" w:hAnsiTheme="minorHAnsi" w:cstheme="minorHAnsi"/>
                <w:bCs/>
                <w:sz w:val="22"/>
                <w:szCs w:val="22"/>
              </w:rPr>
              <w:t>747</w:t>
            </w:r>
          </w:p>
        </w:tc>
      </w:tr>
      <w:bookmarkEnd w:id="7"/>
    </w:tbl>
    <w:p w14:paraId="71904E70" w14:textId="77777777" w:rsidR="00591721" w:rsidRDefault="00591721"/>
    <w:p w14:paraId="66A55331" w14:textId="77777777" w:rsidR="00CF0BFA" w:rsidRPr="00CF0BFA" w:rsidRDefault="00CF0BFA" w:rsidP="00CF0BFA">
      <w:pPr>
        <w:pStyle w:val="StyleLinespacingMultiple115li"/>
        <w:rPr>
          <w:bCs/>
        </w:rPr>
      </w:pPr>
    </w:p>
    <w:p w14:paraId="6F757915" w14:textId="77777777" w:rsidR="00CF0BFA" w:rsidRDefault="00CF0BFA" w:rsidP="00CF0BFA">
      <w:pPr>
        <w:pStyle w:val="StyleLinespacingMultiple115li"/>
        <w:rPr>
          <w:bCs/>
          <w:u w:val="single"/>
        </w:rPr>
      </w:pPr>
      <w:r w:rsidRPr="00CF0BFA">
        <w:rPr>
          <w:bCs/>
          <w:u w:val="single"/>
        </w:rPr>
        <w:t>Rooftop PV Forecast</w:t>
      </w:r>
    </w:p>
    <w:p w14:paraId="25174118" w14:textId="77777777" w:rsidR="003E0A07" w:rsidRPr="00CF0BFA" w:rsidRDefault="003E0A07" w:rsidP="00CF0BFA">
      <w:pPr>
        <w:pStyle w:val="StyleLinespacingMultiple115li"/>
        <w:rPr>
          <w:bCs/>
          <w:u w:val="single"/>
        </w:rPr>
      </w:pPr>
    </w:p>
    <w:p w14:paraId="08B30541" w14:textId="75FE0B81" w:rsidR="00CF0BFA" w:rsidRDefault="00CF0BFA" w:rsidP="00CF0BFA">
      <w:pPr>
        <w:pStyle w:val="StyleLinespacingMultiple115li"/>
        <w:rPr>
          <w:bCs/>
        </w:rPr>
      </w:pPr>
      <w:r w:rsidRPr="00CF0BFA">
        <w:rPr>
          <w:bCs/>
        </w:rPr>
        <w:lastRenderedPageBreak/>
        <w:t xml:space="preserve">The rooftop solar load forecast was generated by customer class (Residential or Business) at the weather zone level. Usage per customer was modeled to create a typical profile of rooftop solar using weather and calendar drivers, specifically solar irradiance because it captures solar generation well. The modeling dataset contains historical weather and calendar data from January 2012 to July 2023. Recent growth rates that decline over time were used to generate the customer class forecast. </w:t>
      </w:r>
      <w:r w:rsidR="008838D2">
        <w:rPr>
          <w:bCs/>
        </w:rPr>
        <w:t>The installed capacity in 2029 is 7,392 MWh and the forecasted PV Max is 6,128 MW</w:t>
      </w:r>
    </w:p>
    <w:p w14:paraId="22F5F8A3" w14:textId="77777777" w:rsidR="007F6339" w:rsidRDefault="007F6339" w:rsidP="00D36229">
      <w:pPr>
        <w:spacing w:line="276" w:lineRule="auto"/>
        <w:rPr>
          <w:b/>
          <w:u w:val="single"/>
        </w:rPr>
      </w:pPr>
    </w:p>
    <w:p w14:paraId="12CE9419" w14:textId="77777777" w:rsidR="007F6339" w:rsidRDefault="007F6339" w:rsidP="007F6339">
      <w:pPr>
        <w:spacing w:line="276" w:lineRule="auto"/>
        <w:jc w:val="center"/>
        <w:rPr>
          <w:b/>
          <w:u w:val="single"/>
        </w:rPr>
      </w:pPr>
    </w:p>
    <w:p w14:paraId="69898A94" w14:textId="3125DB76" w:rsidR="000B289C" w:rsidRPr="007F6339" w:rsidRDefault="007F6339" w:rsidP="007F6339">
      <w:pPr>
        <w:spacing w:line="276" w:lineRule="auto"/>
        <w:jc w:val="center"/>
        <w:rPr>
          <w:b/>
          <w:u w:val="single"/>
        </w:rPr>
      </w:pPr>
      <w:r w:rsidRPr="004442ED">
        <w:rPr>
          <w:b/>
          <w:u w:val="single"/>
        </w:rPr>
        <w:t xml:space="preserve">Table </w:t>
      </w:r>
      <w:r w:rsidR="0029373C">
        <w:rPr>
          <w:b/>
          <w:u w:val="single"/>
        </w:rPr>
        <w:t>6</w:t>
      </w:r>
      <w:r w:rsidRPr="004442ED">
        <w:rPr>
          <w:b/>
          <w:u w:val="single"/>
        </w:rPr>
        <w:t xml:space="preserve">: </w:t>
      </w:r>
      <w:r>
        <w:rPr>
          <w:b/>
          <w:u w:val="single"/>
        </w:rPr>
        <w:t>Rooftop PV Scenarios</w:t>
      </w:r>
    </w:p>
    <w:p w14:paraId="08428B6C" w14:textId="7BEB6FDE" w:rsidR="000B289C" w:rsidRDefault="000B289C" w:rsidP="00CF0BFA">
      <w:pPr>
        <w:pStyle w:val="StyleLinespacingMultiple115li"/>
        <w:rPr>
          <w:bCs/>
        </w:rPr>
      </w:pPr>
    </w:p>
    <w:tbl>
      <w:tblPr>
        <w:tblpPr w:leftFromText="180" w:rightFromText="180" w:vertAnchor="text" w:horzAnchor="margin" w:tblpXSpec="center" w:tblpY="191"/>
        <w:tblW w:w="4106" w:type="dxa"/>
        <w:tblLook w:val="04A0" w:firstRow="1" w:lastRow="0" w:firstColumn="1" w:lastColumn="0" w:noHBand="0" w:noVBand="1"/>
      </w:tblPr>
      <w:tblGrid>
        <w:gridCol w:w="791"/>
        <w:gridCol w:w="930"/>
        <w:gridCol w:w="1735"/>
        <w:gridCol w:w="327"/>
        <w:gridCol w:w="323"/>
      </w:tblGrid>
      <w:tr w:rsidR="00084FA7" w14:paraId="3BDC9A3F" w14:textId="77777777" w:rsidTr="00D36229">
        <w:trPr>
          <w:trHeight w:val="382"/>
        </w:trPr>
        <w:tc>
          <w:tcPr>
            <w:tcW w:w="791" w:type="dxa"/>
            <w:tcBorders>
              <w:top w:val="nil"/>
              <w:left w:val="nil"/>
              <w:bottom w:val="nil"/>
              <w:right w:val="nil"/>
            </w:tcBorders>
            <w:shd w:val="clear" w:color="000000" w:fill="E2EFDA"/>
            <w:noWrap/>
            <w:vAlign w:val="bottom"/>
            <w:hideMark/>
          </w:tcPr>
          <w:p w14:paraId="7EF4C0C5" w14:textId="77777777" w:rsidR="00084FA7" w:rsidRPr="00D36229" w:rsidRDefault="00084FA7" w:rsidP="00084FA7">
            <w:pPr>
              <w:jc w:val="center"/>
              <w:rPr>
                <w:rFonts w:ascii="Calibri" w:hAnsi="Calibri" w:cs="Calibri"/>
                <w:b/>
                <w:bCs/>
                <w:color w:val="000000"/>
                <w:sz w:val="22"/>
                <w:szCs w:val="22"/>
              </w:rPr>
            </w:pPr>
            <w:r w:rsidRPr="00D36229">
              <w:rPr>
                <w:rFonts w:ascii="Calibri" w:hAnsi="Calibri" w:cs="Calibri"/>
                <w:b/>
                <w:bCs/>
                <w:color w:val="000000"/>
                <w:sz w:val="22"/>
                <w:szCs w:val="22"/>
              </w:rPr>
              <w:t>Year</w:t>
            </w:r>
          </w:p>
        </w:tc>
        <w:tc>
          <w:tcPr>
            <w:tcW w:w="930" w:type="dxa"/>
            <w:tcBorders>
              <w:top w:val="nil"/>
              <w:left w:val="nil"/>
              <w:bottom w:val="nil"/>
              <w:right w:val="nil"/>
            </w:tcBorders>
            <w:shd w:val="clear" w:color="000000" w:fill="E2EFDA"/>
            <w:noWrap/>
            <w:vAlign w:val="bottom"/>
            <w:hideMark/>
          </w:tcPr>
          <w:p w14:paraId="0E943A15" w14:textId="77777777" w:rsidR="00084FA7" w:rsidRPr="00D36229" w:rsidRDefault="00084FA7" w:rsidP="00084FA7">
            <w:pPr>
              <w:jc w:val="center"/>
              <w:rPr>
                <w:rFonts w:ascii="Calibri" w:hAnsi="Calibri" w:cs="Calibri"/>
                <w:b/>
                <w:bCs/>
                <w:color w:val="000000"/>
                <w:sz w:val="22"/>
                <w:szCs w:val="22"/>
              </w:rPr>
            </w:pPr>
            <w:r w:rsidRPr="00D36229">
              <w:rPr>
                <w:rFonts w:ascii="Calibri" w:hAnsi="Calibri" w:cs="Calibri"/>
                <w:b/>
                <w:bCs/>
                <w:color w:val="000000"/>
                <w:sz w:val="22"/>
                <w:szCs w:val="22"/>
              </w:rPr>
              <w:t>PV Max</w:t>
            </w:r>
          </w:p>
        </w:tc>
        <w:tc>
          <w:tcPr>
            <w:tcW w:w="1735" w:type="dxa"/>
            <w:tcBorders>
              <w:top w:val="nil"/>
              <w:left w:val="nil"/>
              <w:bottom w:val="nil"/>
              <w:right w:val="nil"/>
            </w:tcBorders>
            <w:shd w:val="clear" w:color="000000" w:fill="E2EFDA"/>
            <w:noWrap/>
            <w:vAlign w:val="bottom"/>
            <w:hideMark/>
          </w:tcPr>
          <w:p w14:paraId="6784FC7C" w14:textId="77777777" w:rsidR="00084FA7" w:rsidRPr="00D36229" w:rsidRDefault="00084FA7" w:rsidP="00084FA7">
            <w:pPr>
              <w:jc w:val="center"/>
              <w:rPr>
                <w:rFonts w:ascii="Calibri" w:hAnsi="Calibri" w:cs="Calibri"/>
                <w:b/>
                <w:bCs/>
                <w:color w:val="000000"/>
                <w:sz w:val="22"/>
                <w:szCs w:val="22"/>
              </w:rPr>
            </w:pPr>
            <w:r w:rsidRPr="00D36229">
              <w:rPr>
                <w:rFonts w:ascii="Calibri" w:hAnsi="Calibri" w:cs="Calibri"/>
                <w:b/>
                <w:bCs/>
                <w:color w:val="000000"/>
                <w:sz w:val="22"/>
                <w:szCs w:val="22"/>
              </w:rPr>
              <w:t>PV on Summer Peak</w:t>
            </w:r>
          </w:p>
        </w:tc>
        <w:tc>
          <w:tcPr>
            <w:tcW w:w="327" w:type="dxa"/>
            <w:tcBorders>
              <w:top w:val="nil"/>
              <w:left w:val="nil"/>
              <w:bottom w:val="nil"/>
              <w:right w:val="nil"/>
            </w:tcBorders>
            <w:shd w:val="clear" w:color="000000" w:fill="E2EFDA"/>
          </w:tcPr>
          <w:p w14:paraId="73D71E79" w14:textId="77777777" w:rsidR="00084FA7" w:rsidRDefault="00084FA7" w:rsidP="00084FA7">
            <w:pPr>
              <w:jc w:val="center"/>
              <w:rPr>
                <w:rFonts w:ascii="Calibri" w:hAnsi="Calibri" w:cs="Calibri"/>
                <w:b/>
                <w:bCs/>
                <w:color w:val="000000"/>
                <w:sz w:val="16"/>
                <w:szCs w:val="16"/>
              </w:rPr>
            </w:pPr>
          </w:p>
        </w:tc>
        <w:tc>
          <w:tcPr>
            <w:tcW w:w="323" w:type="dxa"/>
            <w:tcBorders>
              <w:top w:val="nil"/>
              <w:left w:val="nil"/>
              <w:bottom w:val="nil"/>
              <w:right w:val="nil"/>
            </w:tcBorders>
            <w:shd w:val="clear" w:color="000000" w:fill="E2EFDA"/>
          </w:tcPr>
          <w:p w14:paraId="1EB90AB6" w14:textId="77777777" w:rsidR="00084FA7" w:rsidRDefault="00084FA7" w:rsidP="00084FA7">
            <w:pPr>
              <w:jc w:val="center"/>
              <w:rPr>
                <w:rFonts w:ascii="Calibri" w:hAnsi="Calibri" w:cs="Calibri"/>
                <w:b/>
                <w:bCs/>
                <w:color w:val="000000"/>
                <w:sz w:val="16"/>
                <w:szCs w:val="16"/>
              </w:rPr>
            </w:pPr>
          </w:p>
        </w:tc>
      </w:tr>
      <w:tr w:rsidR="00084FA7" w14:paraId="14BEAF9C" w14:textId="77777777" w:rsidTr="00D36229">
        <w:trPr>
          <w:trHeight w:val="382"/>
        </w:trPr>
        <w:tc>
          <w:tcPr>
            <w:tcW w:w="791" w:type="dxa"/>
            <w:tcBorders>
              <w:top w:val="nil"/>
              <w:left w:val="nil"/>
              <w:bottom w:val="nil"/>
              <w:right w:val="nil"/>
            </w:tcBorders>
            <w:shd w:val="clear" w:color="000000" w:fill="E2EFDA"/>
            <w:noWrap/>
            <w:vAlign w:val="bottom"/>
            <w:hideMark/>
          </w:tcPr>
          <w:p w14:paraId="19162A39"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2024</w:t>
            </w:r>
          </w:p>
        </w:tc>
        <w:tc>
          <w:tcPr>
            <w:tcW w:w="930" w:type="dxa"/>
            <w:tcBorders>
              <w:top w:val="nil"/>
              <w:left w:val="nil"/>
              <w:bottom w:val="nil"/>
              <w:right w:val="nil"/>
            </w:tcBorders>
            <w:shd w:val="clear" w:color="000000" w:fill="E2EFDA"/>
            <w:noWrap/>
            <w:vAlign w:val="bottom"/>
            <w:hideMark/>
          </w:tcPr>
          <w:p w14:paraId="025E7D31"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(1,467)</w:t>
            </w:r>
          </w:p>
        </w:tc>
        <w:tc>
          <w:tcPr>
            <w:tcW w:w="1735" w:type="dxa"/>
            <w:tcBorders>
              <w:top w:val="nil"/>
              <w:left w:val="nil"/>
              <w:bottom w:val="nil"/>
              <w:right w:val="nil"/>
            </w:tcBorders>
            <w:shd w:val="clear" w:color="000000" w:fill="E2EFDA"/>
            <w:noWrap/>
            <w:vAlign w:val="bottom"/>
            <w:hideMark/>
          </w:tcPr>
          <w:p w14:paraId="7DF561EA"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(1,061)</w:t>
            </w:r>
          </w:p>
        </w:tc>
        <w:tc>
          <w:tcPr>
            <w:tcW w:w="327" w:type="dxa"/>
            <w:tcBorders>
              <w:top w:val="nil"/>
              <w:left w:val="nil"/>
              <w:bottom w:val="nil"/>
              <w:right w:val="nil"/>
            </w:tcBorders>
            <w:shd w:val="clear" w:color="000000" w:fill="E2EFDA"/>
          </w:tcPr>
          <w:p w14:paraId="49BA5927" w14:textId="77777777" w:rsidR="00084FA7" w:rsidRDefault="00084FA7" w:rsidP="00084FA7">
            <w:pPr>
              <w:jc w:val="center"/>
              <w:rPr>
                <w:rFonts w:ascii="Calibri" w:hAnsi="Calibri" w:cs="Calibri"/>
                <w:color w:val="000000"/>
                <w:sz w:val="16"/>
                <w:szCs w:val="16"/>
              </w:rPr>
            </w:pPr>
          </w:p>
        </w:tc>
        <w:tc>
          <w:tcPr>
            <w:tcW w:w="323" w:type="dxa"/>
            <w:tcBorders>
              <w:top w:val="nil"/>
              <w:left w:val="nil"/>
              <w:bottom w:val="nil"/>
              <w:right w:val="nil"/>
            </w:tcBorders>
            <w:shd w:val="clear" w:color="000000" w:fill="E2EFDA"/>
          </w:tcPr>
          <w:p w14:paraId="0CFB036A" w14:textId="77777777" w:rsidR="00084FA7" w:rsidRDefault="00084FA7" w:rsidP="00084FA7">
            <w:pPr>
              <w:jc w:val="center"/>
              <w:rPr>
                <w:rFonts w:ascii="Calibri" w:hAnsi="Calibri" w:cs="Calibri"/>
                <w:color w:val="000000"/>
                <w:sz w:val="16"/>
                <w:szCs w:val="16"/>
              </w:rPr>
            </w:pPr>
          </w:p>
        </w:tc>
      </w:tr>
      <w:tr w:rsidR="00084FA7" w14:paraId="10075C4E" w14:textId="77777777" w:rsidTr="00D36229">
        <w:trPr>
          <w:trHeight w:val="382"/>
        </w:trPr>
        <w:tc>
          <w:tcPr>
            <w:tcW w:w="791" w:type="dxa"/>
            <w:tcBorders>
              <w:top w:val="nil"/>
              <w:left w:val="nil"/>
              <w:bottom w:val="nil"/>
              <w:right w:val="nil"/>
            </w:tcBorders>
            <w:shd w:val="clear" w:color="000000" w:fill="E2EFDA"/>
            <w:noWrap/>
            <w:vAlign w:val="bottom"/>
            <w:hideMark/>
          </w:tcPr>
          <w:p w14:paraId="7263ACB1"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2025</w:t>
            </w:r>
          </w:p>
        </w:tc>
        <w:tc>
          <w:tcPr>
            <w:tcW w:w="930" w:type="dxa"/>
            <w:tcBorders>
              <w:top w:val="nil"/>
              <w:left w:val="nil"/>
              <w:bottom w:val="nil"/>
              <w:right w:val="nil"/>
            </w:tcBorders>
            <w:shd w:val="clear" w:color="000000" w:fill="E2EFDA"/>
            <w:noWrap/>
            <w:vAlign w:val="bottom"/>
            <w:hideMark/>
          </w:tcPr>
          <w:p w14:paraId="74E4E4E7"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(2,021)</w:t>
            </w:r>
          </w:p>
        </w:tc>
        <w:tc>
          <w:tcPr>
            <w:tcW w:w="1735" w:type="dxa"/>
            <w:tcBorders>
              <w:top w:val="nil"/>
              <w:left w:val="nil"/>
              <w:bottom w:val="nil"/>
              <w:right w:val="nil"/>
            </w:tcBorders>
            <w:shd w:val="clear" w:color="000000" w:fill="E2EFDA"/>
            <w:noWrap/>
            <w:vAlign w:val="bottom"/>
            <w:hideMark/>
          </w:tcPr>
          <w:p w14:paraId="0C2E739F"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(1,472)</w:t>
            </w:r>
          </w:p>
        </w:tc>
        <w:tc>
          <w:tcPr>
            <w:tcW w:w="327" w:type="dxa"/>
            <w:tcBorders>
              <w:top w:val="nil"/>
              <w:left w:val="nil"/>
              <w:bottom w:val="nil"/>
              <w:right w:val="nil"/>
            </w:tcBorders>
            <w:shd w:val="clear" w:color="000000" w:fill="E2EFDA"/>
          </w:tcPr>
          <w:p w14:paraId="6D165E6B" w14:textId="77777777" w:rsidR="00084FA7" w:rsidRDefault="00084FA7" w:rsidP="00084FA7">
            <w:pPr>
              <w:jc w:val="center"/>
              <w:rPr>
                <w:rFonts w:ascii="Calibri" w:hAnsi="Calibri" w:cs="Calibri"/>
                <w:color w:val="000000"/>
                <w:sz w:val="16"/>
                <w:szCs w:val="16"/>
              </w:rPr>
            </w:pPr>
          </w:p>
        </w:tc>
        <w:tc>
          <w:tcPr>
            <w:tcW w:w="323" w:type="dxa"/>
            <w:tcBorders>
              <w:top w:val="nil"/>
              <w:left w:val="nil"/>
              <w:bottom w:val="nil"/>
              <w:right w:val="nil"/>
            </w:tcBorders>
            <w:shd w:val="clear" w:color="000000" w:fill="E2EFDA"/>
          </w:tcPr>
          <w:p w14:paraId="0E312FE7" w14:textId="77777777" w:rsidR="00084FA7" w:rsidRDefault="00084FA7" w:rsidP="00084FA7">
            <w:pPr>
              <w:jc w:val="center"/>
              <w:rPr>
                <w:rFonts w:ascii="Calibri" w:hAnsi="Calibri" w:cs="Calibri"/>
                <w:color w:val="000000"/>
                <w:sz w:val="16"/>
                <w:szCs w:val="16"/>
              </w:rPr>
            </w:pPr>
          </w:p>
        </w:tc>
      </w:tr>
      <w:tr w:rsidR="00084FA7" w14:paraId="75D5D56D" w14:textId="77777777" w:rsidTr="00D36229">
        <w:trPr>
          <w:trHeight w:val="382"/>
        </w:trPr>
        <w:tc>
          <w:tcPr>
            <w:tcW w:w="791" w:type="dxa"/>
            <w:tcBorders>
              <w:top w:val="nil"/>
              <w:left w:val="nil"/>
              <w:bottom w:val="nil"/>
              <w:right w:val="nil"/>
            </w:tcBorders>
            <w:shd w:val="clear" w:color="000000" w:fill="E2EFDA"/>
            <w:noWrap/>
            <w:vAlign w:val="bottom"/>
            <w:hideMark/>
          </w:tcPr>
          <w:p w14:paraId="056CD656"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2026</w:t>
            </w:r>
          </w:p>
        </w:tc>
        <w:tc>
          <w:tcPr>
            <w:tcW w:w="930" w:type="dxa"/>
            <w:tcBorders>
              <w:top w:val="nil"/>
              <w:left w:val="nil"/>
              <w:bottom w:val="nil"/>
              <w:right w:val="nil"/>
            </w:tcBorders>
            <w:shd w:val="clear" w:color="000000" w:fill="E2EFDA"/>
            <w:noWrap/>
            <w:vAlign w:val="bottom"/>
            <w:hideMark/>
          </w:tcPr>
          <w:p w14:paraId="3B6744FC"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(2,743)</w:t>
            </w:r>
          </w:p>
        </w:tc>
        <w:tc>
          <w:tcPr>
            <w:tcW w:w="1735" w:type="dxa"/>
            <w:tcBorders>
              <w:top w:val="nil"/>
              <w:left w:val="nil"/>
              <w:bottom w:val="nil"/>
              <w:right w:val="nil"/>
            </w:tcBorders>
            <w:shd w:val="clear" w:color="000000" w:fill="E2EFDA"/>
            <w:noWrap/>
            <w:vAlign w:val="bottom"/>
            <w:hideMark/>
          </w:tcPr>
          <w:p w14:paraId="03CE43AE"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(1,996)</w:t>
            </w:r>
          </w:p>
        </w:tc>
        <w:tc>
          <w:tcPr>
            <w:tcW w:w="327" w:type="dxa"/>
            <w:tcBorders>
              <w:top w:val="nil"/>
              <w:left w:val="nil"/>
              <w:bottom w:val="nil"/>
              <w:right w:val="nil"/>
            </w:tcBorders>
            <w:shd w:val="clear" w:color="000000" w:fill="E2EFDA"/>
          </w:tcPr>
          <w:p w14:paraId="1B070C4E" w14:textId="77777777" w:rsidR="00084FA7" w:rsidRDefault="00084FA7" w:rsidP="00084FA7">
            <w:pPr>
              <w:jc w:val="center"/>
              <w:rPr>
                <w:rFonts w:ascii="Calibri" w:hAnsi="Calibri" w:cs="Calibri"/>
                <w:color w:val="000000"/>
                <w:sz w:val="16"/>
                <w:szCs w:val="16"/>
              </w:rPr>
            </w:pPr>
          </w:p>
        </w:tc>
        <w:tc>
          <w:tcPr>
            <w:tcW w:w="323" w:type="dxa"/>
            <w:tcBorders>
              <w:top w:val="nil"/>
              <w:left w:val="nil"/>
              <w:bottom w:val="nil"/>
              <w:right w:val="nil"/>
            </w:tcBorders>
            <w:shd w:val="clear" w:color="000000" w:fill="E2EFDA"/>
          </w:tcPr>
          <w:p w14:paraId="786FD89C" w14:textId="77777777" w:rsidR="00084FA7" w:rsidRDefault="00084FA7" w:rsidP="00084FA7">
            <w:pPr>
              <w:jc w:val="center"/>
              <w:rPr>
                <w:rFonts w:ascii="Calibri" w:hAnsi="Calibri" w:cs="Calibri"/>
                <w:color w:val="000000"/>
                <w:sz w:val="16"/>
                <w:szCs w:val="16"/>
              </w:rPr>
            </w:pPr>
          </w:p>
        </w:tc>
      </w:tr>
      <w:tr w:rsidR="00084FA7" w14:paraId="4B97C94A" w14:textId="77777777" w:rsidTr="00D36229">
        <w:trPr>
          <w:trHeight w:val="382"/>
        </w:trPr>
        <w:tc>
          <w:tcPr>
            <w:tcW w:w="791" w:type="dxa"/>
            <w:tcBorders>
              <w:top w:val="nil"/>
              <w:left w:val="nil"/>
              <w:bottom w:val="nil"/>
              <w:right w:val="nil"/>
            </w:tcBorders>
            <w:shd w:val="clear" w:color="000000" w:fill="E2EFDA"/>
            <w:noWrap/>
            <w:vAlign w:val="bottom"/>
            <w:hideMark/>
          </w:tcPr>
          <w:p w14:paraId="2769A113"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2027</w:t>
            </w:r>
          </w:p>
        </w:tc>
        <w:tc>
          <w:tcPr>
            <w:tcW w:w="930" w:type="dxa"/>
            <w:tcBorders>
              <w:top w:val="nil"/>
              <w:left w:val="nil"/>
              <w:bottom w:val="nil"/>
              <w:right w:val="nil"/>
            </w:tcBorders>
            <w:shd w:val="clear" w:color="000000" w:fill="E2EFDA"/>
            <w:noWrap/>
            <w:vAlign w:val="bottom"/>
            <w:hideMark/>
          </w:tcPr>
          <w:p w14:paraId="1A550DBA"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(3,658)</w:t>
            </w:r>
          </w:p>
        </w:tc>
        <w:tc>
          <w:tcPr>
            <w:tcW w:w="1735" w:type="dxa"/>
            <w:tcBorders>
              <w:top w:val="nil"/>
              <w:left w:val="nil"/>
              <w:bottom w:val="nil"/>
              <w:right w:val="nil"/>
            </w:tcBorders>
            <w:shd w:val="clear" w:color="000000" w:fill="E2EFDA"/>
            <w:noWrap/>
            <w:vAlign w:val="bottom"/>
            <w:hideMark/>
          </w:tcPr>
          <w:p w14:paraId="4BFC5869"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(2,649)</w:t>
            </w:r>
          </w:p>
        </w:tc>
        <w:tc>
          <w:tcPr>
            <w:tcW w:w="327" w:type="dxa"/>
            <w:tcBorders>
              <w:top w:val="nil"/>
              <w:left w:val="nil"/>
              <w:bottom w:val="nil"/>
              <w:right w:val="nil"/>
            </w:tcBorders>
            <w:shd w:val="clear" w:color="000000" w:fill="E2EFDA"/>
          </w:tcPr>
          <w:p w14:paraId="2AD884B2" w14:textId="77777777" w:rsidR="00084FA7" w:rsidRDefault="00084FA7" w:rsidP="00084FA7">
            <w:pPr>
              <w:jc w:val="center"/>
              <w:rPr>
                <w:rFonts w:ascii="Calibri" w:hAnsi="Calibri" w:cs="Calibri"/>
                <w:color w:val="000000"/>
                <w:sz w:val="16"/>
                <w:szCs w:val="16"/>
              </w:rPr>
            </w:pPr>
          </w:p>
        </w:tc>
        <w:tc>
          <w:tcPr>
            <w:tcW w:w="323" w:type="dxa"/>
            <w:tcBorders>
              <w:top w:val="nil"/>
              <w:left w:val="nil"/>
              <w:bottom w:val="nil"/>
              <w:right w:val="nil"/>
            </w:tcBorders>
            <w:shd w:val="clear" w:color="000000" w:fill="E2EFDA"/>
          </w:tcPr>
          <w:p w14:paraId="4F675E41" w14:textId="77777777" w:rsidR="00084FA7" w:rsidRDefault="00084FA7" w:rsidP="00084FA7">
            <w:pPr>
              <w:jc w:val="center"/>
              <w:rPr>
                <w:rFonts w:ascii="Calibri" w:hAnsi="Calibri" w:cs="Calibri"/>
                <w:color w:val="000000"/>
                <w:sz w:val="16"/>
                <w:szCs w:val="16"/>
              </w:rPr>
            </w:pPr>
          </w:p>
        </w:tc>
      </w:tr>
      <w:tr w:rsidR="00084FA7" w14:paraId="2BA840DA" w14:textId="77777777" w:rsidTr="00D36229">
        <w:trPr>
          <w:trHeight w:val="382"/>
        </w:trPr>
        <w:tc>
          <w:tcPr>
            <w:tcW w:w="791" w:type="dxa"/>
            <w:tcBorders>
              <w:top w:val="nil"/>
              <w:left w:val="nil"/>
              <w:bottom w:val="nil"/>
              <w:right w:val="nil"/>
            </w:tcBorders>
            <w:shd w:val="clear" w:color="000000" w:fill="E2EFDA"/>
            <w:noWrap/>
            <w:vAlign w:val="bottom"/>
            <w:hideMark/>
          </w:tcPr>
          <w:p w14:paraId="19120862"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2028</w:t>
            </w:r>
          </w:p>
        </w:tc>
        <w:tc>
          <w:tcPr>
            <w:tcW w:w="930" w:type="dxa"/>
            <w:tcBorders>
              <w:top w:val="nil"/>
              <w:left w:val="nil"/>
              <w:bottom w:val="nil"/>
              <w:right w:val="nil"/>
            </w:tcBorders>
            <w:shd w:val="clear" w:color="000000" w:fill="E2EFDA"/>
            <w:noWrap/>
            <w:vAlign w:val="bottom"/>
            <w:hideMark/>
          </w:tcPr>
          <w:p w14:paraId="63D84BAD"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(4,784)</w:t>
            </w:r>
          </w:p>
        </w:tc>
        <w:tc>
          <w:tcPr>
            <w:tcW w:w="1735" w:type="dxa"/>
            <w:tcBorders>
              <w:top w:val="nil"/>
              <w:left w:val="nil"/>
              <w:bottom w:val="nil"/>
              <w:right w:val="nil"/>
            </w:tcBorders>
            <w:shd w:val="clear" w:color="000000" w:fill="E2EFDA"/>
            <w:noWrap/>
            <w:vAlign w:val="bottom"/>
            <w:hideMark/>
          </w:tcPr>
          <w:p w14:paraId="7BDC0EE6"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0</w:t>
            </w:r>
          </w:p>
        </w:tc>
        <w:tc>
          <w:tcPr>
            <w:tcW w:w="327" w:type="dxa"/>
            <w:tcBorders>
              <w:top w:val="nil"/>
              <w:left w:val="nil"/>
              <w:bottom w:val="nil"/>
              <w:right w:val="nil"/>
            </w:tcBorders>
            <w:shd w:val="clear" w:color="000000" w:fill="E2EFDA"/>
          </w:tcPr>
          <w:p w14:paraId="443492B4" w14:textId="77777777" w:rsidR="00084FA7" w:rsidRDefault="00084FA7" w:rsidP="00084FA7">
            <w:pPr>
              <w:jc w:val="center"/>
              <w:rPr>
                <w:rFonts w:ascii="Calibri" w:hAnsi="Calibri" w:cs="Calibri"/>
                <w:color w:val="000000"/>
                <w:sz w:val="16"/>
                <w:szCs w:val="16"/>
              </w:rPr>
            </w:pPr>
          </w:p>
        </w:tc>
        <w:tc>
          <w:tcPr>
            <w:tcW w:w="323" w:type="dxa"/>
            <w:tcBorders>
              <w:top w:val="nil"/>
              <w:left w:val="nil"/>
              <w:bottom w:val="nil"/>
              <w:right w:val="nil"/>
            </w:tcBorders>
            <w:shd w:val="clear" w:color="000000" w:fill="E2EFDA"/>
          </w:tcPr>
          <w:p w14:paraId="2FECD4B0" w14:textId="77777777" w:rsidR="00084FA7" w:rsidRDefault="00084FA7" w:rsidP="00084FA7">
            <w:pPr>
              <w:jc w:val="center"/>
              <w:rPr>
                <w:rFonts w:ascii="Calibri" w:hAnsi="Calibri" w:cs="Calibri"/>
                <w:color w:val="000000"/>
                <w:sz w:val="16"/>
                <w:szCs w:val="16"/>
              </w:rPr>
            </w:pPr>
          </w:p>
        </w:tc>
      </w:tr>
      <w:tr w:rsidR="00084FA7" w14:paraId="7907914E" w14:textId="77777777" w:rsidTr="00D36229">
        <w:trPr>
          <w:trHeight w:val="382"/>
        </w:trPr>
        <w:tc>
          <w:tcPr>
            <w:tcW w:w="791" w:type="dxa"/>
            <w:tcBorders>
              <w:top w:val="nil"/>
              <w:left w:val="nil"/>
              <w:bottom w:val="nil"/>
              <w:right w:val="nil"/>
            </w:tcBorders>
            <w:shd w:val="clear" w:color="000000" w:fill="E2EFDA"/>
            <w:noWrap/>
            <w:vAlign w:val="bottom"/>
            <w:hideMark/>
          </w:tcPr>
          <w:p w14:paraId="70CCA7A9"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 2029</w:t>
            </w:r>
          </w:p>
        </w:tc>
        <w:tc>
          <w:tcPr>
            <w:tcW w:w="930" w:type="dxa"/>
            <w:tcBorders>
              <w:top w:val="nil"/>
              <w:left w:val="nil"/>
              <w:bottom w:val="nil"/>
              <w:right w:val="nil"/>
            </w:tcBorders>
            <w:shd w:val="clear" w:color="000000" w:fill="E2EFDA"/>
            <w:noWrap/>
            <w:vAlign w:val="bottom"/>
            <w:hideMark/>
          </w:tcPr>
          <w:p w14:paraId="7648EEA2"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(6,128)</w:t>
            </w:r>
          </w:p>
        </w:tc>
        <w:tc>
          <w:tcPr>
            <w:tcW w:w="1735" w:type="dxa"/>
            <w:tcBorders>
              <w:top w:val="nil"/>
              <w:left w:val="nil"/>
              <w:bottom w:val="nil"/>
              <w:right w:val="nil"/>
            </w:tcBorders>
            <w:shd w:val="clear" w:color="000000" w:fill="E2EFDA"/>
            <w:noWrap/>
            <w:vAlign w:val="bottom"/>
            <w:hideMark/>
          </w:tcPr>
          <w:p w14:paraId="66F7C0F3" w14:textId="77777777" w:rsidR="00084FA7" w:rsidRPr="00D36229" w:rsidRDefault="00084FA7" w:rsidP="00084FA7">
            <w:pPr>
              <w:jc w:val="center"/>
              <w:rPr>
                <w:rFonts w:ascii="Calibri" w:hAnsi="Calibri" w:cs="Calibri"/>
                <w:color w:val="000000"/>
                <w:sz w:val="22"/>
                <w:szCs w:val="22"/>
              </w:rPr>
            </w:pPr>
            <w:r w:rsidRPr="00D36229">
              <w:rPr>
                <w:rFonts w:ascii="Calibri" w:hAnsi="Calibri" w:cs="Calibri"/>
                <w:color w:val="000000"/>
                <w:sz w:val="22"/>
                <w:szCs w:val="22"/>
              </w:rPr>
              <w:t>0</w:t>
            </w:r>
          </w:p>
        </w:tc>
        <w:tc>
          <w:tcPr>
            <w:tcW w:w="327" w:type="dxa"/>
            <w:tcBorders>
              <w:top w:val="nil"/>
              <w:left w:val="nil"/>
              <w:bottom w:val="nil"/>
              <w:right w:val="nil"/>
            </w:tcBorders>
            <w:shd w:val="clear" w:color="000000" w:fill="E2EFDA"/>
          </w:tcPr>
          <w:p w14:paraId="49B20D1C" w14:textId="77777777" w:rsidR="00084FA7" w:rsidRDefault="00084FA7" w:rsidP="00084FA7">
            <w:pPr>
              <w:jc w:val="center"/>
              <w:rPr>
                <w:rFonts w:ascii="Calibri" w:hAnsi="Calibri" w:cs="Calibri"/>
                <w:color w:val="000000"/>
                <w:sz w:val="16"/>
                <w:szCs w:val="16"/>
              </w:rPr>
            </w:pPr>
          </w:p>
        </w:tc>
        <w:tc>
          <w:tcPr>
            <w:tcW w:w="323" w:type="dxa"/>
            <w:tcBorders>
              <w:top w:val="nil"/>
              <w:left w:val="nil"/>
              <w:bottom w:val="nil"/>
              <w:right w:val="nil"/>
            </w:tcBorders>
            <w:shd w:val="clear" w:color="000000" w:fill="E2EFDA"/>
          </w:tcPr>
          <w:p w14:paraId="4EADB50D" w14:textId="77777777" w:rsidR="00084FA7" w:rsidRDefault="00084FA7" w:rsidP="00084FA7">
            <w:pPr>
              <w:jc w:val="center"/>
              <w:rPr>
                <w:rFonts w:ascii="Calibri" w:hAnsi="Calibri" w:cs="Calibri"/>
                <w:color w:val="000000"/>
                <w:sz w:val="16"/>
                <w:szCs w:val="16"/>
              </w:rPr>
            </w:pPr>
          </w:p>
        </w:tc>
      </w:tr>
    </w:tbl>
    <w:p w14:paraId="122F9C59" w14:textId="2476021D" w:rsidR="000B289C" w:rsidRDefault="000B289C" w:rsidP="00CF0BFA">
      <w:pPr>
        <w:pStyle w:val="StyleLinespacingMultiple115li"/>
        <w:rPr>
          <w:bCs/>
        </w:rPr>
      </w:pPr>
    </w:p>
    <w:p w14:paraId="5E3BE99A" w14:textId="3B7D9555" w:rsidR="007F6339" w:rsidRDefault="007F6339" w:rsidP="00CF0BFA">
      <w:pPr>
        <w:pStyle w:val="StyleLinespacingMultiple115li"/>
        <w:rPr>
          <w:bCs/>
        </w:rPr>
      </w:pPr>
    </w:p>
    <w:p w14:paraId="5BD6B64B" w14:textId="77777777" w:rsidR="007F6339" w:rsidRDefault="007F6339" w:rsidP="00CF0BFA">
      <w:pPr>
        <w:pStyle w:val="StyleLinespacingMultiple115li"/>
        <w:rPr>
          <w:bCs/>
        </w:rPr>
      </w:pPr>
    </w:p>
    <w:p w14:paraId="53DF4E28" w14:textId="38C63AF6" w:rsidR="00930C7C" w:rsidRDefault="00930C7C" w:rsidP="00CF0BFA">
      <w:pPr>
        <w:pStyle w:val="StyleLinespacingMultiple115li"/>
        <w:rPr>
          <w:bCs/>
        </w:rPr>
      </w:pPr>
    </w:p>
    <w:p w14:paraId="27D0AE75" w14:textId="0BC19619" w:rsidR="00930C7C" w:rsidRDefault="00930C7C" w:rsidP="00CF0BFA">
      <w:pPr>
        <w:pStyle w:val="StyleLinespacingMultiple115li"/>
        <w:rPr>
          <w:bCs/>
        </w:rPr>
      </w:pPr>
    </w:p>
    <w:p w14:paraId="1CA7FD86" w14:textId="73B5B93F" w:rsidR="00930C7C" w:rsidRDefault="00930C7C" w:rsidP="00CF0BFA">
      <w:pPr>
        <w:pStyle w:val="StyleLinespacingMultiple115li"/>
        <w:rPr>
          <w:bCs/>
        </w:rPr>
      </w:pPr>
    </w:p>
    <w:p w14:paraId="1D908F3D" w14:textId="4DD3D99F" w:rsidR="00930C7C" w:rsidRDefault="00930C7C" w:rsidP="00CF0BFA">
      <w:pPr>
        <w:pStyle w:val="StyleLinespacingMultiple115li"/>
        <w:rPr>
          <w:bCs/>
        </w:rPr>
      </w:pPr>
    </w:p>
    <w:p w14:paraId="53508705" w14:textId="77777777" w:rsidR="00930C7C" w:rsidRPr="00CF0BFA" w:rsidRDefault="00930C7C" w:rsidP="00CF0BFA">
      <w:pPr>
        <w:pStyle w:val="StyleLinespacingMultiple115li"/>
        <w:rPr>
          <w:bCs/>
        </w:rPr>
      </w:pPr>
    </w:p>
    <w:p w14:paraId="03FA9E7A" w14:textId="77777777" w:rsidR="00CF0BFA" w:rsidRPr="00CF0BFA" w:rsidRDefault="00CF0BFA" w:rsidP="00CF0BFA">
      <w:pPr>
        <w:pStyle w:val="StyleLinespacingMultiple115li"/>
        <w:rPr>
          <w:bCs/>
        </w:rPr>
      </w:pPr>
    </w:p>
    <w:p w14:paraId="409E5941" w14:textId="77777777" w:rsidR="00CF0BFA" w:rsidRPr="00CF0BFA" w:rsidRDefault="00CF0BFA" w:rsidP="00CF0BFA">
      <w:pPr>
        <w:pStyle w:val="StyleLinespacingMultiple115li"/>
        <w:rPr>
          <w:bCs/>
        </w:rPr>
      </w:pPr>
    </w:p>
    <w:p w14:paraId="27F6B976" w14:textId="77777777" w:rsidR="00DF2C4D" w:rsidRDefault="00DF2C4D" w:rsidP="00CF0BFA">
      <w:pPr>
        <w:pStyle w:val="StyleLinespacingMultiple115li"/>
        <w:rPr>
          <w:bCs/>
          <w:u w:val="single"/>
        </w:rPr>
      </w:pPr>
    </w:p>
    <w:p w14:paraId="15D2EF87" w14:textId="2E0C466E" w:rsidR="00CF0BFA" w:rsidRPr="00CF0BFA" w:rsidRDefault="00CF0BFA" w:rsidP="00CF0BFA">
      <w:pPr>
        <w:pStyle w:val="StyleLinespacingMultiple115li"/>
        <w:rPr>
          <w:bCs/>
          <w:u w:val="single"/>
        </w:rPr>
      </w:pPr>
      <w:r w:rsidRPr="00CF0BFA">
        <w:rPr>
          <w:bCs/>
          <w:u w:val="single"/>
        </w:rPr>
        <w:t>Large Flexible Loads (LFLs)</w:t>
      </w:r>
    </w:p>
    <w:p w14:paraId="583BCA82" w14:textId="77777777" w:rsidR="00CF0BFA" w:rsidRPr="00CF0BFA" w:rsidRDefault="00CF0BFA" w:rsidP="00CF0BFA">
      <w:pPr>
        <w:pStyle w:val="StyleLinespacingMultiple115li"/>
        <w:rPr>
          <w:bCs/>
        </w:rPr>
      </w:pPr>
    </w:p>
    <w:p w14:paraId="08D4CD79" w14:textId="1C5FD3CC" w:rsidR="00CF0BFA" w:rsidRPr="00CF0BFA" w:rsidRDefault="00BF1295" w:rsidP="00CF0BFA">
      <w:pPr>
        <w:pStyle w:val="StyleLinespacingMultiple115li"/>
        <w:rPr>
          <w:bCs/>
        </w:rPr>
      </w:pPr>
      <w:r>
        <w:rPr>
          <w:bCs/>
        </w:rPr>
        <w:t xml:space="preserve">Large Flexible Loads are a </w:t>
      </w:r>
      <w:r w:rsidR="00CF0BFA" w:rsidRPr="00CF0BFA">
        <w:rPr>
          <w:bCs/>
        </w:rPr>
        <w:t xml:space="preserve">new type of load </w:t>
      </w:r>
      <w:r>
        <w:rPr>
          <w:bCs/>
        </w:rPr>
        <w:t xml:space="preserve">that </w:t>
      </w:r>
      <w:r w:rsidR="00CF0BFA" w:rsidRPr="00CF0BFA">
        <w:rPr>
          <w:bCs/>
        </w:rPr>
        <w:t xml:space="preserve">has been growing </w:t>
      </w:r>
      <w:r>
        <w:rPr>
          <w:bCs/>
        </w:rPr>
        <w:t xml:space="preserve">rapidly </w:t>
      </w:r>
      <w:r w:rsidR="00CF0BFA" w:rsidRPr="00CF0BFA">
        <w:rPr>
          <w:bCs/>
        </w:rPr>
        <w:t>in the ERCOT service territory.  This load commonly includes crypto miners.  This load can come online quickly and is very responsive to real time prices.  Large flexible loads are categorized as:</w:t>
      </w:r>
    </w:p>
    <w:p w14:paraId="66DB522D" w14:textId="77777777" w:rsidR="00CF0BFA" w:rsidRPr="00CF0BFA" w:rsidRDefault="00CF0BFA" w:rsidP="00CF0BFA">
      <w:pPr>
        <w:pStyle w:val="StyleLinespacingMultiple115li"/>
        <w:rPr>
          <w:bCs/>
        </w:rPr>
      </w:pPr>
    </w:p>
    <w:p w14:paraId="06EC8389" w14:textId="7A6FAD5F" w:rsidR="00CF0BFA" w:rsidRPr="00CF0BFA" w:rsidRDefault="00CF0BFA" w:rsidP="00CF0BFA">
      <w:pPr>
        <w:pStyle w:val="StyleLinespacingMultiple115li"/>
        <w:rPr>
          <w:bCs/>
        </w:rPr>
      </w:pPr>
      <w:r w:rsidRPr="00CF0BFA">
        <w:rPr>
          <w:bCs/>
        </w:rPr>
        <w:t>1.</w:t>
      </w:r>
      <w:r w:rsidR="00D42FCE">
        <w:rPr>
          <w:bCs/>
        </w:rPr>
        <w:t xml:space="preserve">  </w:t>
      </w:r>
      <w:r w:rsidRPr="00CF0BFA">
        <w:rPr>
          <w:bCs/>
        </w:rPr>
        <w:t>Co-located meaning that the load is behind existing generation and</w:t>
      </w:r>
    </w:p>
    <w:p w14:paraId="3A7EC38F" w14:textId="24577682" w:rsidR="00CF0BFA" w:rsidRPr="00CF0BFA" w:rsidRDefault="00CF0BFA" w:rsidP="00CF0BFA">
      <w:pPr>
        <w:pStyle w:val="StyleLinespacingMultiple115li"/>
        <w:rPr>
          <w:bCs/>
        </w:rPr>
      </w:pPr>
      <w:r w:rsidRPr="00CF0BFA">
        <w:rPr>
          <w:bCs/>
        </w:rPr>
        <w:t>2.</w:t>
      </w:r>
      <w:r w:rsidR="00D42FCE">
        <w:rPr>
          <w:bCs/>
        </w:rPr>
        <w:t xml:space="preserve"> </w:t>
      </w:r>
      <w:r w:rsidRPr="00CF0BFA">
        <w:rPr>
          <w:bCs/>
        </w:rPr>
        <w:t>Non co-located meaning that the load is not behind existing generation.</w:t>
      </w:r>
    </w:p>
    <w:p w14:paraId="766E110D" w14:textId="594C1FA6" w:rsidR="00856893" w:rsidRPr="002264A3" w:rsidRDefault="00CF0BFA" w:rsidP="008B4E45">
      <w:pPr>
        <w:pStyle w:val="StyleLinespacingMultiple115li"/>
        <w:rPr>
          <w:bCs/>
        </w:rPr>
      </w:pPr>
      <w:r w:rsidRPr="00CF0BFA">
        <w:rPr>
          <w:bCs/>
        </w:rPr>
        <w:t xml:space="preserve">There is approximately </w:t>
      </w:r>
      <w:r w:rsidR="004F3B97">
        <w:rPr>
          <w:bCs/>
        </w:rPr>
        <w:t>2,3</w:t>
      </w:r>
      <w:r w:rsidRPr="00CF0BFA">
        <w:rPr>
          <w:bCs/>
        </w:rPr>
        <w:t>00 MWs of LFLs on the ERCOT system.  The 2024 LTDEF i</w:t>
      </w:r>
      <w:r w:rsidR="00BF1295">
        <w:rPr>
          <w:bCs/>
        </w:rPr>
        <w:t>ncludes</w:t>
      </w:r>
      <w:r w:rsidRPr="00CF0BFA">
        <w:rPr>
          <w:bCs/>
        </w:rPr>
        <w:t xml:space="preserve"> a LFL forecast derived by historical load and seasonal variables. The demand contribution of LFLs at the time of ERCOT’s Summer Peak </w:t>
      </w:r>
      <w:r w:rsidR="00BF1295">
        <w:rPr>
          <w:bCs/>
        </w:rPr>
        <w:t xml:space="preserve">was assumed </w:t>
      </w:r>
      <w:r w:rsidRPr="00CF0BFA">
        <w:rPr>
          <w:bCs/>
        </w:rPr>
        <w:t xml:space="preserve">to be 15% of their total demand based on </w:t>
      </w:r>
      <w:r w:rsidR="00BF1295">
        <w:rPr>
          <w:bCs/>
        </w:rPr>
        <w:t>observed</w:t>
      </w:r>
      <w:r w:rsidRPr="00CF0BFA">
        <w:rPr>
          <w:bCs/>
        </w:rPr>
        <w:t xml:space="preserve"> </w:t>
      </w:r>
      <w:r w:rsidR="00722886">
        <w:rPr>
          <w:bCs/>
        </w:rPr>
        <w:t xml:space="preserve">historical </w:t>
      </w:r>
      <w:r w:rsidRPr="00CF0BFA">
        <w:rPr>
          <w:bCs/>
        </w:rPr>
        <w:t xml:space="preserve">summer response. </w:t>
      </w:r>
    </w:p>
    <w:p w14:paraId="58CE4CAA" w14:textId="77777777" w:rsidR="00A009CA" w:rsidRDefault="00A009CA" w:rsidP="00CB3536">
      <w:pPr>
        <w:pStyle w:val="StyleLinespacingMultiple115li"/>
        <w:rPr>
          <w:u w:val="single"/>
        </w:rPr>
      </w:pPr>
    </w:p>
    <w:p w14:paraId="218F0915" w14:textId="569F4B98" w:rsidR="006B4F0F" w:rsidRPr="006B4F0F" w:rsidRDefault="00BF1295" w:rsidP="00CB3536">
      <w:pPr>
        <w:pStyle w:val="StyleLinespacingMultiple115li"/>
        <w:rPr>
          <w:u w:val="single"/>
        </w:rPr>
      </w:pPr>
      <w:r>
        <w:rPr>
          <w:u w:val="single"/>
        </w:rPr>
        <w:t xml:space="preserve">Other </w:t>
      </w:r>
      <w:r w:rsidR="00D30FA2" w:rsidRPr="00684854">
        <w:rPr>
          <w:u w:val="single"/>
        </w:rPr>
        <w:t>Forecast Adjustments</w:t>
      </w:r>
      <w:r w:rsidR="007E3657" w:rsidRPr="00684854">
        <w:rPr>
          <w:u w:val="single"/>
        </w:rPr>
        <w:t xml:space="preserve"> </w:t>
      </w:r>
    </w:p>
    <w:p w14:paraId="18998881" w14:textId="77777777" w:rsidR="0093737C" w:rsidRDefault="0093737C" w:rsidP="00E16F9D">
      <w:pPr>
        <w:pStyle w:val="StyleLinespacingMultiple115li"/>
      </w:pPr>
    </w:p>
    <w:p w14:paraId="36516653" w14:textId="6EF96D48" w:rsidR="00E16F9D" w:rsidRPr="00967420" w:rsidRDefault="00BF1295" w:rsidP="00E16F9D">
      <w:pPr>
        <w:pStyle w:val="StyleLinespacingMultiple115li"/>
      </w:pPr>
      <w:r>
        <w:t xml:space="preserve">A portion of the load in the city of </w:t>
      </w:r>
      <w:r w:rsidR="00E16F9D" w:rsidRPr="00967420">
        <w:t xml:space="preserve">Lubbock </w:t>
      </w:r>
      <w:r>
        <w:t xml:space="preserve">was moved into the </w:t>
      </w:r>
      <w:r w:rsidR="00E16F9D" w:rsidRPr="00967420">
        <w:t>ERCOT</w:t>
      </w:r>
      <w:r>
        <w:t xml:space="preserve"> Region</w:t>
      </w:r>
      <w:r w:rsidR="00E16F9D" w:rsidRPr="00967420">
        <w:t xml:space="preserve"> in 2021</w:t>
      </w:r>
      <w:r>
        <w:t>, and the entire load was moved into ERCOT by the end of 2023.</w:t>
      </w:r>
      <w:r w:rsidR="00E16F9D" w:rsidRPr="00967420">
        <w:t xml:space="preserve"> An hourly forecast was created for Lubbock based on Lubbock</w:t>
      </w:r>
      <w:r>
        <w:t xml:space="preserve"> Power and Light’s (LP&amp;L) p</w:t>
      </w:r>
      <w:r w:rsidR="00E16F9D" w:rsidRPr="00967420">
        <w:t xml:space="preserve">eak </w:t>
      </w:r>
      <w:r>
        <w:t>f</w:t>
      </w:r>
      <w:r w:rsidR="00E16F9D" w:rsidRPr="00967420">
        <w:t>orecast of its own growth. This separate forecast for Lubbock was added to the ERCOT forecast from L</w:t>
      </w:r>
      <w:r w:rsidR="006946AB">
        <w:t xml:space="preserve">P&amp;P’s </w:t>
      </w:r>
      <w:r w:rsidR="00E16F9D" w:rsidRPr="00967420">
        <w:t>projected integration date onward.</w:t>
      </w:r>
      <w:r w:rsidR="00E16F9D">
        <w:t xml:space="preserve">  L</w:t>
      </w:r>
      <w:r w:rsidR="006946AB">
        <w:t>P&amp;P’s</w:t>
      </w:r>
      <w:r w:rsidR="00E16F9D">
        <w:t xml:space="preserve"> forecasted load was added to the North weather zone.</w:t>
      </w:r>
    </w:p>
    <w:p w14:paraId="6BCF3E24" w14:textId="77777777" w:rsidR="00E16F9D" w:rsidRDefault="00E16F9D" w:rsidP="00D13D56">
      <w:pPr>
        <w:pStyle w:val="StyleLinespacingMultiple115li"/>
      </w:pPr>
    </w:p>
    <w:p w14:paraId="3C544523" w14:textId="0021263C" w:rsidR="000852CA" w:rsidRDefault="00D13D56" w:rsidP="00D13D56">
      <w:pPr>
        <w:pStyle w:val="StyleLinespacingMultiple115li"/>
      </w:pPr>
      <w:r>
        <w:lastRenderedPageBreak/>
        <w:t>Additional Rayburn</w:t>
      </w:r>
      <w:r w:rsidR="006946AB" w:rsidRPr="006946AB">
        <w:t xml:space="preserve"> </w:t>
      </w:r>
      <w:r w:rsidR="006946AB">
        <w:t xml:space="preserve">Country Electric Cooperative (RCEC) </w:t>
      </w:r>
      <w:r>
        <w:t xml:space="preserve"> load was included in the East weather zone.  This </w:t>
      </w:r>
      <w:r w:rsidR="00E16F9D">
        <w:t xml:space="preserve">load was initially added to the East weather zone in January 2020.  A forecast was created </w:t>
      </w:r>
      <w:r>
        <w:t xml:space="preserve">based </w:t>
      </w:r>
      <w:r w:rsidR="000852CA">
        <w:t xml:space="preserve">on data included from </w:t>
      </w:r>
      <w:r w:rsidR="006946AB">
        <w:t>RCEC’s</w:t>
      </w:r>
      <w:r w:rsidR="000852CA">
        <w:t xml:space="preserve"> PUCT filing.</w:t>
      </w:r>
    </w:p>
    <w:p w14:paraId="768A04F6" w14:textId="77777777" w:rsidR="006B4F0F" w:rsidRDefault="006B4F0F" w:rsidP="0027593C">
      <w:pPr>
        <w:spacing w:line="276" w:lineRule="auto"/>
        <w:jc w:val="center"/>
        <w:rPr>
          <w:b/>
          <w:u w:val="single"/>
        </w:rPr>
      </w:pPr>
    </w:p>
    <w:p w14:paraId="59284AA1" w14:textId="4B3C78ED" w:rsidR="00E35BA4" w:rsidRDefault="00E35BA4" w:rsidP="00E977F5">
      <w:pPr>
        <w:pStyle w:val="StyleLinespacingMultiple115li"/>
        <w:jc w:val="center"/>
        <w:rPr>
          <w:b/>
          <w:bCs/>
        </w:rPr>
      </w:pPr>
    </w:p>
    <w:p w14:paraId="0FE5227D" w14:textId="6DD6245B" w:rsidR="00E977F5" w:rsidRDefault="00AF4C34" w:rsidP="00D13D56">
      <w:pPr>
        <w:pStyle w:val="StyleLinespacingMultiple115li"/>
        <w:rPr>
          <w:u w:val="single"/>
        </w:rPr>
      </w:pPr>
      <w:r>
        <w:rPr>
          <w:u w:val="single"/>
        </w:rPr>
        <w:t>Winter Weather Scenarios: Uri and Elliott</w:t>
      </w:r>
    </w:p>
    <w:p w14:paraId="1DF7634C" w14:textId="77777777" w:rsidR="00887AFD" w:rsidRDefault="00887AFD" w:rsidP="00D13D56">
      <w:pPr>
        <w:pStyle w:val="StyleLinespacingMultiple115li"/>
        <w:rPr>
          <w:u w:val="single"/>
        </w:rPr>
      </w:pPr>
    </w:p>
    <w:p w14:paraId="4B3D9684" w14:textId="32C9142C" w:rsidR="00AF4C34" w:rsidRDefault="00AF4C34" w:rsidP="00D13D56">
      <w:pPr>
        <w:pStyle w:val="StyleLinespacingMultiple115li"/>
      </w:pPr>
      <w:r>
        <w:t xml:space="preserve">Weather zone normal weather hourly forecasts from the 2024 LTDEF were used to anticipate the impacts of future winter storms to the ERCOT system. February 2021 weather </w:t>
      </w:r>
      <w:r w:rsidR="00987AC5">
        <w:t xml:space="preserve">was used </w:t>
      </w:r>
      <w:r>
        <w:t xml:space="preserve">to create forecasts </w:t>
      </w:r>
      <w:r w:rsidR="00112F28">
        <w:t xml:space="preserve">that simulate the historical weather from Uri and reflect the economic growth in the region. Winter </w:t>
      </w:r>
      <w:r w:rsidR="006A1204">
        <w:t>S</w:t>
      </w:r>
      <w:r w:rsidR="00112F28">
        <w:t xml:space="preserve">torm Elliott (December 2022) was also used to create a weather scenario for future planning. Tables </w:t>
      </w:r>
      <w:r w:rsidR="0029373C">
        <w:t>7</w:t>
      </w:r>
      <w:r w:rsidR="00112F28">
        <w:t xml:space="preserve"> and </w:t>
      </w:r>
      <w:r w:rsidR="0029373C">
        <w:t>8</w:t>
      </w:r>
      <w:r w:rsidR="00112F28">
        <w:t xml:space="preserve"> show the winter peaks using the two weather scenarios described above.</w:t>
      </w:r>
    </w:p>
    <w:p w14:paraId="7081392E" w14:textId="77777777" w:rsidR="00112F28" w:rsidRDefault="00112F28" w:rsidP="00112F28">
      <w:pPr>
        <w:pStyle w:val="StyleLinespacingMultiple115li"/>
      </w:pPr>
    </w:p>
    <w:p w14:paraId="2657C605" w14:textId="77777777" w:rsidR="00112F28" w:rsidRDefault="00112F28" w:rsidP="00112F28">
      <w:pPr>
        <w:spacing w:line="276" w:lineRule="auto"/>
        <w:jc w:val="center"/>
        <w:rPr>
          <w:b/>
          <w:u w:val="single"/>
        </w:rPr>
      </w:pPr>
    </w:p>
    <w:p w14:paraId="11365FA3" w14:textId="77777777" w:rsidR="00112F28" w:rsidRDefault="00112F28" w:rsidP="00112F28">
      <w:pPr>
        <w:spacing w:line="276" w:lineRule="auto"/>
        <w:jc w:val="center"/>
        <w:rPr>
          <w:b/>
          <w:u w:val="single"/>
        </w:rPr>
      </w:pPr>
    </w:p>
    <w:p w14:paraId="30B63C58" w14:textId="0BFC7101" w:rsidR="00112F28" w:rsidRPr="00E76ABC" w:rsidRDefault="00112F28" w:rsidP="00112F28">
      <w:pPr>
        <w:spacing w:line="276" w:lineRule="auto"/>
        <w:jc w:val="center"/>
        <w:rPr>
          <w:b/>
          <w:u w:val="single"/>
        </w:rPr>
      </w:pPr>
      <w:r w:rsidRPr="00E76ABC">
        <w:rPr>
          <w:b/>
          <w:u w:val="single"/>
        </w:rPr>
        <w:t xml:space="preserve">Table </w:t>
      </w:r>
      <w:r w:rsidR="0029373C">
        <w:rPr>
          <w:b/>
          <w:u w:val="single"/>
        </w:rPr>
        <w:t>7</w:t>
      </w:r>
      <w:r w:rsidRPr="00E76ABC">
        <w:rPr>
          <w:b/>
          <w:u w:val="single"/>
        </w:rPr>
        <w:t>:</w:t>
      </w:r>
      <w:r>
        <w:rPr>
          <w:b/>
          <w:u w:val="single"/>
        </w:rPr>
        <w:t xml:space="preserve"> February 2021 Winter Weather Scenario</w:t>
      </w:r>
    </w:p>
    <w:tbl>
      <w:tblPr>
        <w:tblStyle w:val="TableGrid"/>
        <w:tblpPr w:leftFromText="180" w:rightFromText="180" w:vertAnchor="text" w:horzAnchor="margin" w:tblpY="1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1"/>
        <w:gridCol w:w="1541"/>
        <w:gridCol w:w="1541"/>
        <w:gridCol w:w="1541"/>
        <w:gridCol w:w="1542"/>
        <w:gridCol w:w="1542"/>
        <w:gridCol w:w="1542"/>
      </w:tblGrid>
      <w:tr w:rsidR="006B6120" w14:paraId="54407C53" w14:textId="77777777" w:rsidTr="006B6120">
        <w:tc>
          <w:tcPr>
            <w:tcW w:w="1541" w:type="dxa"/>
            <w:shd w:val="clear" w:color="auto" w:fill="EAF1DD" w:themeFill="accent3" w:themeFillTint="33"/>
          </w:tcPr>
          <w:p w14:paraId="66D78892" w14:textId="72C2E01E" w:rsidR="006B6120" w:rsidRPr="006B6120" w:rsidRDefault="006B6120" w:rsidP="006B6120">
            <w:pPr>
              <w:spacing w:line="276" w:lineRule="auto"/>
              <w:jc w:val="center"/>
              <w:rPr>
                <w:rFonts w:asciiTheme="minorHAnsi" w:hAnsiTheme="minorHAnsi" w:cstheme="minorHAnsi"/>
                <w:b/>
                <w:sz w:val="16"/>
                <w:szCs w:val="16"/>
              </w:rPr>
            </w:pPr>
            <w:r w:rsidRPr="006B6120">
              <w:rPr>
                <w:rFonts w:asciiTheme="minorHAnsi" w:hAnsiTheme="minorHAnsi" w:cstheme="minorHAnsi"/>
                <w:b/>
                <w:sz w:val="18"/>
                <w:szCs w:val="18"/>
              </w:rPr>
              <w:t>2024</w:t>
            </w:r>
          </w:p>
        </w:tc>
        <w:tc>
          <w:tcPr>
            <w:tcW w:w="1541" w:type="dxa"/>
            <w:shd w:val="clear" w:color="auto" w:fill="EAF1DD" w:themeFill="accent3" w:themeFillTint="33"/>
          </w:tcPr>
          <w:p w14:paraId="759F408C" w14:textId="6A506CEC" w:rsidR="006B6120" w:rsidRPr="006B6120" w:rsidRDefault="006B6120" w:rsidP="006B6120">
            <w:pPr>
              <w:spacing w:line="276" w:lineRule="auto"/>
              <w:jc w:val="center"/>
              <w:rPr>
                <w:rFonts w:asciiTheme="minorHAnsi" w:hAnsiTheme="minorHAnsi" w:cstheme="minorHAnsi"/>
                <w:b/>
                <w:sz w:val="18"/>
                <w:szCs w:val="18"/>
              </w:rPr>
            </w:pPr>
            <w:r w:rsidRPr="006B6120">
              <w:rPr>
                <w:rFonts w:asciiTheme="minorHAnsi" w:hAnsiTheme="minorHAnsi" w:cstheme="minorHAnsi"/>
                <w:b/>
                <w:sz w:val="18"/>
                <w:szCs w:val="18"/>
              </w:rPr>
              <w:t>2025</w:t>
            </w:r>
          </w:p>
        </w:tc>
        <w:tc>
          <w:tcPr>
            <w:tcW w:w="1541" w:type="dxa"/>
            <w:shd w:val="clear" w:color="auto" w:fill="EAF1DD" w:themeFill="accent3" w:themeFillTint="33"/>
          </w:tcPr>
          <w:p w14:paraId="797C3032" w14:textId="376D04DD" w:rsidR="006B6120" w:rsidRPr="006B6120" w:rsidRDefault="006B6120" w:rsidP="006B6120">
            <w:pPr>
              <w:spacing w:line="276" w:lineRule="auto"/>
              <w:jc w:val="center"/>
              <w:rPr>
                <w:rFonts w:asciiTheme="minorHAnsi" w:hAnsiTheme="minorHAnsi" w:cstheme="minorHAnsi"/>
                <w:b/>
                <w:sz w:val="18"/>
                <w:szCs w:val="18"/>
              </w:rPr>
            </w:pPr>
            <w:r w:rsidRPr="006B6120">
              <w:rPr>
                <w:rFonts w:asciiTheme="minorHAnsi" w:hAnsiTheme="minorHAnsi" w:cstheme="minorHAnsi"/>
                <w:b/>
                <w:sz w:val="18"/>
                <w:szCs w:val="18"/>
              </w:rPr>
              <w:t xml:space="preserve">2026 </w:t>
            </w:r>
          </w:p>
        </w:tc>
        <w:tc>
          <w:tcPr>
            <w:tcW w:w="1541" w:type="dxa"/>
            <w:shd w:val="clear" w:color="auto" w:fill="EAF1DD" w:themeFill="accent3" w:themeFillTint="33"/>
          </w:tcPr>
          <w:p w14:paraId="2C51D963" w14:textId="1680638C" w:rsidR="006B6120" w:rsidRPr="006B6120" w:rsidRDefault="006B6120" w:rsidP="006B6120">
            <w:pPr>
              <w:spacing w:line="276" w:lineRule="auto"/>
              <w:jc w:val="center"/>
              <w:rPr>
                <w:rFonts w:asciiTheme="minorHAnsi" w:hAnsiTheme="minorHAnsi" w:cstheme="minorHAnsi"/>
                <w:b/>
                <w:sz w:val="18"/>
                <w:szCs w:val="18"/>
              </w:rPr>
            </w:pPr>
            <w:r w:rsidRPr="006B6120">
              <w:rPr>
                <w:rFonts w:asciiTheme="minorHAnsi" w:hAnsiTheme="minorHAnsi" w:cstheme="minorHAnsi"/>
                <w:b/>
                <w:sz w:val="18"/>
                <w:szCs w:val="18"/>
              </w:rPr>
              <w:t>2027</w:t>
            </w:r>
          </w:p>
        </w:tc>
        <w:tc>
          <w:tcPr>
            <w:tcW w:w="1542" w:type="dxa"/>
            <w:shd w:val="clear" w:color="auto" w:fill="EAF1DD" w:themeFill="accent3" w:themeFillTint="33"/>
          </w:tcPr>
          <w:p w14:paraId="5B0D821B" w14:textId="4D90A648" w:rsidR="006B6120" w:rsidRPr="006B6120" w:rsidRDefault="006B6120" w:rsidP="006B6120">
            <w:pPr>
              <w:spacing w:line="276" w:lineRule="auto"/>
              <w:jc w:val="center"/>
              <w:rPr>
                <w:rFonts w:asciiTheme="minorHAnsi" w:hAnsiTheme="minorHAnsi" w:cstheme="minorHAnsi"/>
                <w:b/>
                <w:sz w:val="18"/>
                <w:szCs w:val="18"/>
              </w:rPr>
            </w:pPr>
            <w:r w:rsidRPr="006B6120">
              <w:rPr>
                <w:rFonts w:asciiTheme="minorHAnsi" w:hAnsiTheme="minorHAnsi" w:cstheme="minorHAnsi"/>
                <w:b/>
                <w:sz w:val="18"/>
                <w:szCs w:val="18"/>
              </w:rPr>
              <w:t>2028</w:t>
            </w:r>
          </w:p>
        </w:tc>
        <w:tc>
          <w:tcPr>
            <w:tcW w:w="1542" w:type="dxa"/>
            <w:shd w:val="clear" w:color="auto" w:fill="EAF1DD" w:themeFill="accent3" w:themeFillTint="33"/>
          </w:tcPr>
          <w:p w14:paraId="3045292A" w14:textId="4EC64789" w:rsidR="006B6120" w:rsidRPr="006B6120" w:rsidRDefault="006B6120" w:rsidP="006B6120">
            <w:pPr>
              <w:spacing w:line="276" w:lineRule="auto"/>
              <w:jc w:val="center"/>
              <w:rPr>
                <w:rFonts w:asciiTheme="minorHAnsi" w:hAnsiTheme="minorHAnsi" w:cstheme="minorHAnsi"/>
                <w:b/>
                <w:sz w:val="18"/>
                <w:szCs w:val="18"/>
              </w:rPr>
            </w:pPr>
            <w:r w:rsidRPr="006B6120">
              <w:rPr>
                <w:rFonts w:asciiTheme="minorHAnsi" w:hAnsiTheme="minorHAnsi" w:cstheme="minorHAnsi"/>
                <w:b/>
                <w:sz w:val="18"/>
                <w:szCs w:val="18"/>
              </w:rPr>
              <w:t>2029</w:t>
            </w:r>
          </w:p>
        </w:tc>
        <w:tc>
          <w:tcPr>
            <w:tcW w:w="1542" w:type="dxa"/>
            <w:shd w:val="clear" w:color="auto" w:fill="EAF1DD" w:themeFill="accent3" w:themeFillTint="33"/>
          </w:tcPr>
          <w:p w14:paraId="6849048D" w14:textId="26229227" w:rsidR="006B6120" w:rsidRPr="006B6120" w:rsidRDefault="006B6120" w:rsidP="006B6120">
            <w:pPr>
              <w:spacing w:line="276" w:lineRule="auto"/>
              <w:jc w:val="center"/>
              <w:rPr>
                <w:rFonts w:asciiTheme="minorHAnsi" w:hAnsiTheme="minorHAnsi" w:cstheme="minorHAnsi"/>
                <w:b/>
                <w:sz w:val="18"/>
                <w:szCs w:val="18"/>
              </w:rPr>
            </w:pPr>
            <w:r w:rsidRPr="006B6120">
              <w:rPr>
                <w:rFonts w:asciiTheme="minorHAnsi" w:hAnsiTheme="minorHAnsi" w:cstheme="minorHAnsi"/>
                <w:b/>
                <w:sz w:val="18"/>
                <w:szCs w:val="18"/>
              </w:rPr>
              <w:t>2030</w:t>
            </w:r>
          </w:p>
        </w:tc>
      </w:tr>
      <w:tr w:rsidR="006B6120" w14:paraId="33B1D713" w14:textId="77777777" w:rsidTr="006B6120">
        <w:tc>
          <w:tcPr>
            <w:tcW w:w="1541" w:type="dxa"/>
            <w:shd w:val="clear" w:color="auto" w:fill="EAF1DD" w:themeFill="accent3" w:themeFillTint="33"/>
          </w:tcPr>
          <w:p w14:paraId="48EE5398" w14:textId="7D383A15" w:rsidR="00A32219" w:rsidRPr="006B6120" w:rsidRDefault="006B6120" w:rsidP="00A32219">
            <w:pPr>
              <w:spacing w:line="276" w:lineRule="auto"/>
              <w:jc w:val="center"/>
              <w:rPr>
                <w:rFonts w:asciiTheme="minorHAnsi" w:hAnsiTheme="minorHAnsi" w:cstheme="minorHAnsi"/>
                <w:bCs/>
                <w:sz w:val="18"/>
                <w:szCs w:val="18"/>
              </w:rPr>
            </w:pPr>
            <w:r w:rsidRPr="006B6120">
              <w:rPr>
                <w:rFonts w:asciiTheme="minorHAnsi" w:hAnsiTheme="minorHAnsi" w:cstheme="minorHAnsi"/>
                <w:bCs/>
                <w:sz w:val="18"/>
                <w:szCs w:val="18"/>
              </w:rPr>
              <w:t>89,580</w:t>
            </w:r>
          </w:p>
        </w:tc>
        <w:tc>
          <w:tcPr>
            <w:tcW w:w="1541" w:type="dxa"/>
            <w:shd w:val="clear" w:color="auto" w:fill="EAF1DD" w:themeFill="accent3" w:themeFillTint="33"/>
          </w:tcPr>
          <w:p w14:paraId="7A09C715" w14:textId="01B0868B" w:rsidR="006B6120" w:rsidRPr="006B6120" w:rsidRDefault="006B6120" w:rsidP="006B6120">
            <w:pPr>
              <w:spacing w:line="276" w:lineRule="auto"/>
              <w:jc w:val="center"/>
              <w:rPr>
                <w:rFonts w:asciiTheme="minorHAnsi" w:hAnsiTheme="minorHAnsi" w:cstheme="minorHAnsi"/>
                <w:bCs/>
                <w:sz w:val="18"/>
                <w:szCs w:val="18"/>
              </w:rPr>
            </w:pPr>
            <w:r w:rsidRPr="006B6120">
              <w:rPr>
                <w:rFonts w:asciiTheme="minorHAnsi" w:hAnsiTheme="minorHAnsi" w:cstheme="minorHAnsi"/>
                <w:bCs/>
                <w:sz w:val="18"/>
                <w:szCs w:val="18"/>
              </w:rPr>
              <w:t>9</w:t>
            </w:r>
            <w:r w:rsidR="009B02E0">
              <w:rPr>
                <w:rFonts w:asciiTheme="minorHAnsi" w:hAnsiTheme="minorHAnsi" w:cstheme="minorHAnsi"/>
                <w:bCs/>
                <w:sz w:val="18"/>
                <w:szCs w:val="18"/>
              </w:rPr>
              <w:t>7,541</w:t>
            </w:r>
          </w:p>
        </w:tc>
        <w:tc>
          <w:tcPr>
            <w:tcW w:w="1541" w:type="dxa"/>
            <w:shd w:val="clear" w:color="auto" w:fill="EAF1DD" w:themeFill="accent3" w:themeFillTint="33"/>
          </w:tcPr>
          <w:p w14:paraId="64275ACD" w14:textId="3E183B8A" w:rsidR="006B6120" w:rsidRPr="006B6120" w:rsidRDefault="001D6EEC" w:rsidP="006B6120">
            <w:pPr>
              <w:spacing w:line="276" w:lineRule="auto"/>
              <w:jc w:val="center"/>
              <w:rPr>
                <w:rFonts w:asciiTheme="minorHAnsi" w:hAnsiTheme="minorHAnsi" w:cstheme="minorHAnsi"/>
                <w:bCs/>
                <w:sz w:val="18"/>
                <w:szCs w:val="18"/>
              </w:rPr>
            </w:pPr>
            <w:r>
              <w:rPr>
                <w:rFonts w:asciiTheme="minorHAnsi" w:hAnsiTheme="minorHAnsi" w:cstheme="minorHAnsi"/>
                <w:bCs/>
                <w:sz w:val="18"/>
                <w:szCs w:val="18"/>
              </w:rPr>
              <w:t>103,308</w:t>
            </w:r>
          </w:p>
        </w:tc>
        <w:tc>
          <w:tcPr>
            <w:tcW w:w="1541" w:type="dxa"/>
            <w:shd w:val="clear" w:color="auto" w:fill="EAF1DD" w:themeFill="accent3" w:themeFillTint="33"/>
          </w:tcPr>
          <w:p w14:paraId="54D35326" w14:textId="67439D47" w:rsidR="006B6120" w:rsidRPr="006B6120" w:rsidRDefault="002D47B8" w:rsidP="006B6120">
            <w:pPr>
              <w:spacing w:line="276" w:lineRule="auto"/>
              <w:jc w:val="center"/>
              <w:rPr>
                <w:rFonts w:asciiTheme="minorHAnsi" w:hAnsiTheme="minorHAnsi" w:cstheme="minorHAnsi"/>
                <w:bCs/>
                <w:sz w:val="18"/>
                <w:szCs w:val="18"/>
              </w:rPr>
            </w:pPr>
            <w:r>
              <w:rPr>
                <w:rFonts w:asciiTheme="minorHAnsi" w:hAnsiTheme="minorHAnsi" w:cstheme="minorHAnsi"/>
                <w:bCs/>
                <w:sz w:val="18"/>
                <w:szCs w:val="18"/>
              </w:rPr>
              <w:t>1</w:t>
            </w:r>
            <w:r w:rsidR="001D6EEC">
              <w:rPr>
                <w:rFonts w:asciiTheme="minorHAnsi" w:hAnsiTheme="minorHAnsi" w:cstheme="minorHAnsi"/>
                <w:bCs/>
                <w:sz w:val="18"/>
                <w:szCs w:val="18"/>
              </w:rPr>
              <w:t>19,027</w:t>
            </w:r>
          </w:p>
        </w:tc>
        <w:tc>
          <w:tcPr>
            <w:tcW w:w="1542" w:type="dxa"/>
            <w:shd w:val="clear" w:color="auto" w:fill="EAF1DD" w:themeFill="accent3" w:themeFillTint="33"/>
          </w:tcPr>
          <w:p w14:paraId="4A29A921" w14:textId="70DB26E0" w:rsidR="006B6120" w:rsidRPr="006B6120" w:rsidRDefault="001D6EEC" w:rsidP="006B6120">
            <w:pPr>
              <w:spacing w:line="276" w:lineRule="auto"/>
              <w:jc w:val="center"/>
              <w:rPr>
                <w:rFonts w:asciiTheme="minorHAnsi" w:hAnsiTheme="minorHAnsi" w:cstheme="minorHAnsi"/>
                <w:bCs/>
                <w:sz w:val="18"/>
                <w:szCs w:val="18"/>
              </w:rPr>
            </w:pPr>
            <w:r>
              <w:rPr>
                <w:rFonts w:asciiTheme="minorHAnsi" w:hAnsiTheme="minorHAnsi" w:cstheme="minorHAnsi"/>
                <w:bCs/>
                <w:sz w:val="18"/>
                <w:szCs w:val="18"/>
              </w:rPr>
              <w:t>134,697</w:t>
            </w:r>
          </w:p>
        </w:tc>
        <w:tc>
          <w:tcPr>
            <w:tcW w:w="1542" w:type="dxa"/>
            <w:shd w:val="clear" w:color="auto" w:fill="EAF1DD" w:themeFill="accent3" w:themeFillTint="33"/>
          </w:tcPr>
          <w:p w14:paraId="3B4A260A" w14:textId="4BC840EF" w:rsidR="006B6120" w:rsidRPr="006B6120" w:rsidRDefault="001D6EEC" w:rsidP="006B6120">
            <w:pPr>
              <w:spacing w:line="276" w:lineRule="auto"/>
              <w:jc w:val="center"/>
              <w:rPr>
                <w:rFonts w:asciiTheme="minorHAnsi" w:hAnsiTheme="minorHAnsi" w:cstheme="minorHAnsi"/>
                <w:bCs/>
                <w:sz w:val="18"/>
                <w:szCs w:val="18"/>
              </w:rPr>
            </w:pPr>
            <w:r>
              <w:rPr>
                <w:rFonts w:asciiTheme="minorHAnsi" w:hAnsiTheme="minorHAnsi" w:cstheme="minorHAnsi"/>
                <w:bCs/>
                <w:sz w:val="18"/>
                <w:szCs w:val="18"/>
              </w:rPr>
              <w:t>150,863</w:t>
            </w:r>
          </w:p>
        </w:tc>
        <w:tc>
          <w:tcPr>
            <w:tcW w:w="1542" w:type="dxa"/>
            <w:shd w:val="clear" w:color="auto" w:fill="EAF1DD" w:themeFill="accent3" w:themeFillTint="33"/>
          </w:tcPr>
          <w:p w14:paraId="26A21950" w14:textId="483026B9" w:rsidR="006B6120" w:rsidRPr="006B6120" w:rsidRDefault="00D44EA3" w:rsidP="006B6120">
            <w:pPr>
              <w:spacing w:line="276" w:lineRule="auto"/>
              <w:jc w:val="center"/>
              <w:rPr>
                <w:rFonts w:asciiTheme="minorHAnsi" w:hAnsiTheme="minorHAnsi" w:cstheme="minorHAnsi"/>
                <w:bCs/>
                <w:sz w:val="18"/>
                <w:szCs w:val="18"/>
              </w:rPr>
            </w:pPr>
            <w:r>
              <w:rPr>
                <w:rFonts w:asciiTheme="minorHAnsi" w:hAnsiTheme="minorHAnsi" w:cstheme="minorHAnsi"/>
                <w:bCs/>
                <w:sz w:val="18"/>
                <w:szCs w:val="18"/>
              </w:rPr>
              <w:t>156,552</w:t>
            </w:r>
          </w:p>
        </w:tc>
      </w:tr>
    </w:tbl>
    <w:p w14:paraId="714B4685" w14:textId="77777777" w:rsidR="00112F28" w:rsidRPr="00AF4C34" w:rsidRDefault="00112F28" w:rsidP="00D13D56">
      <w:pPr>
        <w:pStyle w:val="StyleLinespacingMultiple115li"/>
      </w:pPr>
    </w:p>
    <w:p w14:paraId="46946480" w14:textId="7E105CA5" w:rsidR="00E977F5" w:rsidRDefault="00E977F5" w:rsidP="00D13D56">
      <w:pPr>
        <w:pStyle w:val="StyleLinespacingMultiple115li"/>
      </w:pPr>
    </w:p>
    <w:p w14:paraId="35A049C5" w14:textId="712DBB10" w:rsidR="006B6120" w:rsidRPr="00E76ABC" w:rsidRDefault="006B6120" w:rsidP="006B6120">
      <w:pPr>
        <w:spacing w:line="276" w:lineRule="auto"/>
        <w:jc w:val="center"/>
        <w:rPr>
          <w:b/>
          <w:u w:val="single"/>
        </w:rPr>
      </w:pPr>
      <w:r w:rsidRPr="00E76ABC">
        <w:rPr>
          <w:b/>
          <w:u w:val="single"/>
        </w:rPr>
        <w:t xml:space="preserve">Table </w:t>
      </w:r>
      <w:r w:rsidR="0029373C">
        <w:rPr>
          <w:b/>
          <w:u w:val="single"/>
        </w:rPr>
        <w:t>8</w:t>
      </w:r>
      <w:r w:rsidRPr="00E76ABC">
        <w:rPr>
          <w:b/>
          <w:u w:val="single"/>
        </w:rPr>
        <w:t>:</w:t>
      </w:r>
      <w:r>
        <w:rPr>
          <w:b/>
          <w:u w:val="single"/>
        </w:rPr>
        <w:t xml:space="preserve"> December 2022 Winter Weather Scenario</w:t>
      </w:r>
    </w:p>
    <w:p w14:paraId="58BB476D" w14:textId="5FBC8BB8" w:rsidR="00E977F5" w:rsidRDefault="00E977F5" w:rsidP="0051299E">
      <w:pPr>
        <w:spacing w:line="276" w:lineRule="auto"/>
        <w:jc w:val="center"/>
        <w:rPr>
          <w:b/>
          <w:u w:val="single"/>
        </w:rPr>
      </w:pPr>
    </w:p>
    <w:tbl>
      <w:tblPr>
        <w:tblStyle w:val="TableGrid"/>
        <w:tblpPr w:leftFromText="180" w:rightFromText="180" w:vertAnchor="text" w:horzAnchor="margin" w:tblpY="1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1"/>
        <w:gridCol w:w="1541"/>
        <w:gridCol w:w="1541"/>
        <w:gridCol w:w="1541"/>
        <w:gridCol w:w="1542"/>
        <w:gridCol w:w="1542"/>
        <w:gridCol w:w="1542"/>
      </w:tblGrid>
      <w:tr w:rsidR="006B6120" w14:paraId="23A19297" w14:textId="77777777" w:rsidTr="006B6120">
        <w:tc>
          <w:tcPr>
            <w:tcW w:w="1541" w:type="dxa"/>
            <w:shd w:val="clear" w:color="auto" w:fill="EAF1DD" w:themeFill="accent3" w:themeFillTint="33"/>
          </w:tcPr>
          <w:p w14:paraId="2C7CC6BF" w14:textId="77777777" w:rsidR="006B6120" w:rsidRPr="006B6120" w:rsidRDefault="006B6120" w:rsidP="000B3438">
            <w:pPr>
              <w:spacing w:line="276" w:lineRule="auto"/>
              <w:jc w:val="center"/>
              <w:rPr>
                <w:rFonts w:asciiTheme="minorHAnsi" w:hAnsiTheme="minorHAnsi" w:cstheme="minorHAnsi"/>
                <w:b/>
                <w:sz w:val="16"/>
                <w:szCs w:val="16"/>
              </w:rPr>
            </w:pPr>
            <w:r w:rsidRPr="006B6120">
              <w:rPr>
                <w:rFonts w:asciiTheme="minorHAnsi" w:hAnsiTheme="minorHAnsi" w:cstheme="minorHAnsi"/>
                <w:b/>
                <w:sz w:val="18"/>
                <w:szCs w:val="18"/>
              </w:rPr>
              <w:t>2024</w:t>
            </w:r>
          </w:p>
        </w:tc>
        <w:tc>
          <w:tcPr>
            <w:tcW w:w="1541" w:type="dxa"/>
            <w:shd w:val="clear" w:color="auto" w:fill="EAF1DD" w:themeFill="accent3" w:themeFillTint="33"/>
          </w:tcPr>
          <w:p w14:paraId="49E152B2" w14:textId="77777777" w:rsidR="006B6120" w:rsidRPr="006B6120" w:rsidRDefault="006B6120" w:rsidP="000B3438">
            <w:pPr>
              <w:spacing w:line="276" w:lineRule="auto"/>
              <w:jc w:val="center"/>
              <w:rPr>
                <w:rFonts w:asciiTheme="minorHAnsi" w:hAnsiTheme="minorHAnsi" w:cstheme="minorHAnsi"/>
                <w:b/>
                <w:sz w:val="18"/>
                <w:szCs w:val="18"/>
              </w:rPr>
            </w:pPr>
            <w:r w:rsidRPr="006B6120">
              <w:rPr>
                <w:rFonts w:asciiTheme="minorHAnsi" w:hAnsiTheme="minorHAnsi" w:cstheme="minorHAnsi"/>
                <w:b/>
                <w:sz w:val="18"/>
                <w:szCs w:val="18"/>
              </w:rPr>
              <w:t>2025</w:t>
            </w:r>
          </w:p>
        </w:tc>
        <w:tc>
          <w:tcPr>
            <w:tcW w:w="1541" w:type="dxa"/>
            <w:shd w:val="clear" w:color="auto" w:fill="EAF1DD" w:themeFill="accent3" w:themeFillTint="33"/>
          </w:tcPr>
          <w:p w14:paraId="642E512D" w14:textId="77777777" w:rsidR="006B6120" w:rsidRPr="006B6120" w:rsidRDefault="006B6120" w:rsidP="000B3438">
            <w:pPr>
              <w:spacing w:line="276" w:lineRule="auto"/>
              <w:jc w:val="center"/>
              <w:rPr>
                <w:rFonts w:asciiTheme="minorHAnsi" w:hAnsiTheme="minorHAnsi" w:cstheme="minorHAnsi"/>
                <w:b/>
                <w:sz w:val="18"/>
                <w:szCs w:val="18"/>
              </w:rPr>
            </w:pPr>
            <w:r w:rsidRPr="006B6120">
              <w:rPr>
                <w:rFonts w:asciiTheme="minorHAnsi" w:hAnsiTheme="minorHAnsi" w:cstheme="minorHAnsi"/>
                <w:b/>
                <w:sz w:val="18"/>
                <w:szCs w:val="18"/>
              </w:rPr>
              <w:t xml:space="preserve">2026 </w:t>
            </w:r>
          </w:p>
        </w:tc>
        <w:tc>
          <w:tcPr>
            <w:tcW w:w="1541" w:type="dxa"/>
            <w:shd w:val="clear" w:color="auto" w:fill="EAF1DD" w:themeFill="accent3" w:themeFillTint="33"/>
          </w:tcPr>
          <w:p w14:paraId="5FED155F" w14:textId="77777777" w:rsidR="006B6120" w:rsidRPr="006B6120" w:rsidRDefault="006B6120" w:rsidP="000B3438">
            <w:pPr>
              <w:spacing w:line="276" w:lineRule="auto"/>
              <w:jc w:val="center"/>
              <w:rPr>
                <w:rFonts w:asciiTheme="minorHAnsi" w:hAnsiTheme="minorHAnsi" w:cstheme="minorHAnsi"/>
                <w:b/>
                <w:sz w:val="18"/>
                <w:szCs w:val="18"/>
              </w:rPr>
            </w:pPr>
            <w:r w:rsidRPr="006B6120">
              <w:rPr>
                <w:rFonts w:asciiTheme="minorHAnsi" w:hAnsiTheme="minorHAnsi" w:cstheme="minorHAnsi"/>
                <w:b/>
                <w:sz w:val="18"/>
                <w:szCs w:val="18"/>
              </w:rPr>
              <w:t>2027</w:t>
            </w:r>
          </w:p>
        </w:tc>
        <w:tc>
          <w:tcPr>
            <w:tcW w:w="1542" w:type="dxa"/>
            <w:shd w:val="clear" w:color="auto" w:fill="EAF1DD" w:themeFill="accent3" w:themeFillTint="33"/>
          </w:tcPr>
          <w:p w14:paraId="2559B82D" w14:textId="77777777" w:rsidR="006B6120" w:rsidRPr="006B6120" w:rsidRDefault="006B6120" w:rsidP="000B3438">
            <w:pPr>
              <w:spacing w:line="276" w:lineRule="auto"/>
              <w:jc w:val="center"/>
              <w:rPr>
                <w:rFonts w:asciiTheme="minorHAnsi" w:hAnsiTheme="minorHAnsi" w:cstheme="minorHAnsi"/>
                <w:b/>
                <w:sz w:val="18"/>
                <w:szCs w:val="18"/>
              </w:rPr>
            </w:pPr>
            <w:r w:rsidRPr="006B6120">
              <w:rPr>
                <w:rFonts w:asciiTheme="minorHAnsi" w:hAnsiTheme="minorHAnsi" w:cstheme="minorHAnsi"/>
                <w:b/>
                <w:sz w:val="18"/>
                <w:szCs w:val="18"/>
              </w:rPr>
              <w:t>2028</w:t>
            </w:r>
          </w:p>
        </w:tc>
        <w:tc>
          <w:tcPr>
            <w:tcW w:w="1542" w:type="dxa"/>
            <w:shd w:val="clear" w:color="auto" w:fill="EAF1DD" w:themeFill="accent3" w:themeFillTint="33"/>
          </w:tcPr>
          <w:p w14:paraId="7DFB67F1" w14:textId="77777777" w:rsidR="006B6120" w:rsidRPr="006B6120" w:rsidRDefault="006B6120" w:rsidP="000B3438">
            <w:pPr>
              <w:spacing w:line="276" w:lineRule="auto"/>
              <w:jc w:val="center"/>
              <w:rPr>
                <w:rFonts w:asciiTheme="minorHAnsi" w:hAnsiTheme="minorHAnsi" w:cstheme="minorHAnsi"/>
                <w:b/>
                <w:sz w:val="18"/>
                <w:szCs w:val="18"/>
              </w:rPr>
            </w:pPr>
            <w:r w:rsidRPr="006B6120">
              <w:rPr>
                <w:rFonts w:asciiTheme="minorHAnsi" w:hAnsiTheme="minorHAnsi" w:cstheme="minorHAnsi"/>
                <w:b/>
                <w:sz w:val="18"/>
                <w:szCs w:val="18"/>
              </w:rPr>
              <w:t>2029</w:t>
            </w:r>
          </w:p>
        </w:tc>
        <w:tc>
          <w:tcPr>
            <w:tcW w:w="1542" w:type="dxa"/>
            <w:shd w:val="clear" w:color="auto" w:fill="EAF1DD" w:themeFill="accent3" w:themeFillTint="33"/>
          </w:tcPr>
          <w:p w14:paraId="30CF8156" w14:textId="77777777" w:rsidR="006B6120" w:rsidRPr="006B6120" w:rsidRDefault="006B6120" w:rsidP="000B3438">
            <w:pPr>
              <w:spacing w:line="276" w:lineRule="auto"/>
              <w:jc w:val="center"/>
              <w:rPr>
                <w:rFonts w:asciiTheme="minorHAnsi" w:hAnsiTheme="minorHAnsi" w:cstheme="minorHAnsi"/>
                <w:b/>
                <w:sz w:val="18"/>
                <w:szCs w:val="18"/>
              </w:rPr>
            </w:pPr>
            <w:r w:rsidRPr="006B6120">
              <w:rPr>
                <w:rFonts w:asciiTheme="minorHAnsi" w:hAnsiTheme="minorHAnsi" w:cstheme="minorHAnsi"/>
                <w:b/>
                <w:sz w:val="18"/>
                <w:szCs w:val="18"/>
              </w:rPr>
              <w:t>2030</w:t>
            </w:r>
          </w:p>
        </w:tc>
      </w:tr>
      <w:tr w:rsidR="006B6120" w14:paraId="4BFDF00D" w14:textId="77777777" w:rsidTr="006B6120">
        <w:tc>
          <w:tcPr>
            <w:tcW w:w="1541" w:type="dxa"/>
            <w:shd w:val="clear" w:color="auto" w:fill="EAF1DD" w:themeFill="accent3" w:themeFillTint="33"/>
          </w:tcPr>
          <w:p w14:paraId="0881763D" w14:textId="15144067" w:rsidR="006B6120" w:rsidRPr="006B6120" w:rsidRDefault="006B6120" w:rsidP="000B3438">
            <w:pPr>
              <w:spacing w:line="276" w:lineRule="auto"/>
              <w:jc w:val="center"/>
              <w:rPr>
                <w:rFonts w:asciiTheme="minorHAnsi" w:hAnsiTheme="minorHAnsi" w:cstheme="minorHAnsi"/>
                <w:bCs/>
                <w:sz w:val="18"/>
                <w:szCs w:val="18"/>
              </w:rPr>
            </w:pPr>
            <w:r w:rsidRPr="006B6120">
              <w:rPr>
                <w:rFonts w:asciiTheme="minorHAnsi" w:hAnsiTheme="minorHAnsi" w:cstheme="minorHAnsi"/>
                <w:bCs/>
                <w:sz w:val="18"/>
                <w:szCs w:val="18"/>
              </w:rPr>
              <w:t>8</w:t>
            </w:r>
            <w:r>
              <w:rPr>
                <w:rFonts w:asciiTheme="minorHAnsi" w:hAnsiTheme="minorHAnsi" w:cstheme="minorHAnsi"/>
                <w:bCs/>
                <w:sz w:val="18"/>
                <w:szCs w:val="18"/>
              </w:rPr>
              <w:t>1</w:t>
            </w:r>
            <w:r w:rsidRPr="006B6120">
              <w:rPr>
                <w:rFonts w:asciiTheme="minorHAnsi" w:hAnsiTheme="minorHAnsi" w:cstheme="minorHAnsi"/>
                <w:bCs/>
                <w:sz w:val="18"/>
                <w:szCs w:val="18"/>
              </w:rPr>
              <w:t>,</w:t>
            </w:r>
            <w:r>
              <w:rPr>
                <w:rFonts w:asciiTheme="minorHAnsi" w:hAnsiTheme="minorHAnsi" w:cstheme="minorHAnsi"/>
                <w:bCs/>
                <w:sz w:val="18"/>
                <w:szCs w:val="18"/>
              </w:rPr>
              <w:t>392</w:t>
            </w:r>
          </w:p>
        </w:tc>
        <w:tc>
          <w:tcPr>
            <w:tcW w:w="1541" w:type="dxa"/>
            <w:shd w:val="clear" w:color="auto" w:fill="EAF1DD" w:themeFill="accent3" w:themeFillTint="33"/>
          </w:tcPr>
          <w:p w14:paraId="69A1AB4B" w14:textId="56D9102F" w:rsidR="006B6120" w:rsidRPr="006B6120" w:rsidRDefault="009B02E0" w:rsidP="000B3438">
            <w:pPr>
              <w:spacing w:line="276" w:lineRule="auto"/>
              <w:jc w:val="center"/>
              <w:rPr>
                <w:rFonts w:asciiTheme="minorHAnsi" w:hAnsiTheme="minorHAnsi" w:cstheme="minorHAnsi"/>
                <w:bCs/>
                <w:sz w:val="18"/>
                <w:szCs w:val="18"/>
              </w:rPr>
            </w:pPr>
            <w:r>
              <w:rPr>
                <w:rFonts w:asciiTheme="minorHAnsi" w:hAnsiTheme="minorHAnsi" w:cstheme="minorHAnsi"/>
                <w:bCs/>
                <w:sz w:val="18"/>
                <w:szCs w:val="18"/>
              </w:rPr>
              <w:t>89,055</w:t>
            </w:r>
          </w:p>
        </w:tc>
        <w:tc>
          <w:tcPr>
            <w:tcW w:w="1541" w:type="dxa"/>
            <w:shd w:val="clear" w:color="auto" w:fill="EAF1DD" w:themeFill="accent3" w:themeFillTint="33"/>
          </w:tcPr>
          <w:p w14:paraId="7A3551BB" w14:textId="272D473D" w:rsidR="006B6120" w:rsidRPr="006B6120" w:rsidRDefault="001D6EEC" w:rsidP="000B3438">
            <w:pPr>
              <w:spacing w:line="276" w:lineRule="auto"/>
              <w:jc w:val="center"/>
              <w:rPr>
                <w:rFonts w:asciiTheme="minorHAnsi" w:hAnsiTheme="minorHAnsi" w:cstheme="minorHAnsi"/>
                <w:bCs/>
                <w:sz w:val="18"/>
                <w:szCs w:val="18"/>
              </w:rPr>
            </w:pPr>
            <w:r>
              <w:rPr>
                <w:rFonts w:asciiTheme="minorHAnsi" w:hAnsiTheme="minorHAnsi" w:cstheme="minorHAnsi"/>
                <w:bCs/>
                <w:sz w:val="18"/>
                <w:szCs w:val="18"/>
              </w:rPr>
              <w:t>94,769</w:t>
            </w:r>
          </w:p>
        </w:tc>
        <w:tc>
          <w:tcPr>
            <w:tcW w:w="1541" w:type="dxa"/>
            <w:shd w:val="clear" w:color="auto" w:fill="EAF1DD" w:themeFill="accent3" w:themeFillTint="33"/>
          </w:tcPr>
          <w:p w14:paraId="6A8D6BF1" w14:textId="44895CE7" w:rsidR="006B6120" w:rsidRPr="006B6120" w:rsidRDefault="001D6EEC" w:rsidP="000B3438">
            <w:pPr>
              <w:spacing w:line="276" w:lineRule="auto"/>
              <w:jc w:val="center"/>
              <w:rPr>
                <w:rFonts w:asciiTheme="minorHAnsi" w:hAnsiTheme="minorHAnsi" w:cstheme="minorHAnsi"/>
                <w:bCs/>
                <w:sz w:val="18"/>
                <w:szCs w:val="18"/>
              </w:rPr>
            </w:pPr>
            <w:r>
              <w:rPr>
                <w:rFonts w:asciiTheme="minorHAnsi" w:hAnsiTheme="minorHAnsi" w:cstheme="minorHAnsi"/>
                <w:bCs/>
                <w:sz w:val="18"/>
                <w:szCs w:val="18"/>
              </w:rPr>
              <w:t>110,492</w:t>
            </w:r>
          </w:p>
        </w:tc>
        <w:tc>
          <w:tcPr>
            <w:tcW w:w="1542" w:type="dxa"/>
            <w:shd w:val="clear" w:color="auto" w:fill="EAF1DD" w:themeFill="accent3" w:themeFillTint="33"/>
          </w:tcPr>
          <w:p w14:paraId="4E72E3E0" w14:textId="0F253E51" w:rsidR="006B6120" w:rsidRPr="006B6120" w:rsidRDefault="001D6EEC" w:rsidP="000B3438">
            <w:pPr>
              <w:spacing w:line="276" w:lineRule="auto"/>
              <w:jc w:val="center"/>
              <w:rPr>
                <w:rFonts w:asciiTheme="minorHAnsi" w:hAnsiTheme="minorHAnsi" w:cstheme="minorHAnsi"/>
                <w:bCs/>
                <w:sz w:val="18"/>
                <w:szCs w:val="18"/>
              </w:rPr>
            </w:pPr>
            <w:r>
              <w:rPr>
                <w:rFonts w:asciiTheme="minorHAnsi" w:hAnsiTheme="minorHAnsi" w:cstheme="minorHAnsi"/>
                <w:bCs/>
                <w:sz w:val="18"/>
                <w:szCs w:val="18"/>
              </w:rPr>
              <w:t>126,064</w:t>
            </w:r>
          </w:p>
        </w:tc>
        <w:tc>
          <w:tcPr>
            <w:tcW w:w="1542" w:type="dxa"/>
            <w:shd w:val="clear" w:color="auto" w:fill="EAF1DD" w:themeFill="accent3" w:themeFillTint="33"/>
          </w:tcPr>
          <w:p w14:paraId="289CF4B9" w14:textId="0B92FA1F" w:rsidR="006B6120" w:rsidRPr="006B6120" w:rsidRDefault="001D6EEC" w:rsidP="000B3438">
            <w:pPr>
              <w:spacing w:line="276" w:lineRule="auto"/>
              <w:jc w:val="center"/>
              <w:rPr>
                <w:rFonts w:asciiTheme="minorHAnsi" w:hAnsiTheme="minorHAnsi" w:cstheme="minorHAnsi"/>
                <w:bCs/>
                <w:sz w:val="18"/>
                <w:szCs w:val="18"/>
              </w:rPr>
            </w:pPr>
            <w:r>
              <w:rPr>
                <w:rFonts w:asciiTheme="minorHAnsi" w:hAnsiTheme="minorHAnsi" w:cstheme="minorHAnsi"/>
                <w:bCs/>
                <w:sz w:val="18"/>
                <w:szCs w:val="18"/>
              </w:rPr>
              <w:t>142,213</w:t>
            </w:r>
          </w:p>
        </w:tc>
        <w:tc>
          <w:tcPr>
            <w:tcW w:w="1542" w:type="dxa"/>
            <w:shd w:val="clear" w:color="auto" w:fill="EAF1DD" w:themeFill="accent3" w:themeFillTint="33"/>
          </w:tcPr>
          <w:p w14:paraId="286529B6" w14:textId="1C72D367" w:rsidR="006B6120" w:rsidRPr="006B6120" w:rsidRDefault="00D44EA3" w:rsidP="000B3438">
            <w:pPr>
              <w:spacing w:line="276" w:lineRule="auto"/>
              <w:jc w:val="center"/>
              <w:rPr>
                <w:rFonts w:asciiTheme="minorHAnsi" w:hAnsiTheme="minorHAnsi" w:cstheme="minorHAnsi"/>
                <w:bCs/>
                <w:sz w:val="18"/>
                <w:szCs w:val="18"/>
              </w:rPr>
            </w:pPr>
            <w:r>
              <w:rPr>
                <w:rFonts w:asciiTheme="minorHAnsi" w:hAnsiTheme="minorHAnsi" w:cstheme="minorHAnsi"/>
                <w:bCs/>
                <w:sz w:val="18"/>
                <w:szCs w:val="18"/>
              </w:rPr>
              <w:t>147,881</w:t>
            </w:r>
          </w:p>
        </w:tc>
      </w:tr>
    </w:tbl>
    <w:p w14:paraId="1ABD7234" w14:textId="77777777" w:rsidR="007E40FC" w:rsidRDefault="007E40FC" w:rsidP="00666113">
      <w:pPr>
        <w:pStyle w:val="StyleLinespacingMultiple115li"/>
      </w:pPr>
    </w:p>
    <w:p w14:paraId="73BEE4D9" w14:textId="7D5E506A" w:rsidR="00254FE7" w:rsidRDefault="00254FE7" w:rsidP="00666113">
      <w:pPr>
        <w:pStyle w:val="StyleLinespacingMultiple115li"/>
      </w:pPr>
    </w:p>
    <w:p w14:paraId="395998FF" w14:textId="77777777" w:rsidR="00B73FCC" w:rsidRDefault="00B73FCC" w:rsidP="00FB718F">
      <w:pPr>
        <w:spacing w:line="276" w:lineRule="auto"/>
        <w:jc w:val="center"/>
        <w:rPr>
          <w:b/>
          <w:u w:val="single"/>
        </w:rPr>
      </w:pPr>
    </w:p>
    <w:p w14:paraId="68E8D819" w14:textId="77777777" w:rsidR="00FB718F" w:rsidRPr="0051299E" w:rsidRDefault="00FB718F" w:rsidP="00FB718F">
      <w:pPr>
        <w:spacing w:line="276" w:lineRule="auto"/>
        <w:jc w:val="center"/>
        <w:rPr>
          <w:b/>
          <w:u w:val="single"/>
        </w:rPr>
      </w:pPr>
      <w:r w:rsidRPr="00967420">
        <w:rPr>
          <w:b/>
          <w:u w:val="single"/>
        </w:rPr>
        <w:t>Load Forecast Uncertainty</w:t>
      </w:r>
    </w:p>
    <w:p w14:paraId="47B732A3" w14:textId="77777777" w:rsidR="00FB718F" w:rsidRDefault="00FB718F" w:rsidP="00FB718F">
      <w:pPr>
        <w:spacing w:line="276" w:lineRule="auto"/>
        <w:rPr>
          <w:u w:val="single"/>
        </w:rPr>
      </w:pPr>
    </w:p>
    <w:p w14:paraId="5A1E8535" w14:textId="5E9BF37A" w:rsidR="00FB718F" w:rsidRDefault="00FB718F" w:rsidP="00FB718F">
      <w:pPr>
        <w:spacing w:line="276" w:lineRule="auto"/>
      </w:pPr>
      <w:r w:rsidRPr="002779AC">
        <w:t>A long-term load forecast can be influenced by a number of factors</w:t>
      </w:r>
      <w:r>
        <w:t xml:space="preserve">. </w:t>
      </w:r>
      <w:r w:rsidRPr="002779AC">
        <w:t>The volatility of these factors can have a major impact on the accuracy of the forecast</w:t>
      </w:r>
      <w:r>
        <w:t xml:space="preserve">. </w:t>
      </w:r>
      <w:r w:rsidRPr="002779AC">
        <w:t xml:space="preserve">This document will cover </w:t>
      </w:r>
      <w:r>
        <w:t xml:space="preserve">the following </w:t>
      </w:r>
      <w:r w:rsidR="00CE48CC">
        <w:t>five</w:t>
      </w:r>
      <w:r>
        <w:t xml:space="preserve"> areas</w:t>
      </w:r>
      <w:r w:rsidR="0027593C">
        <w:t>:</w:t>
      </w:r>
    </w:p>
    <w:p w14:paraId="65391358" w14:textId="77777777" w:rsidR="0027593C" w:rsidRPr="002779AC" w:rsidRDefault="0027593C" w:rsidP="00FB718F">
      <w:pPr>
        <w:spacing w:line="276" w:lineRule="auto"/>
      </w:pPr>
    </w:p>
    <w:p w14:paraId="5FE934F8" w14:textId="77777777" w:rsidR="00FB718F" w:rsidRPr="00C772CA" w:rsidRDefault="00FB718F" w:rsidP="00533877">
      <w:pPr>
        <w:pStyle w:val="ListParagraph"/>
        <w:numPr>
          <w:ilvl w:val="0"/>
          <w:numId w:val="1"/>
        </w:numPr>
        <w:rPr>
          <w:rFonts w:ascii="Times New Roman" w:hAnsi="Times New Roman"/>
          <w:sz w:val="24"/>
          <w:szCs w:val="24"/>
        </w:rPr>
      </w:pPr>
      <w:r>
        <w:rPr>
          <w:rFonts w:ascii="Times New Roman" w:hAnsi="Times New Roman"/>
          <w:sz w:val="24"/>
          <w:szCs w:val="24"/>
        </w:rPr>
        <w:t>W</w:t>
      </w:r>
      <w:r w:rsidRPr="00C772CA">
        <w:rPr>
          <w:rFonts w:ascii="Times New Roman" w:hAnsi="Times New Roman"/>
          <w:sz w:val="24"/>
          <w:szCs w:val="24"/>
        </w:rPr>
        <w:t xml:space="preserve">eather, </w:t>
      </w:r>
    </w:p>
    <w:p w14:paraId="10A1EB75" w14:textId="77777777" w:rsidR="00FB718F" w:rsidRPr="00C772CA" w:rsidRDefault="00FB718F" w:rsidP="00533877">
      <w:pPr>
        <w:pStyle w:val="ListParagraph"/>
        <w:numPr>
          <w:ilvl w:val="0"/>
          <w:numId w:val="1"/>
        </w:numPr>
        <w:rPr>
          <w:rFonts w:ascii="Times New Roman" w:hAnsi="Times New Roman"/>
          <w:sz w:val="24"/>
          <w:szCs w:val="24"/>
        </w:rPr>
      </w:pPr>
      <w:r>
        <w:rPr>
          <w:rFonts w:ascii="Times New Roman" w:hAnsi="Times New Roman"/>
          <w:sz w:val="24"/>
          <w:szCs w:val="24"/>
        </w:rPr>
        <w:t>E</w:t>
      </w:r>
      <w:r w:rsidRPr="00C772CA">
        <w:rPr>
          <w:rFonts w:ascii="Times New Roman" w:hAnsi="Times New Roman"/>
          <w:sz w:val="24"/>
          <w:szCs w:val="24"/>
        </w:rPr>
        <w:t xml:space="preserve">conomics, </w:t>
      </w:r>
    </w:p>
    <w:p w14:paraId="2ED2A76B" w14:textId="77777777" w:rsidR="00FB718F" w:rsidRPr="00C772CA" w:rsidRDefault="00FB718F" w:rsidP="00533877">
      <w:pPr>
        <w:pStyle w:val="ListParagraph"/>
        <w:numPr>
          <w:ilvl w:val="0"/>
          <w:numId w:val="1"/>
        </w:numPr>
        <w:rPr>
          <w:rFonts w:ascii="Times New Roman" w:hAnsi="Times New Roman"/>
          <w:sz w:val="24"/>
          <w:szCs w:val="24"/>
        </w:rPr>
      </w:pPr>
      <w:r>
        <w:rPr>
          <w:rFonts w:ascii="Times New Roman" w:hAnsi="Times New Roman"/>
          <w:sz w:val="24"/>
          <w:szCs w:val="24"/>
        </w:rPr>
        <w:t>Energy E</w:t>
      </w:r>
      <w:r w:rsidRPr="00C772CA">
        <w:rPr>
          <w:rFonts w:ascii="Times New Roman" w:hAnsi="Times New Roman"/>
          <w:sz w:val="24"/>
          <w:szCs w:val="24"/>
        </w:rPr>
        <w:t xml:space="preserve">fficiency, </w:t>
      </w:r>
    </w:p>
    <w:p w14:paraId="626D8B63" w14:textId="77777777" w:rsidR="00FB718F" w:rsidRPr="00C772CA" w:rsidRDefault="00FB718F" w:rsidP="00533877">
      <w:pPr>
        <w:pStyle w:val="ListParagraph"/>
        <w:numPr>
          <w:ilvl w:val="0"/>
          <w:numId w:val="1"/>
        </w:numPr>
        <w:rPr>
          <w:rFonts w:ascii="Times New Roman" w:hAnsi="Times New Roman"/>
          <w:sz w:val="24"/>
          <w:szCs w:val="24"/>
        </w:rPr>
      </w:pPr>
      <w:r>
        <w:rPr>
          <w:rFonts w:ascii="Times New Roman" w:hAnsi="Times New Roman"/>
          <w:sz w:val="24"/>
          <w:szCs w:val="24"/>
        </w:rPr>
        <w:t>Price Responsive Loads</w:t>
      </w:r>
      <w:r w:rsidRPr="00C772CA">
        <w:rPr>
          <w:rFonts w:ascii="Times New Roman" w:hAnsi="Times New Roman"/>
          <w:sz w:val="24"/>
          <w:szCs w:val="24"/>
        </w:rPr>
        <w:t xml:space="preserve">, </w:t>
      </w:r>
    </w:p>
    <w:p w14:paraId="1A6FCB9E" w14:textId="4DC88205" w:rsidR="00073F2E" w:rsidRPr="00FB718F" w:rsidRDefault="00073F2E" w:rsidP="00533877">
      <w:pPr>
        <w:pStyle w:val="ListParagraph"/>
        <w:numPr>
          <w:ilvl w:val="0"/>
          <w:numId w:val="1"/>
        </w:numPr>
      </w:pPr>
      <w:r>
        <w:rPr>
          <w:rFonts w:ascii="Times New Roman" w:hAnsi="Times New Roman"/>
          <w:sz w:val="24"/>
          <w:szCs w:val="24"/>
        </w:rPr>
        <w:t>Contracts and Officer Letters</w:t>
      </w:r>
    </w:p>
    <w:p w14:paraId="7C94FA94" w14:textId="77777777" w:rsidR="0027593C" w:rsidRDefault="0027593C" w:rsidP="006812D4">
      <w:pPr>
        <w:spacing w:line="276" w:lineRule="auto"/>
        <w:rPr>
          <w:u w:val="single"/>
        </w:rPr>
      </w:pPr>
    </w:p>
    <w:p w14:paraId="4B0B55B4" w14:textId="77777777" w:rsidR="005C316C" w:rsidRDefault="005C316C" w:rsidP="006812D4">
      <w:pPr>
        <w:spacing w:line="276" w:lineRule="auto"/>
        <w:rPr>
          <w:u w:val="single"/>
        </w:rPr>
      </w:pPr>
    </w:p>
    <w:p w14:paraId="199F696A" w14:textId="77777777" w:rsidR="005C316C" w:rsidRDefault="005C316C" w:rsidP="006812D4">
      <w:pPr>
        <w:spacing w:line="276" w:lineRule="auto"/>
        <w:rPr>
          <w:u w:val="single"/>
        </w:rPr>
      </w:pPr>
    </w:p>
    <w:p w14:paraId="5A5550B7" w14:textId="77777777" w:rsidR="005C316C" w:rsidRDefault="005C316C" w:rsidP="006812D4">
      <w:pPr>
        <w:spacing w:line="276" w:lineRule="auto"/>
        <w:rPr>
          <w:u w:val="single"/>
        </w:rPr>
      </w:pPr>
    </w:p>
    <w:p w14:paraId="2A1C7830" w14:textId="77777777" w:rsidR="00DA6443" w:rsidRDefault="00DA6443" w:rsidP="006812D4">
      <w:pPr>
        <w:spacing w:line="276" w:lineRule="auto"/>
        <w:rPr>
          <w:u w:val="single"/>
        </w:rPr>
      </w:pPr>
    </w:p>
    <w:p w14:paraId="06FF5776" w14:textId="77777777" w:rsidR="00DA6443" w:rsidRDefault="00DA6443" w:rsidP="006812D4">
      <w:pPr>
        <w:spacing w:line="276" w:lineRule="auto"/>
        <w:rPr>
          <w:u w:val="single"/>
        </w:rPr>
      </w:pPr>
    </w:p>
    <w:p w14:paraId="631542C0" w14:textId="77777777" w:rsidR="00DA6443" w:rsidRDefault="00DA6443" w:rsidP="006812D4">
      <w:pPr>
        <w:spacing w:line="276" w:lineRule="auto"/>
        <w:rPr>
          <w:u w:val="single"/>
        </w:rPr>
      </w:pPr>
    </w:p>
    <w:p w14:paraId="71DC4713" w14:textId="26072EA3" w:rsidR="00512C40" w:rsidRDefault="00512C40" w:rsidP="006812D4">
      <w:pPr>
        <w:spacing w:line="276" w:lineRule="auto"/>
        <w:rPr>
          <w:u w:val="single"/>
        </w:rPr>
      </w:pPr>
      <w:r w:rsidRPr="0027593C">
        <w:rPr>
          <w:u w:val="single"/>
        </w:rPr>
        <w:t>Weather Uncertainty</w:t>
      </w:r>
    </w:p>
    <w:p w14:paraId="64625319" w14:textId="77777777" w:rsidR="00DA6443" w:rsidRDefault="00DA6443" w:rsidP="006812D4">
      <w:pPr>
        <w:pStyle w:val="StyleLinespacingMultiple115li"/>
      </w:pPr>
    </w:p>
    <w:p w14:paraId="0C463F0A" w14:textId="7C5C993B" w:rsidR="00B37306" w:rsidRDefault="00342258" w:rsidP="006812D4">
      <w:pPr>
        <w:pStyle w:val="StyleLinespacingMultiple115li"/>
      </w:pPr>
      <w:r w:rsidRPr="00494899">
        <w:t xml:space="preserve">Figure </w:t>
      </w:r>
      <w:r w:rsidR="00491D1B">
        <w:t>7</w:t>
      </w:r>
      <w:r w:rsidR="00512C40" w:rsidRPr="00494899">
        <w:t xml:space="preserve"> </w:t>
      </w:r>
      <w:r w:rsidR="0058762A">
        <w:t>(page 1</w:t>
      </w:r>
      <w:r w:rsidR="00D615F2">
        <w:t>9</w:t>
      </w:r>
      <w:r w:rsidR="0058762A">
        <w:t xml:space="preserve">) </w:t>
      </w:r>
      <w:r w:rsidR="00512C40" w:rsidRPr="00494899">
        <w:t xml:space="preserve">suggests the significant </w:t>
      </w:r>
      <w:r w:rsidR="00F722FC" w:rsidRPr="00494899">
        <w:t>impact</w:t>
      </w:r>
      <w:r w:rsidR="00512C40" w:rsidRPr="00494899">
        <w:t xml:space="preserve"> of weather in forecasting</w:t>
      </w:r>
      <w:r w:rsidR="00C87A00" w:rsidRPr="00494899">
        <w:t xml:space="preserve">. </w:t>
      </w:r>
      <w:r w:rsidR="000A04B5" w:rsidRPr="00494899">
        <w:t>This figure shows what the 20</w:t>
      </w:r>
      <w:r w:rsidR="005C6175" w:rsidRPr="00494899">
        <w:t>2</w:t>
      </w:r>
      <w:r w:rsidR="00D4772B">
        <w:t xml:space="preserve">4 </w:t>
      </w:r>
      <w:r w:rsidR="00512C40" w:rsidRPr="00F96741">
        <w:t>forecasted peak demand would be using the actual wea</w:t>
      </w:r>
      <w:r w:rsidR="00EF12F6" w:rsidRPr="00F96741">
        <w:t xml:space="preserve">ther from </w:t>
      </w:r>
      <w:r w:rsidR="00F722FC" w:rsidRPr="00F96741">
        <w:t>each o</w:t>
      </w:r>
      <w:r w:rsidR="00037000" w:rsidRPr="00F96741">
        <w:t>f the past fifteen</w:t>
      </w:r>
      <w:r w:rsidR="008B235E" w:rsidRPr="00F96741">
        <w:t xml:space="preserve"> years</w:t>
      </w:r>
      <w:r w:rsidR="00512C40" w:rsidRPr="00F96741">
        <w:t xml:space="preserve"> as input in</w:t>
      </w:r>
      <w:r w:rsidR="002E2C93" w:rsidRPr="00F96741">
        <w:t>to</w:t>
      </w:r>
      <w:r w:rsidR="00512C40" w:rsidRPr="00F96741">
        <w:t xml:space="preserve"> the model</w:t>
      </w:r>
      <w:r w:rsidR="00C87A00" w:rsidRPr="00F96741">
        <w:t xml:space="preserve">. </w:t>
      </w:r>
      <w:r w:rsidR="00512C40" w:rsidRPr="00F96741">
        <w:t xml:space="preserve">As </w:t>
      </w:r>
      <w:r w:rsidR="00E77336" w:rsidRPr="00F96741">
        <w:t>shown</w:t>
      </w:r>
      <w:r w:rsidR="00512C40" w:rsidRPr="00F96741">
        <w:t xml:space="preserve">, there is considerable variability ranging from </w:t>
      </w:r>
      <w:r w:rsidR="00D02D34">
        <w:t>82</w:t>
      </w:r>
      <w:r w:rsidR="00D4772B">
        <w:t>,</w:t>
      </w:r>
      <w:r w:rsidR="00D02D34">
        <w:t>372</w:t>
      </w:r>
      <w:r w:rsidR="00512C40" w:rsidRPr="00F96741">
        <w:t xml:space="preserve"> MW usi</w:t>
      </w:r>
      <w:r w:rsidR="00494899" w:rsidRPr="00F96741">
        <w:t>ng 20</w:t>
      </w:r>
      <w:r w:rsidR="00F96741" w:rsidRPr="00F96741">
        <w:t>21</w:t>
      </w:r>
      <w:r w:rsidR="002779AC" w:rsidRPr="00F96741">
        <w:t>’s</w:t>
      </w:r>
      <w:r w:rsidR="00CB3622" w:rsidRPr="00F96741">
        <w:t xml:space="preserve"> weather to</w:t>
      </w:r>
      <w:r w:rsidR="00CB3622" w:rsidRPr="00F96741">
        <w:rPr>
          <w:color w:val="FF0000"/>
        </w:rPr>
        <w:t xml:space="preserve"> </w:t>
      </w:r>
      <w:r w:rsidR="00494899" w:rsidRPr="00F96741">
        <w:t>8</w:t>
      </w:r>
      <w:r w:rsidR="00D02D34">
        <w:t>8</w:t>
      </w:r>
      <w:r w:rsidR="00494899" w:rsidRPr="00F96741">
        <w:t>,</w:t>
      </w:r>
      <w:r w:rsidR="00D02D34">
        <w:t xml:space="preserve">784 </w:t>
      </w:r>
      <w:r w:rsidR="00EF12F6" w:rsidRPr="00F96741">
        <w:t>MW using 2011</w:t>
      </w:r>
      <w:r w:rsidR="002779AC" w:rsidRPr="00F96741">
        <w:t>’s</w:t>
      </w:r>
      <w:r w:rsidR="00512C40" w:rsidRPr="00F96741">
        <w:t xml:space="preserve"> weather</w:t>
      </w:r>
      <w:r w:rsidR="00C87A00" w:rsidRPr="00F96741">
        <w:t xml:space="preserve">. </w:t>
      </w:r>
      <w:r w:rsidR="00E95DB3" w:rsidRPr="00F96741">
        <w:t>Th</w:t>
      </w:r>
      <w:r w:rsidR="00683662" w:rsidRPr="00F96741">
        <w:t>i</w:t>
      </w:r>
      <w:r w:rsidR="00494899" w:rsidRPr="00F96741">
        <w:t>s equates to approximately a</w:t>
      </w:r>
      <w:r w:rsidR="00987AC5">
        <w:t>n</w:t>
      </w:r>
      <w:r w:rsidR="00494899" w:rsidRPr="00F96741">
        <w:t xml:space="preserve"> </w:t>
      </w:r>
      <w:r w:rsidR="00D4772B">
        <w:t>8</w:t>
      </w:r>
      <w:r w:rsidR="00E95DB3" w:rsidRPr="00F96741">
        <w:t xml:space="preserve">% difference in the forecast based on </w:t>
      </w:r>
      <w:r w:rsidR="00F722FC" w:rsidRPr="00F96741">
        <w:t xml:space="preserve">historical </w:t>
      </w:r>
      <w:r w:rsidR="00E95DB3" w:rsidRPr="00F96741">
        <w:t xml:space="preserve">weather </w:t>
      </w:r>
      <w:r w:rsidR="00F722FC" w:rsidRPr="00F96741">
        <w:t>volatility.</w:t>
      </w:r>
      <w:r w:rsidR="004338B0" w:rsidRPr="00F96741">
        <w:t xml:space="preserve"> Th</w:t>
      </w:r>
      <w:r w:rsidR="00F96741" w:rsidRPr="00F96741">
        <w:t>is</w:t>
      </w:r>
      <w:r w:rsidR="004338B0" w:rsidRPr="00F96741">
        <w:t xml:space="preserve"> variation </w:t>
      </w:r>
      <w:r w:rsidR="00D4772B">
        <w:t xml:space="preserve">is </w:t>
      </w:r>
      <w:r w:rsidR="004338B0" w:rsidRPr="00F96741">
        <w:t>due to differences in weather and calendar factors between the fifteen historical weather years.</w:t>
      </w:r>
    </w:p>
    <w:p w14:paraId="3BB8A9BC" w14:textId="36546358" w:rsidR="00B610D2" w:rsidRDefault="00B610D2" w:rsidP="006812D4">
      <w:pPr>
        <w:pStyle w:val="StyleLinespacingMultiple115li"/>
      </w:pPr>
    </w:p>
    <w:p w14:paraId="2D54EF59" w14:textId="3BBAB877" w:rsidR="0058762A" w:rsidRDefault="0058762A" w:rsidP="000A2E61">
      <w:pPr>
        <w:tabs>
          <w:tab w:val="left" w:pos="6532"/>
        </w:tabs>
        <w:spacing w:line="276" w:lineRule="auto"/>
      </w:pPr>
      <w:r w:rsidRPr="004C64BD">
        <w:t xml:space="preserve">Figure </w:t>
      </w:r>
      <w:r w:rsidR="00491D1B">
        <w:t>8</w:t>
      </w:r>
      <w:r w:rsidRPr="000A2E61">
        <w:t xml:space="preserve"> (page </w:t>
      </w:r>
      <w:r w:rsidR="00DA6443">
        <w:t>20</w:t>
      </w:r>
      <w:r w:rsidRPr="000A2E61">
        <w:t>) depicts weather volatility out to 20</w:t>
      </w:r>
      <w:r w:rsidR="00D4772B">
        <w:t>29</w:t>
      </w:r>
      <w:r w:rsidRPr="000A2E61">
        <w:t>. Assuming 20</w:t>
      </w:r>
      <w:r w:rsidR="000A2E61" w:rsidRPr="000A2E61">
        <w:t>21</w:t>
      </w:r>
      <w:r w:rsidRPr="000A2E61">
        <w:t xml:space="preserve"> weather (identified as the mild weather scenario) in 20</w:t>
      </w:r>
      <w:r w:rsidR="00D4772B">
        <w:t>29</w:t>
      </w:r>
      <w:r w:rsidRPr="000A2E61">
        <w:t>, would</w:t>
      </w:r>
      <w:r w:rsidR="00987AC5">
        <w:t xml:space="preserve"> result in</w:t>
      </w:r>
      <w:r w:rsidRPr="000A2E61">
        <w:t xml:space="preserve"> a</w:t>
      </w:r>
      <w:r w:rsidR="00814DBE">
        <w:t>n expected</w:t>
      </w:r>
      <w:r w:rsidRPr="000A2E61">
        <w:t xml:space="preserve"> peak of </w:t>
      </w:r>
      <w:r w:rsidR="00472F22">
        <w:t xml:space="preserve">136,857 </w:t>
      </w:r>
      <w:r w:rsidRPr="000A2E61">
        <w:t>MW. Assuming 2011 weather (identified as the extreme weather scenario) in 20</w:t>
      </w:r>
      <w:r w:rsidR="00D4772B">
        <w:t>29</w:t>
      </w:r>
      <w:r w:rsidRPr="000A2E61">
        <w:t xml:space="preserve">, results in a forecasted peak demand of </w:t>
      </w:r>
      <w:r w:rsidR="00472F22">
        <w:t>142,731</w:t>
      </w:r>
      <w:r w:rsidRPr="000A2E61">
        <w:t xml:space="preserve"> MW. This equates to approximately a </w:t>
      </w:r>
      <w:r w:rsidR="00D4772B">
        <w:t>7</w:t>
      </w:r>
      <w:r w:rsidRPr="000A2E61">
        <w:t>% difference in the forecast based on weather extremes.</w:t>
      </w:r>
    </w:p>
    <w:p w14:paraId="57E65BA0" w14:textId="2CE950F5" w:rsidR="005E48BB" w:rsidRDefault="005E48BB" w:rsidP="0058762A">
      <w:pPr>
        <w:spacing w:line="276" w:lineRule="auto"/>
        <w:rPr>
          <w:u w:val="single"/>
        </w:rPr>
      </w:pPr>
    </w:p>
    <w:p w14:paraId="699A87C5" w14:textId="77777777" w:rsidR="005E48BB" w:rsidRDefault="005E48BB" w:rsidP="0058762A">
      <w:pPr>
        <w:spacing w:line="276" w:lineRule="auto"/>
        <w:rPr>
          <w:u w:val="single"/>
        </w:rPr>
      </w:pPr>
    </w:p>
    <w:p w14:paraId="69CE01AC" w14:textId="3B55E763" w:rsidR="0058762A" w:rsidRDefault="0058762A" w:rsidP="0058762A">
      <w:pPr>
        <w:spacing w:line="276" w:lineRule="auto"/>
        <w:rPr>
          <w:u w:val="single"/>
        </w:rPr>
      </w:pPr>
      <w:r w:rsidRPr="00735820">
        <w:rPr>
          <w:u w:val="single"/>
        </w:rPr>
        <w:t>Economic Uncertainty</w:t>
      </w:r>
      <w:r>
        <w:rPr>
          <w:u w:val="single"/>
        </w:rPr>
        <w:t xml:space="preserve"> </w:t>
      </w:r>
    </w:p>
    <w:p w14:paraId="1F2301BF" w14:textId="77777777" w:rsidR="0058762A" w:rsidRDefault="0058762A" w:rsidP="0058762A">
      <w:pPr>
        <w:spacing w:line="276" w:lineRule="auto"/>
        <w:rPr>
          <w:u w:val="single"/>
        </w:rPr>
      </w:pPr>
    </w:p>
    <w:p w14:paraId="1D06C332" w14:textId="77777777" w:rsidR="0058762A" w:rsidRDefault="0058762A" w:rsidP="000A2E61">
      <w:pPr>
        <w:tabs>
          <w:tab w:val="left" w:pos="6532"/>
        </w:tabs>
        <w:spacing w:line="276" w:lineRule="auto"/>
      </w:pPr>
      <w:r>
        <w:t>Economic uncertainty impacts the premise forecasts. Stated differently, significant changes in economic forecasts will have impacts on the premise forecasts which, in turn, will be reflected in the peak demand and energy forecasts.  A recent example was the impact COVID-19 had on economic forecasts.  Premise forecasts were created using the base economic scenario from Moody’s Analytics.</w:t>
      </w:r>
    </w:p>
    <w:p w14:paraId="39C4822F" w14:textId="4AEBA48C" w:rsidR="0058762A" w:rsidRDefault="0058762A" w:rsidP="00B610D2">
      <w:pPr>
        <w:pStyle w:val="StyleLinespacingMultiple115li"/>
        <w:jc w:val="center"/>
        <w:rPr>
          <w:b/>
          <w:bCs/>
        </w:rPr>
      </w:pPr>
    </w:p>
    <w:p w14:paraId="4D1469F9" w14:textId="77777777" w:rsidR="00BF7E67" w:rsidRDefault="00BF7E67" w:rsidP="00B610D2">
      <w:pPr>
        <w:pStyle w:val="StyleLinespacingMultiple115li"/>
        <w:jc w:val="center"/>
        <w:rPr>
          <w:b/>
          <w:bCs/>
        </w:rPr>
      </w:pPr>
    </w:p>
    <w:p w14:paraId="5E73FCD6" w14:textId="4A32BA40" w:rsidR="00B610D2" w:rsidRDefault="00E123E5" w:rsidP="00B610D2">
      <w:pPr>
        <w:pStyle w:val="StyleLinespacingMultiple115li"/>
        <w:jc w:val="center"/>
        <w:rPr>
          <w:b/>
          <w:bCs/>
        </w:rPr>
      </w:pPr>
      <w:r>
        <w:rPr>
          <w:noProof/>
        </w:rPr>
        <w:lastRenderedPageBreak/>
        <w:drawing>
          <wp:anchor distT="0" distB="0" distL="114300" distR="114300" simplePos="0" relativeHeight="251659264" behindDoc="0" locked="0" layoutInCell="1" allowOverlap="1" wp14:anchorId="3B69A385" wp14:editId="362ED3EB">
            <wp:simplePos x="0" y="0"/>
            <wp:positionH relativeFrom="column">
              <wp:posOffset>485775</wp:posOffset>
            </wp:positionH>
            <wp:positionV relativeFrom="paragraph">
              <wp:posOffset>303530</wp:posOffset>
            </wp:positionV>
            <wp:extent cx="5676900" cy="3619500"/>
            <wp:effectExtent l="0" t="0" r="0" b="0"/>
            <wp:wrapTopAndBottom/>
            <wp:docPr id="18" name="Chart 18">
              <a:extLst xmlns:a="http://schemas.openxmlformats.org/drawingml/2006/main">
                <a:ext uri="{FF2B5EF4-FFF2-40B4-BE49-F238E27FC236}">
                  <a16:creationId xmlns:a16="http://schemas.microsoft.com/office/drawing/2014/main" id="{99F6C2E7-4FE6-3B53-CA24-1B8ECB9924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sidR="00B610D2" w:rsidRPr="00B610D2">
        <w:rPr>
          <w:b/>
          <w:bCs/>
        </w:rPr>
        <w:t xml:space="preserve">Figure </w:t>
      </w:r>
      <w:r w:rsidR="00DF2C4D">
        <w:rPr>
          <w:b/>
          <w:bCs/>
        </w:rPr>
        <w:t xml:space="preserve">7: </w:t>
      </w:r>
      <w:r w:rsidR="00B610D2" w:rsidRPr="00B610D2">
        <w:rPr>
          <w:b/>
          <w:bCs/>
        </w:rPr>
        <w:t>202</w:t>
      </w:r>
      <w:r w:rsidR="005E48BB">
        <w:rPr>
          <w:b/>
          <w:bCs/>
        </w:rPr>
        <w:t>4</w:t>
      </w:r>
      <w:r w:rsidR="00B610D2" w:rsidRPr="00B610D2">
        <w:rPr>
          <w:b/>
          <w:bCs/>
        </w:rPr>
        <w:t xml:space="preserve"> Summer Peak Demand Scenarios</w:t>
      </w:r>
    </w:p>
    <w:p w14:paraId="3FAFA835" w14:textId="61486165" w:rsidR="00C22B38" w:rsidRDefault="00C22B38" w:rsidP="0058762A">
      <w:pPr>
        <w:pStyle w:val="StyleLinespacingMultiple115li"/>
      </w:pPr>
    </w:p>
    <w:p w14:paraId="5DC5F814" w14:textId="77777777" w:rsidR="00887AFD" w:rsidRDefault="00887AFD" w:rsidP="00C22B38">
      <w:pPr>
        <w:spacing w:line="276" w:lineRule="auto"/>
        <w:rPr>
          <w:u w:val="single"/>
        </w:rPr>
      </w:pPr>
    </w:p>
    <w:p w14:paraId="2D608E35" w14:textId="4ABE457D" w:rsidR="00C22B38" w:rsidRDefault="00C22B38" w:rsidP="00C22B38">
      <w:pPr>
        <w:spacing w:line="276" w:lineRule="auto"/>
        <w:rPr>
          <w:u w:val="single"/>
        </w:rPr>
      </w:pPr>
      <w:r w:rsidRPr="00BA1913">
        <w:rPr>
          <w:u w:val="single"/>
        </w:rPr>
        <w:t>Energy Efficiency</w:t>
      </w:r>
    </w:p>
    <w:p w14:paraId="6C3C5015" w14:textId="77777777" w:rsidR="00C22B38" w:rsidRPr="00113420" w:rsidRDefault="00C22B38" w:rsidP="00C22B38">
      <w:pPr>
        <w:spacing w:line="276" w:lineRule="auto"/>
        <w:rPr>
          <w:u w:val="single"/>
        </w:rPr>
      </w:pPr>
    </w:p>
    <w:p w14:paraId="60D924BF" w14:textId="4A3DB15F" w:rsidR="00C22B38" w:rsidRDefault="00C22B38" w:rsidP="0058762A">
      <w:pPr>
        <w:tabs>
          <w:tab w:val="left" w:pos="6532"/>
        </w:tabs>
        <w:spacing w:line="276" w:lineRule="auto"/>
      </w:pPr>
      <w:r w:rsidRPr="00DE50A1">
        <w:t>Energy efficiency is a</w:t>
      </w:r>
      <w:r>
        <w:t>nother source of uncertainty</w:t>
      </w:r>
      <w:r w:rsidRPr="00DE50A1">
        <w:t>. First, it</w:t>
      </w:r>
      <w:r>
        <w:t xml:space="preserve"> must be recognized that the 202</w:t>
      </w:r>
      <w:r w:rsidR="005E48BB">
        <w:t>4</w:t>
      </w:r>
      <w:r w:rsidRPr="00DE50A1">
        <w:t xml:space="preserve"> LTDEF was a “frozen efficiency” forecast. That </w:t>
      </w:r>
      <w:r>
        <w:t>means the forecast model employs</w:t>
      </w:r>
      <w:r w:rsidRPr="00DE50A1">
        <w:t xml:space="preserve"> statistical techniques that estimate the relationships between </w:t>
      </w:r>
      <w:r w:rsidRPr="00113420">
        <w:t>load, weather</w:t>
      </w:r>
      <w:r>
        <w:t>, and economics based on historical data from January 201</w:t>
      </w:r>
      <w:r w:rsidR="005E48BB">
        <w:t>8</w:t>
      </w:r>
      <w:r>
        <w:t xml:space="preserve"> through </w:t>
      </w:r>
      <w:r w:rsidR="005E48BB">
        <w:t xml:space="preserve">May </w:t>
      </w:r>
      <w:r>
        <w:t>202</w:t>
      </w:r>
      <w:r w:rsidR="0058762A">
        <w:t>2</w:t>
      </w:r>
      <w:r>
        <w:t>.  The implicit assumption in the forecast is that there will be no significant change in the level of energy efficiency during the forecasted timeframe when compared to what occurred during the historical period used in the model building process</w:t>
      </w:r>
      <w:r w:rsidR="00C21F2E">
        <w:t>. This</w:t>
      </w:r>
      <w:r>
        <w:t xml:space="preserve"> means that the models assume the thermal characteristics of the housing stock and the characteristics of the mix of appliances will remain relatively the same</w:t>
      </w:r>
      <w:r w:rsidR="00C21F2E">
        <w:t xml:space="preserve"> throughout the forecast horizon</w:t>
      </w:r>
      <w:r>
        <w:t xml:space="preserve">. </w:t>
      </w:r>
    </w:p>
    <w:p w14:paraId="619298D5" w14:textId="4FFE138C" w:rsidR="0058762A" w:rsidRDefault="0058762A" w:rsidP="00CF2CAA">
      <w:pPr>
        <w:tabs>
          <w:tab w:val="left" w:pos="6532"/>
        </w:tabs>
      </w:pPr>
    </w:p>
    <w:p w14:paraId="0AF1F944" w14:textId="77777777" w:rsidR="0058762A" w:rsidRDefault="0058762A" w:rsidP="0058762A">
      <w:pPr>
        <w:spacing w:line="276" w:lineRule="auto"/>
        <w:rPr>
          <w:u w:val="single"/>
        </w:rPr>
      </w:pPr>
      <w:r>
        <w:rPr>
          <w:u w:val="single"/>
        </w:rPr>
        <w:t>Price Responsive Loads</w:t>
      </w:r>
    </w:p>
    <w:p w14:paraId="0DDF45CF" w14:textId="77777777" w:rsidR="005C316C" w:rsidRDefault="005C316C" w:rsidP="0058762A">
      <w:pPr>
        <w:spacing w:line="276" w:lineRule="auto"/>
        <w:rPr>
          <w:u w:val="single"/>
        </w:rPr>
      </w:pPr>
    </w:p>
    <w:p w14:paraId="0519D3B6" w14:textId="778A7575" w:rsidR="000A2E61" w:rsidRDefault="0058762A" w:rsidP="0058762A">
      <w:pPr>
        <w:pStyle w:val="StyleLinespacingMultiple115li"/>
      </w:pPr>
      <w:r>
        <w:t xml:space="preserve">Price responsive load programs are another area of uncertainty. Determining the impact of these programs is challenging, especially when you consider </w:t>
      </w:r>
      <w:r w:rsidR="000A2E61">
        <w:t>that</w:t>
      </w:r>
      <w:r>
        <w:t xml:space="preserve"> ERCOT’s price caps have increased from </w:t>
      </w:r>
      <w:r w:rsidRPr="00280A52">
        <w:t>$1,000/M</w:t>
      </w:r>
      <w:r>
        <w:t>Wh to $9,000/MW</w:t>
      </w:r>
      <w:r w:rsidRPr="00280A52">
        <w:t>h</w:t>
      </w:r>
      <w:r w:rsidR="000A2E61">
        <w:t xml:space="preserve"> followed by cut to $</w:t>
      </w:r>
      <w:r w:rsidR="00C21F2E">
        <w:t>5</w:t>
      </w:r>
      <w:r w:rsidR="000A2E61">
        <w:t xml:space="preserve">,000/MWh.  </w:t>
      </w:r>
      <w:r>
        <w:t xml:space="preserve">There have typically been few times with very high prices.  This makes forecasting their impacts difficult due to a scarcity of data.  There remains much uncertainty as to what future levels these programs may achieve. </w:t>
      </w:r>
    </w:p>
    <w:p w14:paraId="0C8E640C" w14:textId="4ADBB007" w:rsidR="0058762A" w:rsidRDefault="0058762A" w:rsidP="0058762A">
      <w:pPr>
        <w:pStyle w:val="StyleLinespacingMultiple115li"/>
      </w:pPr>
      <w:r>
        <w:t xml:space="preserve">Like Energy Efficiency, it must be recognized that the 2022 LTDEF is a “frozen” forecast with respect to price responsive loads. Price responsive loads are reflected in the forecast at the level that was observed </w:t>
      </w:r>
    </w:p>
    <w:p w14:paraId="4DA0D09D" w14:textId="666BC8B6" w:rsidR="0058762A" w:rsidRDefault="0058762A" w:rsidP="0058762A">
      <w:pPr>
        <w:pStyle w:val="StyleLinespacingMultiple115li"/>
      </w:pPr>
      <w:r>
        <w:t>during the historical period of January 201</w:t>
      </w:r>
      <w:r w:rsidR="005E48BB">
        <w:t>8</w:t>
      </w:r>
      <w:r>
        <w:t xml:space="preserve"> – </w:t>
      </w:r>
      <w:r w:rsidR="005E48BB">
        <w:t xml:space="preserve">May </w:t>
      </w:r>
      <w:r>
        <w:t>202</w:t>
      </w:r>
      <w:r w:rsidR="005E48BB">
        <w:t>2</w:t>
      </w:r>
      <w:r>
        <w:t xml:space="preserve">. In the future, ERCOT </w:t>
      </w:r>
      <w:r w:rsidRPr="001C2E37">
        <w:t>may</w:t>
      </w:r>
      <w:r>
        <w:t xml:space="preserve"> create price responsive load scenarios, which would adjust the forecasted peak demands.</w:t>
      </w:r>
    </w:p>
    <w:p w14:paraId="4A255B68" w14:textId="23324A81" w:rsidR="0058762A" w:rsidRDefault="0058762A" w:rsidP="000B41AC">
      <w:pPr>
        <w:tabs>
          <w:tab w:val="left" w:pos="6532"/>
        </w:tabs>
        <w:jc w:val="center"/>
        <w:rPr>
          <w:b/>
          <w:bCs/>
        </w:rPr>
      </w:pPr>
    </w:p>
    <w:p w14:paraId="5B60F08F" w14:textId="77777777" w:rsidR="00BF7E67" w:rsidRDefault="00BF7E67" w:rsidP="000B41AC">
      <w:pPr>
        <w:tabs>
          <w:tab w:val="left" w:pos="6532"/>
        </w:tabs>
        <w:jc w:val="center"/>
        <w:rPr>
          <w:b/>
          <w:bCs/>
        </w:rPr>
      </w:pPr>
    </w:p>
    <w:p w14:paraId="68036398" w14:textId="41A373BC" w:rsidR="009802F8" w:rsidRDefault="00181AF1" w:rsidP="00913EA9">
      <w:pPr>
        <w:tabs>
          <w:tab w:val="left" w:pos="6532"/>
        </w:tabs>
        <w:jc w:val="center"/>
        <w:rPr>
          <w:b/>
          <w:bCs/>
        </w:rPr>
      </w:pPr>
      <w:r>
        <w:rPr>
          <w:noProof/>
        </w:rPr>
        <w:drawing>
          <wp:anchor distT="0" distB="0" distL="114300" distR="114300" simplePos="0" relativeHeight="251660288" behindDoc="0" locked="0" layoutInCell="1" allowOverlap="1" wp14:anchorId="08AD8749" wp14:editId="7CDD7676">
            <wp:simplePos x="0" y="0"/>
            <wp:positionH relativeFrom="column">
              <wp:posOffset>276225</wp:posOffset>
            </wp:positionH>
            <wp:positionV relativeFrom="paragraph">
              <wp:posOffset>210820</wp:posOffset>
            </wp:positionV>
            <wp:extent cx="6686550" cy="3848100"/>
            <wp:effectExtent l="0" t="0" r="0" b="0"/>
            <wp:wrapTopAndBottom/>
            <wp:docPr id="19" name="Chart 19">
              <a:extLst xmlns:a="http://schemas.openxmlformats.org/drawingml/2006/main">
                <a:ext uri="{FF2B5EF4-FFF2-40B4-BE49-F238E27FC236}">
                  <a16:creationId xmlns:a16="http://schemas.microsoft.com/office/drawing/2014/main" id="{D72B4EC7-871D-11EB-1D9C-85B2F3466D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000B41AC" w:rsidRPr="000B41AC">
        <w:rPr>
          <w:b/>
          <w:bCs/>
        </w:rPr>
        <w:t xml:space="preserve">Figure </w:t>
      </w:r>
      <w:r w:rsidR="00DF2C4D">
        <w:rPr>
          <w:b/>
          <w:bCs/>
        </w:rPr>
        <w:t>8:</w:t>
      </w:r>
      <w:r w:rsidR="000B41AC" w:rsidRPr="000B41AC">
        <w:rPr>
          <w:b/>
          <w:bCs/>
        </w:rPr>
        <w:t xml:space="preserve"> Summer Peak Forecast Uncertainty Due to Weather</w:t>
      </w:r>
    </w:p>
    <w:p w14:paraId="07131B92" w14:textId="77777777" w:rsidR="00913EA9" w:rsidRPr="00913EA9" w:rsidRDefault="00913EA9" w:rsidP="00913EA9">
      <w:pPr>
        <w:tabs>
          <w:tab w:val="left" w:pos="6532"/>
        </w:tabs>
        <w:jc w:val="center"/>
        <w:rPr>
          <w:b/>
          <w:bCs/>
        </w:rPr>
      </w:pPr>
    </w:p>
    <w:p w14:paraId="08A20041" w14:textId="77777777" w:rsidR="00DF2C4D" w:rsidRDefault="00DF2C4D" w:rsidP="00F74F8F">
      <w:pPr>
        <w:pStyle w:val="StyleLinespacingMultiple115li"/>
        <w:rPr>
          <w:u w:val="single"/>
        </w:rPr>
      </w:pPr>
    </w:p>
    <w:p w14:paraId="69F26CDA" w14:textId="237F92A2" w:rsidR="00F74F8F" w:rsidRDefault="00F307AC" w:rsidP="00F74F8F">
      <w:pPr>
        <w:pStyle w:val="StyleLinespacingMultiple115li"/>
        <w:rPr>
          <w:u w:val="single"/>
        </w:rPr>
      </w:pPr>
      <w:r>
        <w:rPr>
          <w:u w:val="single"/>
        </w:rPr>
        <w:t>Contracted and Officer Letter Loads</w:t>
      </w:r>
    </w:p>
    <w:p w14:paraId="2AA29A06" w14:textId="77777777" w:rsidR="005C316C" w:rsidRPr="00F74F8F" w:rsidRDefault="005C316C" w:rsidP="00F74F8F">
      <w:pPr>
        <w:pStyle w:val="StyleLinespacingMultiple115li"/>
        <w:rPr>
          <w:u w:val="single"/>
        </w:rPr>
      </w:pPr>
    </w:p>
    <w:p w14:paraId="4DA56797" w14:textId="03AEEFCF" w:rsidR="00F74F8F" w:rsidRDefault="00F74F8F" w:rsidP="006812D4">
      <w:pPr>
        <w:pStyle w:val="StyleLinespacingMultiple115li"/>
        <w:rPr>
          <w:u w:val="single"/>
        </w:rPr>
      </w:pPr>
      <w:r w:rsidRPr="00F74F8F">
        <w:t>A key challenge in creating a load forecast is to determine if the model is adequately capturing the impact of future large industrial loads. Examples include liquefied natural gas facilities, oil and gas exploration, chemical processing plants,</w:t>
      </w:r>
      <w:r w:rsidR="00C21F2E">
        <w:t xml:space="preserve"> hydrogen production facilities,</w:t>
      </w:r>
      <w:r w:rsidRPr="00F74F8F">
        <w:t xml:space="preserve"> etc. ERCOT had discussions with Transmission Service Providers (TSPs) and gathered information on the expected growth of industrial load within their service territories. ERCOT carefully reviews the historical performance of long-term load forecasts to determine how well large industrial growth has been captured. Based on the results of this evaluation </w:t>
      </w:r>
      <w:r w:rsidR="003636A4">
        <w:t xml:space="preserve">ERCOT has created a forecast that captures the ramp rate of these new contracts and officer letters by weather zone </w:t>
      </w:r>
      <w:r w:rsidR="003F37C0">
        <w:t>and season</w:t>
      </w:r>
      <w:r w:rsidR="005E0DEC">
        <w:t xml:space="preserve"> and then include</w:t>
      </w:r>
      <w:r w:rsidR="003E0A07">
        <w:t>s them</w:t>
      </w:r>
      <w:r w:rsidR="005E0DEC">
        <w:t xml:space="preserve"> in the net forecast.</w:t>
      </w:r>
    </w:p>
    <w:p w14:paraId="62FF1C01" w14:textId="02665E39" w:rsidR="007A7832" w:rsidRDefault="007A7832" w:rsidP="004D31CE">
      <w:pPr>
        <w:pStyle w:val="StyleLinespacingMultiple115li"/>
      </w:pPr>
    </w:p>
    <w:p w14:paraId="53AF6E16" w14:textId="77777777" w:rsidR="007A7832" w:rsidRDefault="007A7832" w:rsidP="004D31CE">
      <w:pPr>
        <w:pStyle w:val="StyleLinespacingMultiple115li"/>
      </w:pPr>
    </w:p>
    <w:p w14:paraId="2224F8EA" w14:textId="77777777" w:rsidR="007A7832" w:rsidRDefault="007A7832" w:rsidP="004D31CE">
      <w:pPr>
        <w:pStyle w:val="StyleLinespacingMultiple115li"/>
      </w:pPr>
    </w:p>
    <w:p w14:paraId="4EFD65FD" w14:textId="6D7057DF" w:rsidR="004D31CE" w:rsidRPr="004D31CE" w:rsidRDefault="009E6550" w:rsidP="000F415E">
      <w:pPr>
        <w:tabs>
          <w:tab w:val="left" w:pos="6532"/>
        </w:tabs>
      </w:pPr>
      <w:r>
        <w:br w:type="page"/>
      </w:r>
    </w:p>
    <w:p w14:paraId="5FAC330D" w14:textId="6A3E71E6" w:rsidR="00760432" w:rsidRDefault="00760432" w:rsidP="00760432">
      <w:pPr>
        <w:pStyle w:val="StyleLinespacingMultiple115li"/>
      </w:pPr>
    </w:p>
    <w:p w14:paraId="68FC58C1" w14:textId="6C2F5D26" w:rsidR="00070026" w:rsidRPr="00D734F5" w:rsidRDefault="00070026" w:rsidP="00760432">
      <w:pPr>
        <w:jc w:val="center"/>
        <w:rPr>
          <w:b/>
          <w:u w:val="single"/>
        </w:rPr>
      </w:pPr>
      <w:r w:rsidRPr="00D734F5">
        <w:rPr>
          <w:b/>
          <w:u w:val="single"/>
        </w:rPr>
        <w:t>Appendix A</w:t>
      </w:r>
    </w:p>
    <w:p w14:paraId="33E5E2F8" w14:textId="77777777" w:rsidR="00B2600E" w:rsidRDefault="00A33A40" w:rsidP="00070026">
      <w:pPr>
        <w:spacing w:line="276" w:lineRule="auto"/>
        <w:jc w:val="center"/>
        <w:rPr>
          <w:b/>
          <w:u w:val="single"/>
        </w:rPr>
      </w:pPr>
      <w:r w:rsidRPr="00D734F5">
        <w:rPr>
          <w:b/>
          <w:u w:val="single"/>
        </w:rPr>
        <w:t xml:space="preserve">Peak Demand and Energy </w:t>
      </w:r>
      <w:r w:rsidR="00B2600E" w:rsidRPr="00D734F5">
        <w:rPr>
          <w:b/>
          <w:u w:val="single"/>
        </w:rPr>
        <w:t>Forecast Summary</w:t>
      </w:r>
    </w:p>
    <w:p w14:paraId="65AA3065" w14:textId="77777777" w:rsidR="002B1826" w:rsidRPr="0051299E" w:rsidRDefault="002B1826" w:rsidP="00070026">
      <w:pPr>
        <w:spacing w:line="276" w:lineRule="auto"/>
        <w:jc w:val="center"/>
        <w:rPr>
          <w:b/>
          <w:u w:val="single"/>
        </w:rPr>
      </w:pPr>
    </w:p>
    <w:tbl>
      <w:tblPr>
        <w:tblStyle w:val="LightShading-Accent11"/>
        <w:tblW w:w="6831" w:type="dxa"/>
        <w:jc w:val="center"/>
        <w:tblLook w:val="04A0" w:firstRow="1" w:lastRow="0" w:firstColumn="1" w:lastColumn="0" w:noHBand="0" w:noVBand="1"/>
      </w:tblPr>
      <w:tblGrid>
        <w:gridCol w:w="2277"/>
        <w:gridCol w:w="2278"/>
        <w:gridCol w:w="2276"/>
      </w:tblGrid>
      <w:tr w:rsidR="00FC6073" w14:paraId="025C7BC9" w14:textId="77777777" w:rsidTr="009E6550">
        <w:trPr>
          <w:cnfStyle w:val="100000000000" w:firstRow="1" w:lastRow="0" w:firstColumn="0" w:lastColumn="0" w:oddVBand="0" w:evenVBand="0" w:oddHBand="0" w:evenHBand="0" w:firstRowFirstColumn="0" w:firstRowLastColumn="0" w:lastRowFirstColumn="0" w:lastRowLastColumn="0"/>
          <w:trHeight w:val="744"/>
          <w:jc w:val="center"/>
        </w:trPr>
        <w:tc>
          <w:tcPr>
            <w:cnfStyle w:val="001000000000" w:firstRow="0" w:lastRow="0" w:firstColumn="1" w:lastColumn="0" w:oddVBand="0" w:evenVBand="0" w:oddHBand="0" w:evenHBand="0" w:firstRowFirstColumn="0" w:firstRowLastColumn="0" w:lastRowFirstColumn="0" w:lastRowLastColumn="0"/>
            <w:tcW w:w="2277" w:type="dxa"/>
            <w:noWrap/>
            <w:hideMark/>
          </w:tcPr>
          <w:p w14:paraId="73074B61" w14:textId="77777777" w:rsidR="00FC6073" w:rsidRPr="009E6550" w:rsidRDefault="00FC6073" w:rsidP="002B1826">
            <w:pPr>
              <w:jc w:val="center"/>
              <w:rPr>
                <w:rFonts w:ascii="Calibri" w:hAnsi="Calibri"/>
              </w:rPr>
            </w:pPr>
            <w:r w:rsidRPr="009E6550">
              <w:rPr>
                <w:rFonts w:ascii="Calibri" w:hAnsi="Calibri"/>
                <w:bCs w:val="0"/>
              </w:rPr>
              <w:t>Year</w:t>
            </w:r>
          </w:p>
        </w:tc>
        <w:tc>
          <w:tcPr>
            <w:tcW w:w="2278" w:type="dxa"/>
            <w:noWrap/>
            <w:hideMark/>
          </w:tcPr>
          <w:p w14:paraId="79E3B1A9" w14:textId="77777777" w:rsidR="00FC6073" w:rsidRPr="009E6550" w:rsidRDefault="00FC6073" w:rsidP="002B1826">
            <w:pPr>
              <w:jc w:val="center"/>
              <w:cnfStyle w:val="100000000000" w:firstRow="1" w:lastRow="0" w:firstColumn="0" w:lastColumn="0" w:oddVBand="0" w:evenVBand="0" w:oddHBand="0" w:evenHBand="0" w:firstRowFirstColumn="0" w:firstRowLastColumn="0" w:lastRowFirstColumn="0" w:lastRowLastColumn="0"/>
              <w:rPr>
                <w:rFonts w:ascii="Calibri" w:hAnsi="Calibri"/>
                <w:bCs w:val="0"/>
              </w:rPr>
            </w:pPr>
            <w:r w:rsidRPr="009E6550">
              <w:rPr>
                <w:rFonts w:ascii="Calibri" w:hAnsi="Calibri"/>
                <w:bCs w:val="0"/>
              </w:rPr>
              <w:t>Summer Peak Demand (MW)</w:t>
            </w:r>
          </w:p>
        </w:tc>
        <w:tc>
          <w:tcPr>
            <w:tcW w:w="2276" w:type="dxa"/>
            <w:noWrap/>
            <w:hideMark/>
          </w:tcPr>
          <w:p w14:paraId="2F23901D" w14:textId="77777777" w:rsidR="00FC6073" w:rsidRPr="009E6550" w:rsidRDefault="00FC6073" w:rsidP="002B1826">
            <w:pPr>
              <w:jc w:val="center"/>
              <w:cnfStyle w:val="100000000000" w:firstRow="1" w:lastRow="0" w:firstColumn="0" w:lastColumn="0" w:oddVBand="0" w:evenVBand="0" w:oddHBand="0" w:evenHBand="0" w:firstRowFirstColumn="0" w:firstRowLastColumn="0" w:lastRowFirstColumn="0" w:lastRowLastColumn="0"/>
              <w:rPr>
                <w:rFonts w:ascii="Calibri" w:hAnsi="Calibri"/>
                <w:bCs w:val="0"/>
              </w:rPr>
            </w:pPr>
            <w:r w:rsidRPr="009E6550">
              <w:rPr>
                <w:rFonts w:ascii="Calibri" w:hAnsi="Calibri"/>
                <w:bCs w:val="0"/>
              </w:rPr>
              <w:t>Energy (TWh)</w:t>
            </w:r>
          </w:p>
        </w:tc>
      </w:tr>
      <w:tr w:rsidR="00D8421E" w14:paraId="7E77CEE5" w14:textId="77777777" w:rsidTr="00FA631A">
        <w:trPr>
          <w:cnfStyle w:val="000000100000" w:firstRow="0" w:lastRow="0" w:firstColumn="0" w:lastColumn="0" w:oddVBand="0" w:evenVBand="0" w:oddHBand="1" w:evenHBand="0" w:firstRowFirstColumn="0" w:firstRowLastColumn="0" w:lastRowFirstColumn="0" w:lastRowLastColumn="0"/>
          <w:trHeight w:val="744"/>
          <w:jc w:val="center"/>
        </w:trPr>
        <w:tc>
          <w:tcPr>
            <w:cnfStyle w:val="001000000000" w:firstRow="0" w:lastRow="0" w:firstColumn="1" w:lastColumn="0" w:oddVBand="0" w:evenVBand="0" w:oddHBand="0" w:evenHBand="0" w:firstRowFirstColumn="0" w:firstRowLastColumn="0" w:lastRowFirstColumn="0" w:lastRowLastColumn="0"/>
            <w:tcW w:w="2277" w:type="dxa"/>
            <w:noWrap/>
            <w:hideMark/>
          </w:tcPr>
          <w:p w14:paraId="69314A36" w14:textId="77777777" w:rsidR="00D8421E" w:rsidRDefault="00D8421E" w:rsidP="00D8421E">
            <w:pPr>
              <w:jc w:val="center"/>
              <w:rPr>
                <w:b w:val="0"/>
                <w:bCs w:val="0"/>
              </w:rPr>
            </w:pPr>
          </w:p>
          <w:p w14:paraId="310579EE" w14:textId="22F0FCB7" w:rsidR="00D8421E" w:rsidRPr="002B1826" w:rsidRDefault="00D8421E" w:rsidP="00D8421E">
            <w:pPr>
              <w:jc w:val="center"/>
              <w:rPr>
                <w:rFonts w:ascii="Calibri" w:hAnsi="Calibri"/>
                <w:b w:val="0"/>
                <w:bCs w:val="0"/>
              </w:rPr>
            </w:pPr>
            <w:r w:rsidRPr="00451B7E">
              <w:t>202</w:t>
            </w:r>
            <w:r w:rsidR="002A1D48">
              <w:t>4</w:t>
            </w:r>
          </w:p>
        </w:tc>
        <w:tc>
          <w:tcPr>
            <w:tcW w:w="2278" w:type="dxa"/>
            <w:noWrap/>
            <w:hideMark/>
          </w:tcPr>
          <w:p w14:paraId="2A64F10F" w14:textId="77777777" w:rsidR="00D8421E" w:rsidRDefault="00D8421E" w:rsidP="00D8421E">
            <w:pPr>
              <w:jc w:val="center"/>
              <w:cnfStyle w:val="000000100000" w:firstRow="0" w:lastRow="0" w:firstColumn="0" w:lastColumn="0" w:oddVBand="0" w:evenVBand="0" w:oddHBand="1" w:evenHBand="0" w:firstRowFirstColumn="0" w:firstRowLastColumn="0" w:lastRowFirstColumn="0" w:lastRowLastColumn="0"/>
            </w:pPr>
            <w:r w:rsidRPr="00632EFD">
              <w:t xml:space="preserve"> </w:t>
            </w:r>
          </w:p>
          <w:p w14:paraId="3A2363E0" w14:textId="381880B8" w:rsidR="00D8421E" w:rsidRPr="002B1826" w:rsidRDefault="008916A3" w:rsidP="00D8421E">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t>86,017</w:t>
            </w:r>
          </w:p>
        </w:tc>
        <w:tc>
          <w:tcPr>
            <w:tcW w:w="2276" w:type="dxa"/>
            <w:noWrap/>
            <w:hideMark/>
          </w:tcPr>
          <w:p w14:paraId="294DF8EC" w14:textId="77777777" w:rsidR="00D8421E" w:rsidRDefault="00D8421E" w:rsidP="00D8421E">
            <w:pPr>
              <w:jc w:val="center"/>
              <w:cnfStyle w:val="000000100000" w:firstRow="0" w:lastRow="0" w:firstColumn="0" w:lastColumn="0" w:oddVBand="0" w:evenVBand="0" w:oddHBand="1" w:evenHBand="0" w:firstRowFirstColumn="0" w:firstRowLastColumn="0" w:lastRowFirstColumn="0" w:lastRowLastColumn="0"/>
            </w:pPr>
          </w:p>
          <w:p w14:paraId="7ABB4CA2" w14:textId="4B989853" w:rsidR="00D8421E" w:rsidRPr="002B1826" w:rsidRDefault="008456E1" w:rsidP="00D8421E">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sidRPr="008456E1">
              <w:t>4</w:t>
            </w:r>
            <w:r w:rsidR="008916A3">
              <w:t>97</w:t>
            </w:r>
          </w:p>
        </w:tc>
      </w:tr>
      <w:tr w:rsidR="00D8421E" w14:paraId="532C0B50" w14:textId="77777777" w:rsidTr="00FA631A">
        <w:trPr>
          <w:trHeight w:val="744"/>
          <w:jc w:val="center"/>
        </w:trPr>
        <w:tc>
          <w:tcPr>
            <w:cnfStyle w:val="001000000000" w:firstRow="0" w:lastRow="0" w:firstColumn="1" w:lastColumn="0" w:oddVBand="0" w:evenVBand="0" w:oddHBand="0" w:evenHBand="0" w:firstRowFirstColumn="0" w:firstRowLastColumn="0" w:lastRowFirstColumn="0" w:lastRowLastColumn="0"/>
            <w:tcW w:w="2277" w:type="dxa"/>
            <w:noWrap/>
            <w:hideMark/>
          </w:tcPr>
          <w:p w14:paraId="439D8A15" w14:textId="77777777" w:rsidR="00D8421E" w:rsidRDefault="00D8421E" w:rsidP="00D8421E">
            <w:pPr>
              <w:jc w:val="center"/>
              <w:rPr>
                <w:b w:val="0"/>
                <w:bCs w:val="0"/>
              </w:rPr>
            </w:pPr>
          </w:p>
          <w:p w14:paraId="554924B2" w14:textId="4F57F15C" w:rsidR="00D8421E" w:rsidRPr="002B1826" w:rsidRDefault="00D8421E" w:rsidP="00D8421E">
            <w:pPr>
              <w:jc w:val="center"/>
              <w:rPr>
                <w:rFonts w:ascii="Calibri" w:hAnsi="Calibri"/>
              </w:rPr>
            </w:pPr>
            <w:r w:rsidRPr="00451B7E">
              <w:t>202</w:t>
            </w:r>
            <w:r w:rsidR="002A1D48">
              <w:t>5</w:t>
            </w:r>
          </w:p>
        </w:tc>
        <w:tc>
          <w:tcPr>
            <w:tcW w:w="2278" w:type="dxa"/>
            <w:noWrap/>
            <w:hideMark/>
          </w:tcPr>
          <w:p w14:paraId="2747138F" w14:textId="77777777" w:rsidR="00D8421E" w:rsidRDefault="00D8421E" w:rsidP="00D8421E">
            <w:pPr>
              <w:jc w:val="center"/>
              <w:cnfStyle w:val="000000000000" w:firstRow="0" w:lastRow="0" w:firstColumn="0" w:lastColumn="0" w:oddVBand="0" w:evenVBand="0" w:oddHBand="0" w:evenHBand="0" w:firstRowFirstColumn="0" w:firstRowLastColumn="0" w:lastRowFirstColumn="0" w:lastRowLastColumn="0"/>
            </w:pPr>
            <w:r w:rsidRPr="00632EFD">
              <w:t xml:space="preserve"> </w:t>
            </w:r>
          </w:p>
          <w:p w14:paraId="7211A417" w14:textId="37B2C2F8" w:rsidR="00D8421E" w:rsidRPr="002B1826" w:rsidRDefault="008916A3" w:rsidP="00D8421E">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sidRPr="008916A3">
              <w:rPr>
                <w:rFonts w:ascii="Calibri" w:hAnsi="Calibri"/>
              </w:rPr>
              <w:t>90</w:t>
            </w:r>
            <w:r>
              <w:rPr>
                <w:rFonts w:ascii="Calibri" w:hAnsi="Calibri"/>
              </w:rPr>
              <w:t>,</w:t>
            </w:r>
            <w:r w:rsidRPr="008916A3">
              <w:rPr>
                <w:rFonts w:ascii="Calibri" w:hAnsi="Calibri"/>
              </w:rPr>
              <w:t>472</w:t>
            </w:r>
          </w:p>
        </w:tc>
        <w:tc>
          <w:tcPr>
            <w:tcW w:w="2276" w:type="dxa"/>
            <w:noWrap/>
            <w:hideMark/>
          </w:tcPr>
          <w:p w14:paraId="282C6294" w14:textId="77777777" w:rsidR="00D8421E" w:rsidRDefault="00D8421E" w:rsidP="00D8421E">
            <w:pPr>
              <w:jc w:val="center"/>
              <w:cnfStyle w:val="000000000000" w:firstRow="0" w:lastRow="0" w:firstColumn="0" w:lastColumn="0" w:oddVBand="0" w:evenVBand="0" w:oddHBand="0" w:evenHBand="0" w:firstRowFirstColumn="0" w:firstRowLastColumn="0" w:lastRowFirstColumn="0" w:lastRowLastColumn="0"/>
            </w:pPr>
          </w:p>
          <w:p w14:paraId="29D107FC" w14:textId="546B576C" w:rsidR="00D8421E" w:rsidRPr="002B1826" w:rsidRDefault="008916A3" w:rsidP="00D8421E">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t>547</w:t>
            </w:r>
          </w:p>
        </w:tc>
      </w:tr>
      <w:tr w:rsidR="00D8421E" w14:paraId="45BAB15A" w14:textId="77777777" w:rsidTr="00FA631A">
        <w:trPr>
          <w:cnfStyle w:val="000000100000" w:firstRow="0" w:lastRow="0" w:firstColumn="0" w:lastColumn="0" w:oddVBand="0" w:evenVBand="0" w:oddHBand="1" w:evenHBand="0" w:firstRowFirstColumn="0" w:firstRowLastColumn="0" w:lastRowFirstColumn="0" w:lastRowLastColumn="0"/>
          <w:trHeight w:val="744"/>
          <w:jc w:val="center"/>
        </w:trPr>
        <w:tc>
          <w:tcPr>
            <w:cnfStyle w:val="001000000000" w:firstRow="0" w:lastRow="0" w:firstColumn="1" w:lastColumn="0" w:oddVBand="0" w:evenVBand="0" w:oddHBand="0" w:evenHBand="0" w:firstRowFirstColumn="0" w:firstRowLastColumn="0" w:lastRowFirstColumn="0" w:lastRowLastColumn="0"/>
            <w:tcW w:w="2277" w:type="dxa"/>
            <w:noWrap/>
            <w:hideMark/>
          </w:tcPr>
          <w:p w14:paraId="2CA93B44" w14:textId="77777777" w:rsidR="00D8421E" w:rsidRDefault="00D8421E" w:rsidP="00D8421E">
            <w:pPr>
              <w:jc w:val="center"/>
              <w:rPr>
                <w:b w:val="0"/>
                <w:bCs w:val="0"/>
              </w:rPr>
            </w:pPr>
          </w:p>
          <w:p w14:paraId="5BBAE1D0" w14:textId="6F31948B" w:rsidR="00D8421E" w:rsidRPr="002B1826" w:rsidRDefault="00D8421E" w:rsidP="00D8421E">
            <w:pPr>
              <w:jc w:val="center"/>
              <w:rPr>
                <w:rFonts w:ascii="Calibri" w:hAnsi="Calibri"/>
              </w:rPr>
            </w:pPr>
            <w:r w:rsidRPr="00451B7E">
              <w:t>202</w:t>
            </w:r>
            <w:r w:rsidR="002A1D48">
              <w:t>6</w:t>
            </w:r>
          </w:p>
        </w:tc>
        <w:tc>
          <w:tcPr>
            <w:tcW w:w="2278" w:type="dxa"/>
            <w:noWrap/>
            <w:hideMark/>
          </w:tcPr>
          <w:p w14:paraId="052CA48A" w14:textId="77777777" w:rsidR="00D8421E" w:rsidRDefault="00D8421E" w:rsidP="00D8421E">
            <w:pPr>
              <w:jc w:val="center"/>
              <w:cnfStyle w:val="000000100000" w:firstRow="0" w:lastRow="0" w:firstColumn="0" w:lastColumn="0" w:oddVBand="0" w:evenVBand="0" w:oddHBand="1" w:evenHBand="0" w:firstRowFirstColumn="0" w:firstRowLastColumn="0" w:lastRowFirstColumn="0" w:lastRowLastColumn="0"/>
            </w:pPr>
          </w:p>
          <w:p w14:paraId="2B75DC07" w14:textId="4E5C0B5D" w:rsidR="00D8421E" w:rsidRPr="002B1826" w:rsidRDefault="00D8421E" w:rsidP="00D8421E">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sidRPr="00632EFD">
              <w:t xml:space="preserve"> </w:t>
            </w:r>
            <w:r w:rsidR="008916A3" w:rsidRPr="008916A3">
              <w:t>106</w:t>
            </w:r>
            <w:r w:rsidR="008916A3">
              <w:t>,</w:t>
            </w:r>
            <w:r w:rsidR="008916A3" w:rsidRPr="008916A3">
              <w:t>405</w:t>
            </w:r>
          </w:p>
        </w:tc>
        <w:tc>
          <w:tcPr>
            <w:tcW w:w="2276" w:type="dxa"/>
            <w:noWrap/>
            <w:hideMark/>
          </w:tcPr>
          <w:p w14:paraId="15431E31" w14:textId="77777777" w:rsidR="00D8421E" w:rsidRDefault="00D8421E" w:rsidP="00D8421E">
            <w:pPr>
              <w:jc w:val="center"/>
              <w:cnfStyle w:val="000000100000" w:firstRow="0" w:lastRow="0" w:firstColumn="0" w:lastColumn="0" w:oddVBand="0" w:evenVBand="0" w:oddHBand="1" w:evenHBand="0" w:firstRowFirstColumn="0" w:firstRowLastColumn="0" w:lastRowFirstColumn="0" w:lastRowLastColumn="0"/>
            </w:pPr>
          </w:p>
          <w:p w14:paraId="6386CEDC" w14:textId="592A192D" w:rsidR="00D8421E" w:rsidRPr="002B1826" w:rsidRDefault="008916A3" w:rsidP="00D8421E">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t>653</w:t>
            </w:r>
          </w:p>
        </w:tc>
      </w:tr>
      <w:tr w:rsidR="00D8421E" w14:paraId="19826922" w14:textId="77777777" w:rsidTr="00FA631A">
        <w:trPr>
          <w:trHeight w:val="744"/>
          <w:jc w:val="center"/>
        </w:trPr>
        <w:tc>
          <w:tcPr>
            <w:cnfStyle w:val="001000000000" w:firstRow="0" w:lastRow="0" w:firstColumn="1" w:lastColumn="0" w:oddVBand="0" w:evenVBand="0" w:oddHBand="0" w:evenHBand="0" w:firstRowFirstColumn="0" w:firstRowLastColumn="0" w:lastRowFirstColumn="0" w:lastRowLastColumn="0"/>
            <w:tcW w:w="2277" w:type="dxa"/>
            <w:noWrap/>
            <w:hideMark/>
          </w:tcPr>
          <w:p w14:paraId="61B2FA77" w14:textId="77777777" w:rsidR="00D8421E" w:rsidRDefault="00D8421E" w:rsidP="00D8421E">
            <w:pPr>
              <w:jc w:val="center"/>
              <w:rPr>
                <w:b w:val="0"/>
                <w:bCs w:val="0"/>
              </w:rPr>
            </w:pPr>
          </w:p>
          <w:p w14:paraId="2632A4F6" w14:textId="508DD79A" w:rsidR="00D8421E" w:rsidRPr="002B1826" w:rsidRDefault="00D8421E" w:rsidP="00D8421E">
            <w:pPr>
              <w:jc w:val="center"/>
              <w:rPr>
                <w:rFonts w:ascii="Calibri" w:hAnsi="Calibri"/>
              </w:rPr>
            </w:pPr>
            <w:r w:rsidRPr="00451B7E">
              <w:t>202</w:t>
            </w:r>
            <w:r w:rsidR="002A1D48">
              <w:t>7</w:t>
            </w:r>
          </w:p>
        </w:tc>
        <w:tc>
          <w:tcPr>
            <w:tcW w:w="2278" w:type="dxa"/>
            <w:noWrap/>
            <w:hideMark/>
          </w:tcPr>
          <w:p w14:paraId="4C386E6E" w14:textId="77777777" w:rsidR="00D8421E" w:rsidRDefault="00D8421E" w:rsidP="00D8421E">
            <w:pPr>
              <w:jc w:val="center"/>
              <w:cnfStyle w:val="000000000000" w:firstRow="0" w:lastRow="0" w:firstColumn="0" w:lastColumn="0" w:oddVBand="0" w:evenVBand="0" w:oddHBand="0" w:evenHBand="0" w:firstRowFirstColumn="0" w:firstRowLastColumn="0" w:lastRowFirstColumn="0" w:lastRowLastColumn="0"/>
            </w:pPr>
          </w:p>
          <w:p w14:paraId="7FEF2DFB" w14:textId="193693AD" w:rsidR="00D8421E" w:rsidRPr="002B1826" w:rsidRDefault="00D8421E" w:rsidP="00D8421E">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sidRPr="00632EFD">
              <w:t xml:space="preserve"> </w:t>
            </w:r>
            <w:r w:rsidR="008916A3" w:rsidRPr="008916A3">
              <w:t>121</w:t>
            </w:r>
            <w:r w:rsidR="008916A3">
              <w:t>,</w:t>
            </w:r>
            <w:r w:rsidR="008916A3" w:rsidRPr="008916A3">
              <w:t>140</w:t>
            </w:r>
          </w:p>
        </w:tc>
        <w:tc>
          <w:tcPr>
            <w:tcW w:w="2276" w:type="dxa"/>
            <w:noWrap/>
            <w:hideMark/>
          </w:tcPr>
          <w:p w14:paraId="0F551A61" w14:textId="77777777" w:rsidR="00D8421E" w:rsidRDefault="00D8421E" w:rsidP="00D8421E">
            <w:pPr>
              <w:jc w:val="center"/>
              <w:cnfStyle w:val="000000000000" w:firstRow="0" w:lastRow="0" w:firstColumn="0" w:lastColumn="0" w:oddVBand="0" w:evenVBand="0" w:oddHBand="0" w:evenHBand="0" w:firstRowFirstColumn="0" w:firstRowLastColumn="0" w:lastRowFirstColumn="0" w:lastRowLastColumn="0"/>
            </w:pPr>
          </w:p>
          <w:p w14:paraId="15C3F45E" w14:textId="45074079" w:rsidR="00D8421E" w:rsidRPr="002B1826" w:rsidRDefault="008916A3" w:rsidP="00D8421E">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sidRPr="008916A3">
              <w:rPr>
                <w:rFonts w:ascii="Calibri" w:hAnsi="Calibri"/>
              </w:rPr>
              <w:t>79</w:t>
            </w:r>
            <w:r>
              <w:rPr>
                <w:rFonts w:ascii="Calibri" w:hAnsi="Calibri"/>
              </w:rPr>
              <w:t>1</w:t>
            </w:r>
          </w:p>
        </w:tc>
      </w:tr>
      <w:tr w:rsidR="00D8421E" w14:paraId="6438B42E" w14:textId="77777777" w:rsidTr="00FA631A">
        <w:trPr>
          <w:cnfStyle w:val="000000100000" w:firstRow="0" w:lastRow="0" w:firstColumn="0" w:lastColumn="0" w:oddVBand="0" w:evenVBand="0" w:oddHBand="1" w:evenHBand="0" w:firstRowFirstColumn="0" w:firstRowLastColumn="0" w:lastRowFirstColumn="0" w:lastRowLastColumn="0"/>
          <w:trHeight w:val="744"/>
          <w:jc w:val="center"/>
        </w:trPr>
        <w:tc>
          <w:tcPr>
            <w:cnfStyle w:val="001000000000" w:firstRow="0" w:lastRow="0" w:firstColumn="1" w:lastColumn="0" w:oddVBand="0" w:evenVBand="0" w:oddHBand="0" w:evenHBand="0" w:firstRowFirstColumn="0" w:firstRowLastColumn="0" w:lastRowFirstColumn="0" w:lastRowLastColumn="0"/>
            <w:tcW w:w="2277" w:type="dxa"/>
            <w:noWrap/>
            <w:hideMark/>
          </w:tcPr>
          <w:p w14:paraId="6130623E" w14:textId="77777777" w:rsidR="00D8421E" w:rsidRDefault="00D8421E" w:rsidP="00D8421E">
            <w:pPr>
              <w:jc w:val="center"/>
              <w:rPr>
                <w:b w:val="0"/>
                <w:bCs w:val="0"/>
              </w:rPr>
            </w:pPr>
          </w:p>
          <w:p w14:paraId="3B07EC8F" w14:textId="2BC40119" w:rsidR="00D8421E" w:rsidRPr="002B1826" w:rsidRDefault="00D8421E" w:rsidP="00D8421E">
            <w:pPr>
              <w:jc w:val="center"/>
              <w:rPr>
                <w:rFonts w:ascii="Calibri" w:hAnsi="Calibri"/>
              </w:rPr>
            </w:pPr>
            <w:r w:rsidRPr="00451B7E">
              <w:t>202</w:t>
            </w:r>
            <w:r w:rsidR="002A1D48">
              <w:t>8</w:t>
            </w:r>
          </w:p>
        </w:tc>
        <w:tc>
          <w:tcPr>
            <w:tcW w:w="2278" w:type="dxa"/>
            <w:noWrap/>
            <w:hideMark/>
          </w:tcPr>
          <w:p w14:paraId="626BCF5A" w14:textId="77777777" w:rsidR="00D8421E" w:rsidRDefault="00D8421E" w:rsidP="00D8421E">
            <w:pPr>
              <w:jc w:val="center"/>
              <w:cnfStyle w:val="000000100000" w:firstRow="0" w:lastRow="0" w:firstColumn="0" w:lastColumn="0" w:oddVBand="0" w:evenVBand="0" w:oddHBand="1" w:evenHBand="0" w:firstRowFirstColumn="0" w:firstRowLastColumn="0" w:lastRowFirstColumn="0" w:lastRowLastColumn="0"/>
            </w:pPr>
            <w:r w:rsidRPr="00632EFD">
              <w:t xml:space="preserve"> </w:t>
            </w:r>
          </w:p>
          <w:p w14:paraId="3A0AEE0F" w14:textId="342D172B" w:rsidR="00D8421E" w:rsidRPr="002B1826" w:rsidRDefault="008916A3" w:rsidP="00D8421E">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sidRPr="008916A3">
              <w:rPr>
                <w:rFonts w:ascii="Calibri" w:hAnsi="Calibri"/>
              </w:rPr>
              <w:t>137</w:t>
            </w:r>
            <w:r>
              <w:rPr>
                <w:rFonts w:ascii="Calibri" w:hAnsi="Calibri"/>
              </w:rPr>
              <w:t>,</w:t>
            </w:r>
            <w:r w:rsidRPr="008916A3">
              <w:rPr>
                <w:rFonts w:ascii="Calibri" w:hAnsi="Calibri"/>
              </w:rPr>
              <w:t>31</w:t>
            </w:r>
            <w:r>
              <w:rPr>
                <w:rFonts w:ascii="Calibri" w:hAnsi="Calibri"/>
              </w:rPr>
              <w:t>9</w:t>
            </w:r>
          </w:p>
        </w:tc>
        <w:tc>
          <w:tcPr>
            <w:tcW w:w="2276" w:type="dxa"/>
            <w:noWrap/>
            <w:hideMark/>
          </w:tcPr>
          <w:p w14:paraId="412C88D8" w14:textId="77777777" w:rsidR="00D8421E" w:rsidRDefault="00D8421E" w:rsidP="00D8421E">
            <w:pPr>
              <w:jc w:val="center"/>
              <w:cnfStyle w:val="000000100000" w:firstRow="0" w:lastRow="0" w:firstColumn="0" w:lastColumn="0" w:oddVBand="0" w:evenVBand="0" w:oddHBand="1" w:evenHBand="0" w:firstRowFirstColumn="0" w:firstRowLastColumn="0" w:lastRowFirstColumn="0" w:lastRowLastColumn="0"/>
            </w:pPr>
          </w:p>
          <w:p w14:paraId="505B938F" w14:textId="67D3DEC8" w:rsidR="00D8421E" w:rsidRPr="002B1826" w:rsidRDefault="008916A3" w:rsidP="00D8421E">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sidRPr="008916A3">
              <w:rPr>
                <w:rFonts w:ascii="Calibri" w:hAnsi="Calibri"/>
              </w:rPr>
              <w:t>93</w:t>
            </w:r>
            <w:r>
              <w:rPr>
                <w:rFonts w:ascii="Calibri" w:hAnsi="Calibri"/>
              </w:rPr>
              <w:t>2</w:t>
            </w:r>
          </w:p>
        </w:tc>
      </w:tr>
      <w:tr w:rsidR="00D8421E" w14:paraId="4C6DBA0D" w14:textId="77777777" w:rsidTr="00FA631A">
        <w:trPr>
          <w:trHeight w:val="744"/>
          <w:jc w:val="center"/>
        </w:trPr>
        <w:tc>
          <w:tcPr>
            <w:cnfStyle w:val="001000000000" w:firstRow="0" w:lastRow="0" w:firstColumn="1" w:lastColumn="0" w:oddVBand="0" w:evenVBand="0" w:oddHBand="0" w:evenHBand="0" w:firstRowFirstColumn="0" w:firstRowLastColumn="0" w:lastRowFirstColumn="0" w:lastRowLastColumn="0"/>
            <w:tcW w:w="2277" w:type="dxa"/>
            <w:noWrap/>
            <w:hideMark/>
          </w:tcPr>
          <w:p w14:paraId="65B44F54" w14:textId="77777777" w:rsidR="00D8421E" w:rsidRDefault="00D8421E" w:rsidP="00D8421E">
            <w:pPr>
              <w:jc w:val="center"/>
              <w:rPr>
                <w:b w:val="0"/>
                <w:bCs w:val="0"/>
              </w:rPr>
            </w:pPr>
          </w:p>
          <w:p w14:paraId="6E6543BE" w14:textId="3740F238" w:rsidR="00D8421E" w:rsidRPr="002B1826" w:rsidRDefault="00D8421E" w:rsidP="00D8421E">
            <w:pPr>
              <w:jc w:val="center"/>
              <w:rPr>
                <w:rFonts w:ascii="Calibri" w:hAnsi="Calibri"/>
              </w:rPr>
            </w:pPr>
            <w:r w:rsidRPr="00451B7E">
              <w:t>202</w:t>
            </w:r>
            <w:r w:rsidR="002A1D48">
              <w:t>9</w:t>
            </w:r>
          </w:p>
        </w:tc>
        <w:tc>
          <w:tcPr>
            <w:tcW w:w="2278" w:type="dxa"/>
            <w:noWrap/>
            <w:hideMark/>
          </w:tcPr>
          <w:p w14:paraId="2CC3D4DF" w14:textId="77777777" w:rsidR="00D8421E" w:rsidRDefault="00D8421E" w:rsidP="00D8421E">
            <w:pPr>
              <w:jc w:val="center"/>
              <w:cnfStyle w:val="000000000000" w:firstRow="0" w:lastRow="0" w:firstColumn="0" w:lastColumn="0" w:oddVBand="0" w:evenVBand="0" w:oddHBand="0" w:evenHBand="0" w:firstRowFirstColumn="0" w:firstRowLastColumn="0" w:lastRowFirstColumn="0" w:lastRowLastColumn="0"/>
            </w:pPr>
            <w:r w:rsidRPr="00632EFD">
              <w:t xml:space="preserve"> </w:t>
            </w:r>
          </w:p>
          <w:p w14:paraId="3DE4B39B" w14:textId="43D810AB" w:rsidR="00D8421E" w:rsidRPr="002B1826" w:rsidRDefault="008916A3" w:rsidP="00D8421E">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sidRPr="008916A3">
              <w:rPr>
                <w:rFonts w:ascii="Calibri" w:hAnsi="Calibri"/>
              </w:rPr>
              <w:t>140</w:t>
            </w:r>
            <w:r>
              <w:rPr>
                <w:rFonts w:ascii="Calibri" w:hAnsi="Calibri"/>
              </w:rPr>
              <w:t>,</w:t>
            </w:r>
            <w:r w:rsidRPr="008916A3">
              <w:rPr>
                <w:rFonts w:ascii="Calibri" w:hAnsi="Calibri"/>
              </w:rPr>
              <w:t>872</w:t>
            </w:r>
          </w:p>
        </w:tc>
        <w:tc>
          <w:tcPr>
            <w:tcW w:w="2276" w:type="dxa"/>
            <w:noWrap/>
            <w:hideMark/>
          </w:tcPr>
          <w:p w14:paraId="36377CBC" w14:textId="77777777" w:rsidR="00D8421E" w:rsidRDefault="00D8421E" w:rsidP="00D8421E">
            <w:pPr>
              <w:jc w:val="center"/>
              <w:cnfStyle w:val="000000000000" w:firstRow="0" w:lastRow="0" w:firstColumn="0" w:lastColumn="0" w:oddVBand="0" w:evenVBand="0" w:oddHBand="0" w:evenHBand="0" w:firstRowFirstColumn="0" w:firstRowLastColumn="0" w:lastRowFirstColumn="0" w:lastRowLastColumn="0"/>
            </w:pPr>
          </w:p>
          <w:p w14:paraId="09CB0439" w14:textId="68AF87A1" w:rsidR="00D8421E" w:rsidRPr="002B1826" w:rsidRDefault="008916A3" w:rsidP="00D8421E">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t>1006</w:t>
            </w:r>
          </w:p>
        </w:tc>
      </w:tr>
      <w:tr w:rsidR="00D8421E" w14:paraId="25EC05E4" w14:textId="77777777" w:rsidTr="00FA631A">
        <w:trPr>
          <w:cnfStyle w:val="000000100000" w:firstRow="0" w:lastRow="0" w:firstColumn="0" w:lastColumn="0" w:oddVBand="0" w:evenVBand="0" w:oddHBand="1" w:evenHBand="0" w:firstRowFirstColumn="0" w:firstRowLastColumn="0" w:lastRowFirstColumn="0" w:lastRowLastColumn="0"/>
          <w:trHeight w:val="744"/>
          <w:jc w:val="center"/>
        </w:trPr>
        <w:tc>
          <w:tcPr>
            <w:cnfStyle w:val="001000000000" w:firstRow="0" w:lastRow="0" w:firstColumn="1" w:lastColumn="0" w:oddVBand="0" w:evenVBand="0" w:oddHBand="0" w:evenHBand="0" w:firstRowFirstColumn="0" w:firstRowLastColumn="0" w:lastRowFirstColumn="0" w:lastRowLastColumn="0"/>
            <w:tcW w:w="2277" w:type="dxa"/>
            <w:noWrap/>
            <w:hideMark/>
          </w:tcPr>
          <w:p w14:paraId="25F9936B" w14:textId="77777777" w:rsidR="00D8421E" w:rsidRDefault="00D8421E" w:rsidP="00D8421E">
            <w:pPr>
              <w:jc w:val="center"/>
              <w:rPr>
                <w:b w:val="0"/>
                <w:bCs w:val="0"/>
              </w:rPr>
            </w:pPr>
          </w:p>
          <w:p w14:paraId="2887592B" w14:textId="0ECB47E1" w:rsidR="00D8421E" w:rsidRPr="002B1826" w:rsidRDefault="00D8421E" w:rsidP="00D8421E">
            <w:pPr>
              <w:jc w:val="center"/>
              <w:rPr>
                <w:rFonts w:ascii="Calibri" w:hAnsi="Calibri"/>
              </w:rPr>
            </w:pPr>
            <w:r w:rsidRPr="00451B7E">
              <w:t>20</w:t>
            </w:r>
            <w:r w:rsidR="002A1D48">
              <w:t>30</w:t>
            </w:r>
          </w:p>
        </w:tc>
        <w:tc>
          <w:tcPr>
            <w:tcW w:w="2278" w:type="dxa"/>
            <w:noWrap/>
            <w:hideMark/>
          </w:tcPr>
          <w:p w14:paraId="3E932248" w14:textId="77777777" w:rsidR="00D8421E" w:rsidRDefault="00D8421E" w:rsidP="00D8421E">
            <w:pPr>
              <w:jc w:val="center"/>
              <w:cnfStyle w:val="000000100000" w:firstRow="0" w:lastRow="0" w:firstColumn="0" w:lastColumn="0" w:oddVBand="0" w:evenVBand="0" w:oddHBand="1" w:evenHBand="0" w:firstRowFirstColumn="0" w:firstRowLastColumn="0" w:lastRowFirstColumn="0" w:lastRowLastColumn="0"/>
            </w:pPr>
            <w:r w:rsidRPr="00632EFD">
              <w:t xml:space="preserve"> </w:t>
            </w:r>
          </w:p>
          <w:p w14:paraId="6B74954B" w14:textId="7ABDAF89" w:rsidR="00D8421E" w:rsidRPr="002B1826" w:rsidRDefault="00563C25" w:rsidP="00D8421E">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sidRPr="00563C25">
              <w:rPr>
                <w:rFonts w:ascii="Calibri" w:hAnsi="Calibri"/>
              </w:rPr>
              <w:t>147</w:t>
            </w:r>
            <w:r>
              <w:rPr>
                <w:rFonts w:ascii="Calibri" w:hAnsi="Calibri"/>
              </w:rPr>
              <w:t>,</w:t>
            </w:r>
            <w:r w:rsidRPr="00563C25">
              <w:rPr>
                <w:rFonts w:ascii="Calibri" w:hAnsi="Calibri"/>
              </w:rPr>
              <w:t>97</w:t>
            </w:r>
            <w:r>
              <w:rPr>
                <w:rFonts w:ascii="Calibri" w:hAnsi="Calibri"/>
              </w:rPr>
              <w:t>7</w:t>
            </w:r>
          </w:p>
        </w:tc>
        <w:tc>
          <w:tcPr>
            <w:tcW w:w="2276" w:type="dxa"/>
            <w:noWrap/>
            <w:hideMark/>
          </w:tcPr>
          <w:p w14:paraId="18114765" w14:textId="77777777" w:rsidR="00D8421E" w:rsidRDefault="00D8421E" w:rsidP="00D8421E">
            <w:pPr>
              <w:jc w:val="center"/>
              <w:cnfStyle w:val="000000100000" w:firstRow="0" w:lastRow="0" w:firstColumn="0" w:lastColumn="0" w:oddVBand="0" w:evenVBand="0" w:oddHBand="1" w:evenHBand="0" w:firstRowFirstColumn="0" w:firstRowLastColumn="0" w:lastRowFirstColumn="0" w:lastRowLastColumn="0"/>
            </w:pPr>
          </w:p>
          <w:p w14:paraId="729053CE" w14:textId="422C0689" w:rsidR="00D8421E" w:rsidRPr="002B1826" w:rsidRDefault="00563C25" w:rsidP="00D8421E">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t>1058</w:t>
            </w:r>
          </w:p>
        </w:tc>
      </w:tr>
      <w:tr w:rsidR="00D8421E" w14:paraId="38BDE454" w14:textId="77777777" w:rsidTr="00FA631A">
        <w:trPr>
          <w:trHeight w:val="744"/>
          <w:jc w:val="center"/>
        </w:trPr>
        <w:tc>
          <w:tcPr>
            <w:cnfStyle w:val="001000000000" w:firstRow="0" w:lastRow="0" w:firstColumn="1" w:lastColumn="0" w:oddVBand="0" w:evenVBand="0" w:oddHBand="0" w:evenHBand="0" w:firstRowFirstColumn="0" w:firstRowLastColumn="0" w:lastRowFirstColumn="0" w:lastRowLastColumn="0"/>
            <w:tcW w:w="2277" w:type="dxa"/>
            <w:noWrap/>
            <w:hideMark/>
          </w:tcPr>
          <w:p w14:paraId="7C7CEA7F" w14:textId="77777777" w:rsidR="00D8421E" w:rsidRDefault="00D8421E" w:rsidP="00D8421E">
            <w:pPr>
              <w:jc w:val="center"/>
              <w:rPr>
                <w:b w:val="0"/>
                <w:bCs w:val="0"/>
              </w:rPr>
            </w:pPr>
          </w:p>
          <w:p w14:paraId="6AAABFA3" w14:textId="070522BC" w:rsidR="00D8421E" w:rsidRPr="002B1826" w:rsidRDefault="00D8421E" w:rsidP="00D8421E">
            <w:pPr>
              <w:jc w:val="center"/>
              <w:rPr>
                <w:rFonts w:ascii="Calibri" w:hAnsi="Calibri"/>
              </w:rPr>
            </w:pPr>
            <w:r w:rsidRPr="00451B7E">
              <w:t>20</w:t>
            </w:r>
            <w:r w:rsidR="008456E1">
              <w:t>3</w:t>
            </w:r>
            <w:r w:rsidR="002A1D48">
              <w:t>1</w:t>
            </w:r>
          </w:p>
        </w:tc>
        <w:tc>
          <w:tcPr>
            <w:tcW w:w="2278" w:type="dxa"/>
            <w:noWrap/>
            <w:hideMark/>
          </w:tcPr>
          <w:p w14:paraId="13B4FBA8" w14:textId="77777777" w:rsidR="00D8421E" w:rsidRDefault="00D8421E" w:rsidP="00D8421E">
            <w:pPr>
              <w:jc w:val="center"/>
              <w:cnfStyle w:val="000000000000" w:firstRow="0" w:lastRow="0" w:firstColumn="0" w:lastColumn="0" w:oddVBand="0" w:evenVBand="0" w:oddHBand="0" w:evenHBand="0" w:firstRowFirstColumn="0" w:firstRowLastColumn="0" w:lastRowFirstColumn="0" w:lastRowLastColumn="0"/>
            </w:pPr>
            <w:r w:rsidRPr="00632EFD">
              <w:t xml:space="preserve"> </w:t>
            </w:r>
          </w:p>
          <w:p w14:paraId="3386B8D1" w14:textId="1F92DD1A" w:rsidR="00D8421E" w:rsidRPr="002B1826" w:rsidRDefault="006D6CD6" w:rsidP="00D8421E">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t>149,758</w:t>
            </w:r>
          </w:p>
        </w:tc>
        <w:tc>
          <w:tcPr>
            <w:tcW w:w="2276" w:type="dxa"/>
            <w:noWrap/>
            <w:hideMark/>
          </w:tcPr>
          <w:p w14:paraId="3811E7B9" w14:textId="77777777" w:rsidR="00D8421E" w:rsidRDefault="00D8421E" w:rsidP="00D8421E">
            <w:pPr>
              <w:jc w:val="center"/>
              <w:cnfStyle w:val="000000000000" w:firstRow="0" w:lastRow="0" w:firstColumn="0" w:lastColumn="0" w:oddVBand="0" w:evenVBand="0" w:oddHBand="0" w:evenHBand="0" w:firstRowFirstColumn="0" w:firstRowLastColumn="0" w:lastRowFirstColumn="0" w:lastRowLastColumn="0"/>
            </w:pPr>
          </w:p>
          <w:p w14:paraId="526CF348" w14:textId="3221D1A8" w:rsidR="00D8421E" w:rsidRPr="002B1826" w:rsidRDefault="00123901" w:rsidP="00D8421E">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t>1079</w:t>
            </w:r>
          </w:p>
        </w:tc>
      </w:tr>
      <w:tr w:rsidR="00D8421E" w14:paraId="5662E20A" w14:textId="77777777" w:rsidTr="00FA631A">
        <w:trPr>
          <w:cnfStyle w:val="000000100000" w:firstRow="0" w:lastRow="0" w:firstColumn="0" w:lastColumn="0" w:oddVBand="0" w:evenVBand="0" w:oddHBand="1" w:evenHBand="0" w:firstRowFirstColumn="0" w:firstRowLastColumn="0" w:lastRowFirstColumn="0" w:lastRowLastColumn="0"/>
          <w:trHeight w:val="692"/>
          <w:jc w:val="center"/>
        </w:trPr>
        <w:tc>
          <w:tcPr>
            <w:cnfStyle w:val="001000000000" w:firstRow="0" w:lastRow="0" w:firstColumn="1" w:lastColumn="0" w:oddVBand="0" w:evenVBand="0" w:oddHBand="0" w:evenHBand="0" w:firstRowFirstColumn="0" w:firstRowLastColumn="0" w:lastRowFirstColumn="0" w:lastRowLastColumn="0"/>
            <w:tcW w:w="2277" w:type="dxa"/>
            <w:noWrap/>
            <w:hideMark/>
          </w:tcPr>
          <w:p w14:paraId="402AA6BD" w14:textId="77777777" w:rsidR="00D8421E" w:rsidRDefault="00D8421E" w:rsidP="00D8421E">
            <w:pPr>
              <w:jc w:val="center"/>
              <w:rPr>
                <w:b w:val="0"/>
                <w:bCs w:val="0"/>
              </w:rPr>
            </w:pPr>
          </w:p>
          <w:p w14:paraId="67ED35D1" w14:textId="381C31A0" w:rsidR="00D8421E" w:rsidRPr="002B1826" w:rsidRDefault="00D8421E" w:rsidP="00D8421E">
            <w:pPr>
              <w:jc w:val="center"/>
              <w:rPr>
                <w:rFonts w:ascii="Calibri" w:hAnsi="Calibri"/>
              </w:rPr>
            </w:pPr>
            <w:r w:rsidRPr="00451B7E">
              <w:t>203</w:t>
            </w:r>
            <w:r w:rsidR="002A1D48">
              <w:t>2</w:t>
            </w:r>
          </w:p>
        </w:tc>
        <w:tc>
          <w:tcPr>
            <w:tcW w:w="2278" w:type="dxa"/>
            <w:noWrap/>
            <w:hideMark/>
          </w:tcPr>
          <w:p w14:paraId="75E3595B" w14:textId="77777777" w:rsidR="00D8421E" w:rsidRDefault="00D8421E" w:rsidP="00D8421E">
            <w:pPr>
              <w:jc w:val="center"/>
              <w:cnfStyle w:val="000000100000" w:firstRow="0" w:lastRow="0" w:firstColumn="0" w:lastColumn="0" w:oddVBand="0" w:evenVBand="0" w:oddHBand="1" w:evenHBand="0" w:firstRowFirstColumn="0" w:firstRowLastColumn="0" w:lastRowFirstColumn="0" w:lastRowLastColumn="0"/>
            </w:pPr>
          </w:p>
          <w:p w14:paraId="123681D3" w14:textId="0F046B8F" w:rsidR="00D8421E" w:rsidRPr="002B1826" w:rsidRDefault="00D8421E" w:rsidP="00D8421E">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sidRPr="00632EFD">
              <w:t xml:space="preserve"> </w:t>
            </w:r>
            <w:r w:rsidR="00123901">
              <w:t>151,510</w:t>
            </w:r>
          </w:p>
        </w:tc>
        <w:tc>
          <w:tcPr>
            <w:tcW w:w="2276" w:type="dxa"/>
            <w:noWrap/>
            <w:hideMark/>
          </w:tcPr>
          <w:p w14:paraId="12CA7FF8" w14:textId="77777777" w:rsidR="00D8421E" w:rsidRDefault="00D8421E" w:rsidP="00D8421E">
            <w:pPr>
              <w:jc w:val="center"/>
              <w:cnfStyle w:val="000000100000" w:firstRow="0" w:lastRow="0" w:firstColumn="0" w:lastColumn="0" w:oddVBand="0" w:evenVBand="0" w:oddHBand="1" w:evenHBand="0" w:firstRowFirstColumn="0" w:firstRowLastColumn="0" w:lastRowFirstColumn="0" w:lastRowLastColumn="0"/>
            </w:pPr>
          </w:p>
          <w:p w14:paraId="501F2889" w14:textId="2536AD20" w:rsidR="00D8421E" w:rsidRPr="002B1826" w:rsidRDefault="00123901" w:rsidP="00D8421E">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sidRPr="00123901">
              <w:rPr>
                <w:rFonts w:ascii="Calibri" w:hAnsi="Calibri"/>
              </w:rPr>
              <w:t>109</w:t>
            </w:r>
            <w:r>
              <w:rPr>
                <w:rFonts w:ascii="Calibri" w:hAnsi="Calibri"/>
              </w:rPr>
              <w:t>3</w:t>
            </w:r>
          </w:p>
        </w:tc>
      </w:tr>
      <w:tr w:rsidR="00D8421E" w14:paraId="771DD2C9" w14:textId="77777777" w:rsidTr="00FA631A">
        <w:trPr>
          <w:trHeight w:val="744"/>
          <w:jc w:val="center"/>
        </w:trPr>
        <w:tc>
          <w:tcPr>
            <w:cnfStyle w:val="001000000000" w:firstRow="0" w:lastRow="0" w:firstColumn="1" w:lastColumn="0" w:oddVBand="0" w:evenVBand="0" w:oddHBand="0" w:evenHBand="0" w:firstRowFirstColumn="0" w:firstRowLastColumn="0" w:lastRowFirstColumn="0" w:lastRowLastColumn="0"/>
            <w:tcW w:w="2277" w:type="dxa"/>
            <w:noWrap/>
            <w:hideMark/>
          </w:tcPr>
          <w:p w14:paraId="4B09904E" w14:textId="77777777" w:rsidR="00D8421E" w:rsidRDefault="00D8421E" w:rsidP="00D8421E">
            <w:pPr>
              <w:jc w:val="center"/>
              <w:rPr>
                <w:b w:val="0"/>
                <w:bCs w:val="0"/>
              </w:rPr>
            </w:pPr>
          </w:p>
          <w:p w14:paraId="2A868468" w14:textId="3EB1F177" w:rsidR="00D8421E" w:rsidRPr="002B1826" w:rsidRDefault="00D8421E" w:rsidP="00D8421E">
            <w:pPr>
              <w:jc w:val="center"/>
              <w:rPr>
                <w:rFonts w:ascii="Calibri" w:hAnsi="Calibri"/>
              </w:rPr>
            </w:pPr>
            <w:r w:rsidRPr="00451B7E">
              <w:t>203</w:t>
            </w:r>
            <w:r w:rsidR="003423D6">
              <w:t>3</w:t>
            </w:r>
          </w:p>
        </w:tc>
        <w:tc>
          <w:tcPr>
            <w:tcW w:w="2278" w:type="dxa"/>
            <w:noWrap/>
            <w:hideMark/>
          </w:tcPr>
          <w:p w14:paraId="370975A4" w14:textId="77777777" w:rsidR="00D8421E" w:rsidRDefault="00D8421E" w:rsidP="00D8421E">
            <w:pPr>
              <w:jc w:val="center"/>
              <w:cnfStyle w:val="000000000000" w:firstRow="0" w:lastRow="0" w:firstColumn="0" w:lastColumn="0" w:oddVBand="0" w:evenVBand="0" w:oddHBand="0" w:evenHBand="0" w:firstRowFirstColumn="0" w:firstRowLastColumn="0" w:lastRowFirstColumn="0" w:lastRowLastColumn="0"/>
            </w:pPr>
            <w:r w:rsidRPr="00632EFD">
              <w:t xml:space="preserve"> </w:t>
            </w:r>
          </w:p>
          <w:p w14:paraId="05925D68" w14:textId="0A2EDD77" w:rsidR="00D8421E" w:rsidRPr="002B1826" w:rsidRDefault="00123901" w:rsidP="00D8421E">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t>153,229</w:t>
            </w:r>
          </w:p>
        </w:tc>
        <w:tc>
          <w:tcPr>
            <w:tcW w:w="2276" w:type="dxa"/>
            <w:noWrap/>
            <w:hideMark/>
          </w:tcPr>
          <w:p w14:paraId="65E86609" w14:textId="77777777" w:rsidR="00D8421E" w:rsidRDefault="00D8421E" w:rsidP="00D8421E">
            <w:pPr>
              <w:jc w:val="center"/>
              <w:cnfStyle w:val="000000000000" w:firstRow="0" w:lastRow="0" w:firstColumn="0" w:lastColumn="0" w:oddVBand="0" w:evenVBand="0" w:oddHBand="0" w:evenHBand="0" w:firstRowFirstColumn="0" w:firstRowLastColumn="0" w:lastRowFirstColumn="0" w:lastRowLastColumn="0"/>
            </w:pPr>
          </w:p>
          <w:p w14:paraId="5B16072B" w14:textId="25BFF157" w:rsidR="00D8421E" w:rsidRPr="002B1826" w:rsidRDefault="00123901" w:rsidP="00D8421E">
            <w:pPr>
              <w:jc w:val="center"/>
              <w:cnfStyle w:val="000000000000" w:firstRow="0" w:lastRow="0" w:firstColumn="0" w:lastColumn="0" w:oddVBand="0" w:evenVBand="0" w:oddHBand="0" w:evenHBand="0" w:firstRowFirstColumn="0" w:firstRowLastColumn="0" w:lastRowFirstColumn="0" w:lastRowLastColumn="0"/>
              <w:rPr>
                <w:rFonts w:ascii="Calibri" w:hAnsi="Calibri"/>
              </w:rPr>
            </w:pPr>
            <w:r w:rsidRPr="00123901">
              <w:rPr>
                <w:rFonts w:ascii="Calibri" w:hAnsi="Calibri"/>
              </w:rPr>
              <w:t>1101</w:t>
            </w:r>
          </w:p>
        </w:tc>
      </w:tr>
    </w:tbl>
    <w:p w14:paraId="67E97AA9" w14:textId="77777777" w:rsidR="009C1309" w:rsidRPr="0051299E" w:rsidRDefault="009C1309" w:rsidP="00803EF9">
      <w:pPr>
        <w:spacing w:line="276" w:lineRule="auto"/>
        <w:jc w:val="center"/>
      </w:pPr>
    </w:p>
    <w:p w14:paraId="0313A12E" w14:textId="77777777" w:rsidR="00A26B20" w:rsidRPr="0051299E" w:rsidRDefault="00A26B20" w:rsidP="00A26B20">
      <w:pPr>
        <w:pStyle w:val="StyleLinespacingMultiple115li"/>
        <w:rPr>
          <w:szCs w:val="24"/>
        </w:rPr>
      </w:pPr>
    </w:p>
    <w:p w14:paraId="231B17E3" w14:textId="77777777" w:rsidR="001A249C" w:rsidRPr="0051299E" w:rsidRDefault="001A249C" w:rsidP="00803EF9">
      <w:pPr>
        <w:spacing w:line="276" w:lineRule="auto"/>
        <w:jc w:val="center"/>
      </w:pPr>
    </w:p>
    <w:sectPr w:rsidR="001A249C" w:rsidRPr="0051299E" w:rsidSect="00A13A4E">
      <w:headerReference w:type="default" r:id="rId17"/>
      <w:footerReference w:type="even" r:id="rId18"/>
      <w:footerReference w:type="first" r:id="rId19"/>
      <w:pgSz w:w="12240" w:h="15840" w:code="1"/>
      <w:pgMar w:top="720" w:right="720" w:bottom="720" w:left="72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4C3C03" w14:textId="77777777" w:rsidR="007F520F" w:rsidRDefault="007F520F">
      <w:r>
        <w:separator/>
      </w:r>
    </w:p>
  </w:endnote>
  <w:endnote w:type="continuationSeparator" w:id="0">
    <w:p w14:paraId="4817B5E4" w14:textId="77777777" w:rsidR="007F520F" w:rsidRDefault="007F52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liss Pro Light">
    <w:altName w:val="Arial"/>
    <w:panose1 w:val="00000000000000000000"/>
    <w:charset w:val="00"/>
    <w:family w:val="modern"/>
    <w:notTrueType/>
    <w:pitch w:val="variable"/>
    <w:sig w:usb0="A00002EF" w:usb1="5000205B" w:usb2="00000000" w:usb3="00000000" w:csb0="0000009F" w:csb1="00000000"/>
  </w:font>
  <w:font w:name="Bliss Pro Bold">
    <w:altName w:val="Arial"/>
    <w:panose1 w:val="00000000000000000000"/>
    <w:charset w:val="00"/>
    <w:family w:val="modern"/>
    <w:notTrueType/>
    <w:pitch w:val="variable"/>
    <w:sig w:usb0="A00002EF" w:usb1="5000205B"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F94B2" w14:textId="77777777" w:rsidR="007F520F" w:rsidRDefault="007F520F" w:rsidP="00F7539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5E815E7" w14:textId="77777777" w:rsidR="007F520F" w:rsidRDefault="007F520F" w:rsidP="00F5163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C68A8" w14:textId="6E745009" w:rsidR="007F520F" w:rsidRPr="004A517E" w:rsidRDefault="007F520F" w:rsidP="006A291D">
    <w:pPr>
      <w:pStyle w:val="table"/>
      <w:tabs>
        <w:tab w:val="right" w:pos="9360"/>
      </w:tabs>
      <w:rPr>
        <w:rFonts w:ascii="Times New Roman" w:hAnsi="Times New Roman"/>
        <w:sz w:val="16"/>
        <w:szCs w:val="16"/>
      </w:rPr>
    </w:pPr>
    <w:r w:rsidRPr="005E55EC">
      <w:rPr>
        <w:rStyle w:val="PageNumber"/>
        <w:rFonts w:ascii="Times New Roman" w:hAnsi="Times New Roman"/>
        <w:sz w:val="16"/>
        <w:szCs w:val="16"/>
      </w:rPr>
      <w:t>©</w:t>
    </w:r>
    <w:r>
      <w:rPr>
        <w:rStyle w:val="PageNumber"/>
        <w:rFonts w:ascii="Times New Roman" w:hAnsi="Times New Roman"/>
        <w:sz w:val="16"/>
        <w:szCs w:val="16"/>
      </w:rPr>
      <w:t xml:space="preserve"> 202</w:t>
    </w:r>
    <w:r w:rsidR="00084016">
      <w:rPr>
        <w:rStyle w:val="PageNumber"/>
        <w:rFonts w:ascii="Times New Roman" w:hAnsi="Times New Roman"/>
        <w:sz w:val="16"/>
        <w:szCs w:val="16"/>
      </w:rPr>
      <w:t>4</w:t>
    </w:r>
    <w:r w:rsidRPr="005E55EC">
      <w:rPr>
        <w:rStyle w:val="PageNumber"/>
        <w:rFonts w:ascii="Times New Roman" w:hAnsi="Times New Roman"/>
        <w:sz w:val="16"/>
        <w:szCs w:val="16"/>
      </w:rPr>
      <w:t xml:space="preserve"> Electric Reliability Council of Texas, Inc. All rights reserved.</w:t>
    </w:r>
  </w:p>
  <w:p w14:paraId="06FA89C8" w14:textId="77777777" w:rsidR="007F520F" w:rsidRDefault="007F520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615408" w14:textId="77777777" w:rsidR="007F520F" w:rsidRDefault="007F520F">
      <w:r>
        <w:separator/>
      </w:r>
    </w:p>
  </w:footnote>
  <w:footnote w:type="continuationSeparator" w:id="0">
    <w:p w14:paraId="70139CBB" w14:textId="77777777" w:rsidR="007F520F" w:rsidRDefault="007F520F">
      <w:r>
        <w:continuationSeparator/>
      </w:r>
    </w:p>
  </w:footnote>
  <w:footnote w:id="1">
    <w:p w14:paraId="4B1C3159" w14:textId="77777777" w:rsidR="007F520F" w:rsidRPr="00ED38C2" w:rsidRDefault="007F520F" w:rsidP="00844AA3">
      <w:pPr>
        <w:pStyle w:val="FootnoteText"/>
        <w:rPr>
          <w:i/>
        </w:rPr>
      </w:pPr>
      <w:r w:rsidRPr="00ED38C2">
        <w:rPr>
          <w:rStyle w:val="FootnoteReference"/>
          <w:i/>
        </w:rPr>
        <w:footnoteRef/>
      </w:r>
      <w:r w:rsidRPr="00ED38C2">
        <w:rPr>
          <w:i/>
        </w:rPr>
        <w:t xml:space="preserve"> See </w:t>
      </w:r>
      <w:r>
        <w:rPr>
          <w:i/>
        </w:rPr>
        <w:t>ERCOT Nodal Protocols, S</w:t>
      </w:r>
      <w:r w:rsidRPr="00ED38C2">
        <w:rPr>
          <w:i/>
        </w:rPr>
        <w:t>ection 2.</w:t>
      </w:r>
    </w:p>
  </w:footnote>
  <w:footnote w:id="2">
    <w:p w14:paraId="21D4CDC5" w14:textId="77777777" w:rsidR="007F520F" w:rsidRPr="00ED38C2" w:rsidRDefault="007F520F" w:rsidP="00A90607">
      <w:pPr>
        <w:pStyle w:val="ListParagraph"/>
        <w:ind w:left="0"/>
        <w:rPr>
          <w:rFonts w:ascii="Times New Roman" w:hAnsi="Times New Roman"/>
          <w:i/>
          <w:sz w:val="20"/>
          <w:szCs w:val="20"/>
        </w:rPr>
      </w:pPr>
      <w:r w:rsidRPr="00ED38C2">
        <w:rPr>
          <w:rStyle w:val="FootnoteReference"/>
          <w:rFonts w:ascii="Times New Roman" w:hAnsi="Times New Roman"/>
          <w:i/>
          <w:sz w:val="20"/>
          <w:szCs w:val="20"/>
        </w:rPr>
        <w:footnoteRef/>
      </w:r>
      <w:r w:rsidRPr="00ED38C2">
        <w:rPr>
          <w:rFonts w:ascii="Times New Roman" w:hAnsi="Times New Roman"/>
          <w:i/>
          <w:sz w:val="20"/>
          <w:szCs w:val="20"/>
        </w:rPr>
        <w:t xml:space="preserve"> See </w:t>
      </w:r>
      <w:r>
        <w:rPr>
          <w:rFonts w:ascii="Times New Roman" w:hAnsi="Times New Roman"/>
          <w:i/>
          <w:sz w:val="20"/>
          <w:szCs w:val="20"/>
        </w:rPr>
        <w:t>ERCOT Nodal Protocols, S</w:t>
      </w:r>
      <w:r w:rsidRPr="00ED38C2">
        <w:rPr>
          <w:rFonts w:ascii="Times New Roman" w:hAnsi="Times New Roman"/>
          <w:i/>
          <w:sz w:val="20"/>
          <w:szCs w:val="20"/>
        </w:rPr>
        <w:t>ection 18.6.1.</w:t>
      </w:r>
    </w:p>
    <w:p w14:paraId="7BE6D256" w14:textId="77777777" w:rsidR="007F520F" w:rsidRDefault="007F520F" w:rsidP="00A90607">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53B52" w14:textId="4ACB20F8" w:rsidR="007F520F" w:rsidRPr="005E55EC" w:rsidRDefault="007F520F" w:rsidP="00E62437">
    <w:pPr>
      <w:pStyle w:val="Header"/>
      <w:tabs>
        <w:tab w:val="clear" w:pos="8640"/>
        <w:tab w:val="right" w:pos="9810"/>
      </w:tabs>
      <w:rPr>
        <w:b/>
      </w:rPr>
    </w:pPr>
    <w:r>
      <w:rPr>
        <w:b/>
      </w:rPr>
      <w:t>202</w:t>
    </w:r>
    <w:r w:rsidR="00934F8F">
      <w:rPr>
        <w:b/>
      </w:rPr>
      <w:t>4</w:t>
    </w:r>
    <w:r>
      <w:rPr>
        <w:b/>
      </w:rPr>
      <w:t xml:space="preserve"> ERCOT System Planning</w:t>
    </w:r>
    <w:r>
      <w:rPr>
        <w:b/>
      </w:rPr>
      <w:tab/>
    </w:r>
    <w:r>
      <w:rPr>
        <w:b/>
      </w:rPr>
      <w:tab/>
    </w:r>
    <w:r w:rsidR="00C6138A">
      <w:rPr>
        <w:b/>
      </w:rPr>
      <w:t>J</w:t>
    </w:r>
    <w:r w:rsidR="00773ED7">
      <w:rPr>
        <w:b/>
      </w:rPr>
      <w:t>uly</w:t>
    </w:r>
    <w:r w:rsidR="00C6138A">
      <w:rPr>
        <w:b/>
      </w:rPr>
      <w:t xml:space="preserve"> 1</w:t>
    </w:r>
    <w:r w:rsidR="00773ED7">
      <w:rPr>
        <w:b/>
      </w:rPr>
      <w:t>8</w:t>
    </w:r>
    <w:r w:rsidRPr="009B37A9">
      <w:rPr>
        <w:b/>
      </w:rPr>
      <w:t>, 202</w:t>
    </w:r>
    <w:r w:rsidR="00C6138A">
      <w:rPr>
        <w:b/>
      </w:rPr>
      <w:t>4</w:t>
    </w:r>
  </w:p>
  <w:p w14:paraId="5891B1A6" w14:textId="77F156C6" w:rsidR="007F520F" w:rsidRPr="005E55EC" w:rsidRDefault="007F520F" w:rsidP="00E62437">
    <w:pPr>
      <w:pStyle w:val="Header"/>
      <w:tabs>
        <w:tab w:val="clear" w:pos="8640"/>
        <w:tab w:val="right" w:pos="9810"/>
      </w:tabs>
      <w:rPr>
        <w:b/>
        <w:sz w:val="22"/>
        <w:szCs w:val="22"/>
      </w:rPr>
    </w:pPr>
    <w:r>
      <w:rPr>
        <w:b/>
      </w:rPr>
      <w:t xml:space="preserve">Long-Term </w:t>
    </w:r>
    <w:r w:rsidRPr="005E55EC">
      <w:rPr>
        <w:b/>
      </w:rPr>
      <w:t>Hourly Peak Demand and Energy Forecast</w:t>
    </w:r>
    <w:r w:rsidR="00773ED7">
      <w:rPr>
        <w:b/>
      </w:rPr>
      <w:t xml:space="preserve"> Mid-Year Update</w:t>
    </w:r>
    <w:r w:rsidRPr="005E55EC">
      <w:rPr>
        <w:b/>
      </w:rPr>
      <w:tab/>
    </w:r>
    <w:r w:rsidRPr="005E55EC">
      <w:rPr>
        <w:b/>
        <w:sz w:val="22"/>
        <w:szCs w:val="22"/>
      </w:rPr>
      <w:t xml:space="preserve">Page </w:t>
    </w:r>
    <w:r>
      <w:rPr>
        <w:b/>
        <w:sz w:val="22"/>
        <w:szCs w:val="22"/>
      </w:rPr>
      <w:fldChar w:fldCharType="begin"/>
    </w:r>
    <w:r>
      <w:rPr>
        <w:b/>
        <w:sz w:val="22"/>
        <w:szCs w:val="22"/>
      </w:rPr>
      <w:instrText xml:space="preserve"> PAGE  </w:instrText>
    </w:r>
    <w:r>
      <w:rPr>
        <w:b/>
        <w:sz w:val="22"/>
        <w:szCs w:val="22"/>
      </w:rPr>
      <w:fldChar w:fldCharType="separate"/>
    </w:r>
    <w:r>
      <w:rPr>
        <w:b/>
        <w:noProof/>
        <w:sz w:val="22"/>
        <w:szCs w:val="22"/>
      </w:rPr>
      <w:t>20</w:t>
    </w:r>
    <w:r>
      <w:rPr>
        <w:b/>
        <w:sz w:val="22"/>
        <w:szCs w:val="22"/>
      </w:rPr>
      <w:fldChar w:fldCharType="end"/>
    </w:r>
    <w:r w:rsidRPr="005E55EC">
      <w:rPr>
        <w:b/>
        <w:sz w:val="22"/>
        <w:szCs w:val="22"/>
      </w:rPr>
      <w:t xml:space="preserve"> of </w:t>
    </w:r>
    <w:r>
      <w:rPr>
        <w:b/>
        <w:sz w:val="22"/>
        <w:szCs w:val="22"/>
      </w:rPr>
      <w:fldChar w:fldCharType="begin"/>
    </w:r>
    <w:r>
      <w:rPr>
        <w:b/>
        <w:sz w:val="22"/>
        <w:szCs w:val="22"/>
      </w:rPr>
      <w:instrText xml:space="preserve"> NUMPAGES  </w:instrText>
    </w:r>
    <w:r>
      <w:rPr>
        <w:b/>
        <w:sz w:val="22"/>
        <w:szCs w:val="22"/>
      </w:rPr>
      <w:fldChar w:fldCharType="separate"/>
    </w:r>
    <w:r>
      <w:rPr>
        <w:b/>
        <w:noProof/>
        <w:sz w:val="22"/>
        <w:szCs w:val="22"/>
      </w:rPr>
      <w:t>20</w:t>
    </w:r>
    <w:r>
      <w:rPr>
        <w:b/>
        <w:sz w:val="22"/>
        <w:szCs w:val="22"/>
      </w:rPr>
      <w:fldChar w:fldCharType="end"/>
    </w:r>
  </w:p>
  <w:p w14:paraId="6859069E" w14:textId="77777777" w:rsidR="007F520F" w:rsidRPr="007449EA" w:rsidRDefault="007F520F">
    <w:pPr>
      <w:pStyle w:val="Header"/>
      <w:rPr>
        <w:b/>
      </w:rPr>
    </w:pPr>
    <w:r>
      <w:rPr>
        <w:b/>
        <w:noProof/>
      </w:rPr>
      <mc:AlternateContent>
        <mc:Choice Requires="wps">
          <w:drawing>
            <wp:anchor distT="0" distB="0" distL="114300" distR="114300" simplePos="0" relativeHeight="251657728" behindDoc="0" locked="0" layoutInCell="1" allowOverlap="1" wp14:anchorId="6A293269" wp14:editId="497FE90B">
              <wp:simplePos x="0" y="0"/>
              <wp:positionH relativeFrom="column">
                <wp:posOffset>0</wp:posOffset>
              </wp:positionH>
              <wp:positionV relativeFrom="paragraph">
                <wp:posOffset>106680</wp:posOffset>
              </wp:positionV>
              <wp:extent cx="6515100" cy="0"/>
              <wp:effectExtent l="28575" t="30480" r="28575" b="26670"/>
              <wp:wrapNone/>
              <wp:docPr id="1"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5100" cy="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33BCCA" id="Line 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4pt" to="513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" strokeweight="4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166CB"/>
    <w:multiLevelType w:val="hybridMultilevel"/>
    <w:tmpl w:val="68AC1C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082E0E"/>
    <w:multiLevelType w:val="hybridMultilevel"/>
    <w:tmpl w:val="A2AAD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9B660F"/>
    <w:multiLevelType w:val="hybridMultilevel"/>
    <w:tmpl w:val="A2AAD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E50FC3"/>
    <w:multiLevelType w:val="hybridMultilevel"/>
    <w:tmpl w:val="35789AF4"/>
    <w:lvl w:ilvl="0" w:tplc="FFFFFFFF">
      <w:start w:val="1"/>
      <w:numFmt w:val="decimal"/>
      <w:lvlText w:val="%1."/>
      <w:lvlJc w:val="left"/>
      <w:pPr>
        <w:ind w:left="720" w:hanging="360"/>
      </w:pPr>
      <w:rPr>
        <w:rFonts w:cs="Times New Roman"/>
      </w:rPr>
    </w:lvl>
    <w:lvl w:ilvl="1" w:tplc="FFFFFFFF" w:tentative="1">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4" w15:restartNumberingAfterBreak="0">
    <w:nsid w:val="1DAA46FD"/>
    <w:multiLevelType w:val="hybridMultilevel"/>
    <w:tmpl w:val="10E68D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A7111C"/>
    <w:multiLevelType w:val="hybridMultilevel"/>
    <w:tmpl w:val="0B10D9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0EC097E"/>
    <w:multiLevelType w:val="hybridMultilevel"/>
    <w:tmpl w:val="880A89EA"/>
    <w:lvl w:ilvl="0" w:tplc="240EB7CE">
      <w:start w:val="1"/>
      <w:numFmt w:val="bullet"/>
      <w:lvlText w:val=""/>
      <w:lvlJc w:val="left"/>
      <w:pPr>
        <w:tabs>
          <w:tab w:val="num" w:pos="720"/>
        </w:tabs>
        <w:ind w:left="720" w:hanging="360"/>
      </w:pPr>
      <w:rPr>
        <w:rFonts w:ascii="Wingdings 2" w:hAnsi="Wingdings 2" w:hint="default"/>
      </w:rPr>
    </w:lvl>
    <w:lvl w:ilvl="1" w:tplc="0D524552">
      <w:start w:val="1"/>
      <w:numFmt w:val="bullet"/>
      <w:lvlText w:val=""/>
      <w:lvlJc w:val="left"/>
      <w:pPr>
        <w:tabs>
          <w:tab w:val="num" w:pos="1440"/>
        </w:tabs>
        <w:ind w:left="1440" w:hanging="360"/>
      </w:pPr>
      <w:rPr>
        <w:rFonts w:ascii="Wingdings 2" w:hAnsi="Wingdings 2" w:hint="default"/>
      </w:rPr>
    </w:lvl>
    <w:lvl w:ilvl="2" w:tplc="558E8364">
      <w:start w:val="1"/>
      <w:numFmt w:val="decimal"/>
      <w:lvlText w:val="%3)"/>
      <w:lvlJc w:val="left"/>
      <w:pPr>
        <w:tabs>
          <w:tab w:val="num" w:pos="2160"/>
        </w:tabs>
        <w:ind w:left="2160" w:hanging="360"/>
      </w:pPr>
      <w:rPr>
        <w:rFonts w:ascii="Times New Roman" w:eastAsia="Times New Roman" w:hAnsi="Times New Roman" w:cs="Times New Roman"/>
      </w:rPr>
    </w:lvl>
    <w:lvl w:ilvl="3" w:tplc="C318F064" w:tentative="1">
      <w:start w:val="1"/>
      <w:numFmt w:val="bullet"/>
      <w:lvlText w:val=""/>
      <w:lvlJc w:val="left"/>
      <w:pPr>
        <w:tabs>
          <w:tab w:val="num" w:pos="2880"/>
        </w:tabs>
        <w:ind w:left="2880" w:hanging="360"/>
      </w:pPr>
      <w:rPr>
        <w:rFonts w:ascii="Wingdings 2" w:hAnsi="Wingdings 2" w:hint="default"/>
      </w:rPr>
    </w:lvl>
    <w:lvl w:ilvl="4" w:tplc="F6AA8312" w:tentative="1">
      <w:start w:val="1"/>
      <w:numFmt w:val="bullet"/>
      <w:lvlText w:val=""/>
      <w:lvlJc w:val="left"/>
      <w:pPr>
        <w:tabs>
          <w:tab w:val="num" w:pos="3600"/>
        </w:tabs>
        <w:ind w:left="3600" w:hanging="360"/>
      </w:pPr>
      <w:rPr>
        <w:rFonts w:ascii="Wingdings 2" w:hAnsi="Wingdings 2" w:hint="default"/>
      </w:rPr>
    </w:lvl>
    <w:lvl w:ilvl="5" w:tplc="C7D84986" w:tentative="1">
      <w:start w:val="1"/>
      <w:numFmt w:val="bullet"/>
      <w:lvlText w:val=""/>
      <w:lvlJc w:val="left"/>
      <w:pPr>
        <w:tabs>
          <w:tab w:val="num" w:pos="4320"/>
        </w:tabs>
        <w:ind w:left="4320" w:hanging="360"/>
      </w:pPr>
      <w:rPr>
        <w:rFonts w:ascii="Wingdings 2" w:hAnsi="Wingdings 2" w:hint="default"/>
      </w:rPr>
    </w:lvl>
    <w:lvl w:ilvl="6" w:tplc="FC526EA6" w:tentative="1">
      <w:start w:val="1"/>
      <w:numFmt w:val="bullet"/>
      <w:lvlText w:val=""/>
      <w:lvlJc w:val="left"/>
      <w:pPr>
        <w:tabs>
          <w:tab w:val="num" w:pos="5040"/>
        </w:tabs>
        <w:ind w:left="5040" w:hanging="360"/>
      </w:pPr>
      <w:rPr>
        <w:rFonts w:ascii="Wingdings 2" w:hAnsi="Wingdings 2" w:hint="default"/>
      </w:rPr>
    </w:lvl>
    <w:lvl w:ilvl="7" w:tplc="6BAE5192" w:tentative="1">
      <w:start w:val="1"/>
      <w:numFmt w:val="bullet"/>
      <w:lvlText w:val=""/>
      <w:lvlJc w:val="left"/>
      <w:pPr>
        <w:tabs>
          <w:tab w:val="num" w:pos="5760"/>
        </w:tabs>
        <w:ind w:left="5760" w:hanging="360"/>
      </w:pPr>
      <w:rPr>
        <w:rFonts w:ascii="Wingdings 2" w:hAnsi="Wingdings 2" w:hint="default"/>
      </w:rPr>
    </w:lvl>
    <w:lvl w:ilvl="8" w:tplc="B7ACF21E" w:tentative="1">
      <w:start w:val="1"/>
      <w:numFmt w:val="bullet"/>
      <w:lvlText w:val=""/>
      <w:lvlJc w:val="left"/>
      <w:pPr>
        <w:tabs>
          <w:tab w:val="num" w:pos="6480"/>
        </w:tabs>
        <w:ind w:left="6480" w:hanging="360"/>
      </w:pPr>
      <w:rPr>
        <w:rFonts w:ascii="Wingdings 2" w:hAnsi="Wingdings 2" w:hint="default"/>
      </w:rPr>
    </w:lvl>
  </w:abstractNum>
  <w:abstractNum w:abstractNumId="7" w15:restartNumberingAfterBreak="0">
    <w:nsid w:val="3652388E"/>
    <w:multiLevelType w:val="hybridMultilevel"/>
    <w:tmpl w:val="A2AAD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6947EEE"/>
    <w:multiLevelType w:val="hybridMultilevel"/>
    <w:tmpl w:val="7B781A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1F30E34"/>
    <w:multiLevelType w:val="hybridMultilevel"/>
    <w:tmpl w:val="35789AF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15:restartNumberingAfterBreak="0">
    <w:nsid w:val="53E25578"/>
    <w:multiLevelType w:val="hybridMultilevel"/>
    <w:tmpl w:val="68AC1C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CD65480"/>
    <w:multiLevelType w:val="hybridMultilevel"/>
    <w:tmpl w:val="12E417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C2A5372"/>
    <w:multiLevelType w:val="hybridMultilevel"/>
    <w:tmpl w:val="7B781AD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6CED1677"/>
    <w:multiLevelType w:val="hybridMultilevel"/>
    <w:tmpl w:val="2D08E3A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2127892053">
    <w:abstractNumId w:val="9"/>
  </w:num>
  <w:num w:numId="2" w16cid:durableId="114756315">
    <w:abstractNumId w:val="10"/>
  </w:num>
  <w:num w:numId="3" w16cid:durableId="909996466">
    <w:abstractNumId w:val="5"/>
  </w:num>
  <w:num w:numId="4" w16cid:durableId="2096701728">
    <w:abstractNumId w:val="1"/>
  </w:num>
  <w:num w:numId="5" w16cid:durableId="1756318936">
    <w:abstractNumId w:val="7"/>
  </w:num>
  <w:num w:numId="6" w16cid:durableId="667369842">
    <w:abstractNumId w:val="2"/>
  </w:num>
  <w:num w:numId="7" w16cid:durableId="1619214453">
    <w:abstractNumId w:val="0"/>
  </w:num>
  <w:num w:numId="8" w16cid:durableId="236785511">
    <w:abstractNumId w:val="4"/>
  </w:num>
  <w:num w:numId="9" w16cid:durableId="1112675241">
    <w:abstractNumId w:val="11"/>
  </w:num>
  <w:num w:numId="10" w16cid:durableId="167522023">
    <w:abstractNumId w:val="13"/>
  </w:num>
  <w:num w:numId="11" w16cid:durableId="811753800">
    <w:abstractNumId w:val="8"/>
  </w:num>
  <w:num w:numId="12" w16cid:durableId="1427653527">
    <w:abstractNumId w:val="12"/>
  </w:num>
  <w:num w:numId="13" w16cid:durableId="349912578">
    <w:abstractNumId w:val="6"/>
  </w:num>
  <w:num w:numId="14" w16cid:durableId="2123265203">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1413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4F78"/>
    <w:rsid w:val="00000ABB"/>
    <w:rsid w:val="00000F28"/>
    <w:rsid w:val="0000198A"/>
    <w:rsid w:val="000028EE"/>
    <w:rsid w:val="00003693"/>
    <w:rsid w:val="00003C13"/>
    <w:rsid w:val="00003F63"/>
    <w:rsid w:val="00005B12"/>
    <w:rsid w:val="0000646B"/>
    <w:rsid w:val="00007106"/>
    <w:rsid w:val="000075A8"/>
    <w:rsid w:val="00010EB9"/>
    <w:rsid w:val="00011318"/>
    <w:rsid w:val="0001181B"/>
    <w:rsid w:val="00012135"/>
    <w:rsid w:val="00013070"/>
    <w:rsid w:val="0001388F"/>
    <w:rsid w:val="0001406F"/>
    <w:rsid w:val="0001469A"/>
    <w:rsid w:val="0001577A"/>
    <w:rsid w:val="00015FEB"/>
    <w:rsid w:val="00017041"/>
    <w:rsid w:val="00021CC6"/>
    <w:rsid w:val="00023208"/>
    <w:rsid w:val="00024933"/>
    <w:rsid w:val="00025332"/>
    <w:rsid w:val="000264BD"/>
    <w:rsid w:val="00031BC7"/>
    <w:rsid w:val="00031C19"/>
    <w:rsid w:val="00031DA5"/>
    <w:rsid w:val="00032329"/>
    <w:rsid w:val="0003568C"/>
    <w:rsid w:val="00037000"/>
    <w:rsid w:val="0004088A"/>
    <w:rsid w:val="00043960"/>
    <w:rsid w:val="000442D6"/>
    <w:rsid w:val="0004468E"/>
    <w:rsid w:val="00044F6A"/>
    <w:rsid w:val="000452F5"/>
    <w:rsid w:val="0004561F"/>
    <w:rsid w:val="00045D24"/>
    <w:rsid w:val="00045EC3"/>
    <w:rsid w:val="00046009"/>
    <w:rsid w:val="000471A8"/>
    <w:rsid w:val="00047508"/>
    <w:rsid w:val="00047D72"/>
    <w:rsid w:val="00050BA7"/>
    <w:rsid w:val="000513B8"/>
    <w:rsid w:val="000517E8"/>
    <w:rsid w:val="00051C8A"/>
    <w:rsid w:val="00052A2C"/>
    <w:rsid w:val="000534F3"/>
    <w:rsid w:val="0005386C"/>
    <w:rsid w:val="000543DD"/>
    <w:rsid w:val="00055C79"/>
    <w:rsid w:val="000569DE"/>
    <w:rsid w:val="00056BB4"/>
    <w:rsid w:val="00056C1E"/>
    <w:rsid w:val="000578F6"/>
    <w:rsid w:val="00057E90"/>
    <w:rsid w:val="000616B4"/>
    <w:rsid w:val="00061CE9"/>
    <w:rsid w:val="00063C55"/>
    <w:rsid w:val="00064B3A"/>
    <w:rsid w:val="00064FD0"/>
    <w:rsid w:val="000669B0"/>
    <w:rsid w:val="000672D6"/>
    <w:rsid w:val="00070026"/>
    <w:rsid w:val="00071481"/>
    <w:rsid w:val="00071A07"/>
    <w:rsid w:val="00071A35"/>
    <w:rsid w:val="000725A2"/>
    <w:rsid w:val="00073F2E"/>
    <w:rsid w:val="00074181"/>
    <w:rsid w:val="000746B2"/>
    <w:rsid w:val="00075B10"/>
    <w:rsid w:val="00076EE8"/>
    <w:rsid w:val="0007729C"/>
    <w:rsid w:val="0008073F"/>
    <w:rsid w:val="00081C0B"/>
    <w:rsid w:val="00084016"/>
    <w:rsid w:val="0008449A"/>
    <w:rsid w:val="00084FA7"/>
    <w:rsid w:val="000852CA"/>
    <w:rsid w:val="000856CA"/>
    <w:rsid w:val="000857A6"/>
    <w:rsid w:val="00085E68"/>
    <w:rsid w:val="00086634"/>
    <w:rsid w:val="00086933"/>
    <w:rsid w:val="0008738A"/>
    <w:rsid w:val="000875C8"/>
    <w:rsid w:val="000915A1"/>
    <w:rsid w:val="00091D17"/>
    <w:rsid w:val="000926FF"/>
    <w:rsid w:val="00094A22"/>
    <w:rsid w:val="00095020"/>
    <w:rsid w:val="0009540D"/>
    <w:rsid w:val="000955EF"/>
    <w:rsid w:val="000958AD"/>
    <w:rsid w:val="000963D0"/>
    <w:rsid w:val="00096B44"/>
    <w:rsid w:val="000A04B5"/>
    <w:rsid w:val="000A119D"/>
    <w:rsid w:val="000A1298"/>
    <w:rsid w:val="000A1563"/>
    <w:rsid w:val="000A21B9"/>
    <w:rsid w:val="000A2204"/>
    <w:rsid w:val="000A2E61"/>
    <w:rsid w:val="000A3FFF"/>
    <w:rsid w:val="000A441C"/>
    <w:rsid w:val="000A54B5"/>
    <w:rsid w:val="000A56DA"/>
    <w:rsid w:val="000A575F"/>
    <w:rsid w:val="000A5BC4"/>
    <w:rsid w:val="000A6458"/>
    <w:rsid w:val="000A77EC"/>
    <w:rsid w:val="000B045C"/>
    <w:rsid w:val="000B289C"/>
    <w:rsid w:val="000B2F29"/>
    <w:rsid w:val="000B3172"/>
    <w:rsid w:val="000B3E70"/>
    <w:rsid w:val="000B413E"/>
    <w:rsid w:val="000B41AC"/>
    <w:rsid w:val="000B431B"/>
    <w:rsid w:val="000B5FD1"/>
    <w:rsid w:val="000B6EF1"/>
    <w:rsid w:val="000B73DC"/>
    <w:rsid w:val="000C1AF8"/>
    <w:rsid w:val="000C2DF8"/>
    <w:rsid w:val="000C4077"/>
    <w:rsid w:val="000C5F9D"/>
    <w:rsid w:val="000C64D9"/>
    <w:rsid w:val="000C7701"/>
    <w:rsid w:val="000C78B9"/>
    <w:rsid w:val="000D075E"/>
    <w:rsid w:val="000D0D51"/>
    <w:rsid w:val="000D0FE3"/>
    <w:rsid w:val="000D1CFD"/>
    <w:rsid w:val="000D1E53"/>
    <w:rsid w:val="000D256F"/>
    <w:rsid w:val="000D39F7"/>
    <w:rsid w:val="000D3DA1"/>
    <w:rsid w:val="000D479D"/>
    <w:rsid w:val="000D48A3"/>
    <w:rsid w:val="000D4EFF"/>
    <w:rsid w:val="000D53C8"/>
    <w:rsid w:val="000D5795"/>
    <w:rsid w:val="000D7FD8"/>
    <w:rsid w:val="000E02CF"/>
    <w:rsid w:val="000E2677"/>
    <w:rsid w:val="000E2A98"/>
    <w:rsid w:val="000E3691"/>
    <w:rsid w:val="000F0107"/>
    <w:rsid w:val="000F0677"/>
    <w:rsid w:val="000F1687"/>
    <w:rsid w:val="000F2405"/>
    <w:rsid w:val="000F39FD"/>
    <w:rsid w:val="000F415E"/>
    <w:rsid w:val="000F4655"/>
    <w:rsid w:val="000F4683"/>
    <w:rsid w:val="000F497B"/>
    <w:rsid w:val="000F58F9"/>
    <w:rsid w:val="000F5FAD"/>
    <w:rsid w:val="000F6AE4"/>
    <w:rsid w:val="001017E0"/>
    <w:rsid w:val="00102D2A"/>
    <w:rsid w:val="00103814"/>
    <w:rsid w:val="00104499"/>
    <w:rsid w:val="0010534A"/>
    <w:rsid w:val="0010590E"/>
    <w:rsid w:val="00106157"/>
    <w:rsid w:val="00112D5A"/>
    <w:rsid w:val="00112F28"/>
    <w:rsid w:val="00113420"/>
    <w:rsid w:val="00113EDA"/>
    <w:rsid w:val="0011410A"/>
    <w:rsid w:val="00115BF8"/>
    <w:rsid w:val="00116F68"/>
    <w:rsid w:val="001221CD"/>
    <w:rsid w:val="0012360C"/>
    <w:rsid w:val="00123901"/>
    <w:rsid w:val="00125915"/>
    <w:rsid w:val="001304A3"/>
    <w:rsid w:val="00130A3B"/>
    <w:rsid w:val="00131286"/>
    <w:rsid w:val="00131B07"/>
    <w:rsid w:val="00131D33"/>
    <w:rsid w:val="0013223D"/>
    <w:rsid w:val="001323C7"/>
    <w:rsid w:val="0013286D"/>
    <w:rsid w:val="00133BCF"/>
    <w:rsid w:val="001346E8"/>
    <w:rsid w:val="00135D78"/>
    <w:rsid w:val="00137DB3"/>
    <w:rsid w:val="001407FB"/>
    <w:rsid w:val="001413D7"/>
    <w:rsid w:val="00142FD1"/>
    <w:rsid w:val="001433E6"/>
    <w:rsid w:val="0014354B"/>
    <w:rsid w:val="00143D5F"/>
    <w:rsid w:val="00143D9F"/>
    <w:rsid w:val="001453BB"/>
    <w:rsid w:val="0014594A"/>
    <w:rsid w:val="00145C1B"/>
    <w:rsid w:val="00147499"/>
    <w:rsid w:val="00147AE1"/>
    <w:rsid w:val="001523DE"/>
    <w:rsid w:val="001527EA"/>
    <w:rsid w:val="001563CF"/>
    <w:rsid w:val="001567A4"/>
    <w:rsid w:val="00157A03"/>
    <w:rsid w:val="001604D2"/>
    <w:rsid w:val="00160A36"/>
    <w:rsid w:val="0016207A"/>
    <w:rsid w:val="0016289A"/>
    <w:rsid w:val="00166C6E"/>
    <w:rsid w:val="001676BA"/>
    <w:rsid w:val="00167F5C"/>
    <w:rsid w:val="00170CC2"/>
    <w:rsid w:val="00170E92"/>
    <w:rsid w:val="001716E0"/>
    <w:rsid w:val="00172D0F"/>
    <w:rsid w:val="00173B25"/>
    <w:rsid w:val="00175686"/>
    <w:rsid w:val="00175F5C"/>
    <w:rsid w:val="001761B2"/>
    <w:rsid w:val="00177479"/>
    <w:rsid w:val="0018049C"/>
    <w:rsid w:val="00180655"/>
    <w:rsid w:val="00180C74"/>
    <w:rsid w:val="001812BA"/>
    <w:rsid w:val="00181AF1"/>
    <w:rsid w:val="001829D0"/>
    <w:rsid w:val="0018409D"/>
    <w:rsid w:val="001850EE"/>
    <w:rsid w:val="001853A3"/>
    <w:rsid w:val="001855F6"/>
    <w:rsid w:val="00186109"/>
    <w:rsid w:val="00190781"/>
    <w:rsid w:val="00191D75"/>
    <w:rsid w:val="0019223F"/>
    <w:rsid w:val="00192F1E"/>
    <w:rsid w:val="00193381"/>
    <w:rsid w:val="0019569B"/>
    <w:rsid w:val="001978D3"/>
    <w:rsid w:val="001A0810"/>
    <w:rsid w:val="001A14C2"/>
    <w:rsid w:val="001A249C"/>
    <w:rsid w:val="001A3703"/>
    <w:rsid w:val="001A5E28"/>
    <w:rsid w:val="001A687F"/>
    <w:rsid w:val="001A6B02"/>
    <w:rsid w:val="001A7070"/>
    <w:rsid w:val="001A7158"/>
    <w:rsid w:val="001A7178"/>
    <w:rsid w:val="001B0885"/>
    <w:rsid w:val="001B1BF8"/>
    <w:rsid w:val="001B2585"/>
    <w:rsid w:val="001B2941"/>
    <w:rsid w:val="001B500F"/>
    <w:rsid w:val="001B51BF"/>
    <w:rsid w:val="001B59F5"/>
    <w:rsid w:val="001B633C"/>
    <w:rsid w:val="001B7398"/>
    <w:rsid w:val="001C02F4"/>
    <w:rsid w:val="001C1053"/>
    <w:rsid w:val="001C1403"/>
    <w:rsid w:val="001C2E37"/>
    <w:rsid w:val="001C3459"/>
    <w:rsid w:val="001C3465"/>
    <w:rsid w:val="001C65D4"/>
    <w:rsid w:val="001C793C"/>
    <w:rsid w:val="001C7C03"/>
    <w:rsid w:val="001D0945"/>
    <w:rsid w:val="001D1732"/>
    <w:rsid w:val="001D2535"/>
    <w:rsid w:val="001D2E30"/>
    <w:rsid w:val="001D32EB"/>
    <w:rsid w:val="001D3610"/>
    <w:rsid w:val="001D403E"/>
    <w:rsid w:val="001D507C"/>
    <w:rsid w:val="001D5CAF"/>
    <w:rsid w:val="001D5EC2"/>
    <w:rsid w:val="001D6EEC"/>
    <w:rsid w:val="001D7321"/>
    <w:rsid w:val="001D7B4D"/>
    <w:rsid w:val="001E1681"/>
    <w:rsid w:val="001E1EC2"/>
    <w:rsid w:val="001E2A2E"/>
    <w:rsid w:val="001E2EBA"/>
    <w:rsid w:val="001E4522"/>
    <w:rsid w:val="001E4CE1"/>
    <w:rsid w:val="001E5A28"/>
    <w:rsid w:val="001E5F82"/>
    <w:rsid w:val="001E656B"/>
    <w:rsid w:val="001E6EF1"/>
    <w:rsid w:val="001E7764"/>
    <w:rsid w:val="001F0137"/>
    <w:rsid w:val="001F0DF8"/>
    <w:rsid w:val="001F1E9D"/>
    <w:rsid w:val="001F2642"/>
    <w:rsid w:val="001F2FF7"/>
    <w:rsid w:val="001F34FD"/>
    <w:rsid w:val="001F370C"/>
    <w:rsid w:val="001F537A"/>
    <w:rsid w:val="001F5F97"/>
    <w:rsid w:val="001F6A19"/>
    <w:rsid w:val="001F6A8A"/>
    <w:rsid w:val="001F6DA3"/>
    <w:rsid w:val="001F72D5"/>
    <w:rsid w:val="001F7399"/>
    <w:rsid w:val="001F7824"/>
    <w:rsid w:val="001F7DFC"/>
    <w:rsid w:val="0020054D"/>
    <w:rsid w:val="002013AF"/>
    <w:rsid w:val="0020191A"/>
    <w:rsid w:val="002028E4"/>
    <w:rsid w:val="00202E16"/>
    <w:rsid w:val="00203114"/>
    <w:rsid w:val="00204EB9"/>
    <w:rsid w:val="00206650"/>
    <w:rsid w:val="002067F4"/>
    <w:rsid w:val="002114A5"/>
    <w:rsid w:val="00211B8E"/>
    <w:rsid w:val="00212CF9"/>
    <w:rsid w:val="00214732"/>
    <w:rsid w:val="00214751"/>
    <w:rsid w:val="00214E18"/>
    <w:rsid w:val="00216A41"/>
    <w:rsid w:val="00216A5A"/>
    <w:rsid w:val="00216BBD"/>
    <w:rsid w:val="00217675"/>
    <w:rsid w:val="00217D5B"/>
    <w:rsid w:val="0022093E"/>
    <w:rsid w:val="00220AF8"/>
    <w:rsid w:val="002217CF"/>
    <w:rsid w:val="00222189"/>
    <w:rsid w:val="00222251"/>
    <w:rsid w:val="002231E9"/>
    <w:rsid w:val="002235A5"/>
    <w:rsid w:val="00224536"/>
    <w:rsid w:val="002264A3"/>
    <w:rsid w:val="00227D4C"/>
    <w:rsid w:val="00232BAD"/>
    <w:rsid w:val="00234740"/>
    <w:rsid w:val="00234D4D"/>
    <w:rsid w:val="00235112"/>
    <w:rsid w:val="002355A0"/>
    <w:rsid w:val="002356B1"/>
    <w:rsid w:val="00237619"/>
    <w:rsid w:val="00237D5F"/>
    <w:rsid w:val="0024158B"/>
    <w:rsid w:val="00241ED8"/>
    <w:rsid w:val="00244A74"/>
    <w:rsid w:val="00244CDF"/>
    <w:rsid w:val="00245448"/>
    <w:rsid w:val="00245861"/>
    <w:rsid w:val="002459F3"/>
    <w:rsid w:val="00246238"/>
    <w:rsid w:val="002473CF"/>
    <w:rsid w:val="002476AE"/>
    <w:rsid w:val="00247FCB"/>
    <w:rsid w:val="00252E22"/>
    <w:rsid w:val="00254659"/>
    <w:rsid w:val="00254FE7"/>
    <w:rsid w:val="0025536E"/>
    <w:rsid w:val="00255996"/>
    <w:rsid w:val="002566F8"/>
    <w:rsid w:val="002607CE"/>
    <w:rsid w:val="00260DA0"/>
    <w:rsid w:val="00260EF0"/>
    <w:rsid w:val="002612A7"/>
    <w:rsid w:val="002626AB"/>
    <w:rsid w:val="00262CDA"/>
    <w:rsid w:val="00263F6D"/>
    <w:rsid w:val="00263FB8"/>
    <w:rsid w:val="002640C3"/>
    <w:rsid w:val="00264CAE"/>
    <w:rsid w:val="00265F9E"/>
    <w:rsid w:val="002665EF"/>
    <w:rsid w:val="00266E13"/>
    <w:rsid w:val="00266F40"/>
    <w:rsid w:val="00270D18"/>
    <w:rsid w:val="002747A4"/>
    <w:rsid w:val="0027593C"/>
    <w:rsid w:val="00275D2C"/>
    <w:rsid w:val="0027657D"/>
    <w:rsid w:val="002767A9"/>
    <w:rsid w:val="0027705D"/>
    <w:rsid w:val="002779AC"/>
    <w:rsid w:val="00277ABE"/>
    <w:rsid w:val="00280A52"/>
    <w:rsid w:val="00281FF5"/>
    <w:rsid w:val="00283FA1"/>
    <w:rsid w:val="00286281"/>
    <w:rsid w:val="00286B7D"/>
    <w:rsid w:val="00292052"/>
    <w:rsid w:val="00292534"/>
    <w:rsid w:val="0029373C"/>
    <w:rsid w:val="00293D13"/>
    <w:rsid w:val="0029421A"/>
    <w:rsid w:val="00294C03"/>
    <w:rsid w:val="00294F88"/>
    <w:rsid w:val="0029649D"/>
    <w:rsid w:val="0029665D"/>
    <w:rsid w:val="00296EFE"/>
    <w:rsid w:val="002971E4"/>
    <w:rsid w:val="00297203"/>
    <w:rsid w:val="00297E86"/>
    <w:rsid w:val="002A13F1"/>
    <w:rsid w:val="002A1C0B"/>
    <w:rsid w:val="002A1D48"/>
    <w:rsid w:val="002A256B"/>
    <w:rsid w:val="002A32F8"/>
    <w:rsid w:val="002A3F8E"/>
    <w:rsid w:val="002A513C"/>
    <w:rsid w:val="002A51B6"/>
    <w:rsid w:val="002A5E12"/>
    <w:rsid w:val="002A6AC9"/>
    <w:rsid w:val="002A6BAC"/>
    <w:rsid w:val="002B004A"/>
    <w:rsid w:val="002B1826"/>
    <w:rsid w:val="002B33C3"/>
    <w:rsid w:val="002B366F"/>
    <w:rsid w:val="002B428D"/>
    <w:rsid w:val="002B490A"/>
    <w:rsid w:val="002B4995"/>
    <w:rsid w:val="002B6E6A"/>
    <w:rsid w:val="002C0E7E"/>
    <w:rsid w:val="002C0F1B"/>
    <w:rsid w:val="002C196D"/>
    <w:rsid w:val="002C1FA7"/>
    <w:rsid w:val="002C23DC"/>
    <w:rsid w:val="002C4EF5"/>
    <w:rsid w:val="002C55DD"/>
    <w:rsid w:val="002C5A38"/>
    <w:rsid w:val="002C608D"/>
    <w:rsid w:val="002D0912"/>
    <w:rsid w:val="002D0AAA"/>
    <w:rsid w:val="002D2DC5"/>
    <w:rsid w:val="002D47B8"/>
    <w:rsid w:val="002D5278"/>
    <w:rsid w:val="002D55C6"/>
    <w:rsid w:val="002D5852"/>
    <w:rsid w:val="002D5945"/>
    <w:rsid w:val="002D6938"/>
    <w:rsid w:val="002D6BD0"/>
    <w:rsid w:val="002E08CD"/>
    <w:rsid w:val="002E0D9A"/>
    <w:rsid w:val="002E29ED"/>
    <w:rsid w:val="002E2C93"/>
    <w:rsid w:val="002E4CA7"/>
    <w:rsid w:val="002E5028"/>
    <w:rsid w:val="002E5CEB"/>
    <w:rsid w:val="002E61C9"/>
    <w:rsid w:val="002F0246"/>
    <w:rsid w:val="002F02CB"/>
    <w:rsid w:val="002F0AD3"/>
    <w:rsid w:val="002F0C11"/>
    <w:rsid w:val="002F14AF"/>
    <w:rsid w:val="002F16AB"/>
    <w:rsid w:val="002F2AEF"/>
    <w:rsid w:val="002F3010"/>
    <w:rsid w:val="002F425E"/>
    <w:rsid w:val="002F4B44"/>
    <w:rsid w:val="002F70F0"/>
    <w:rsid w:val="002F7DF3"/>
    <w:rsid w:val="00300409"/>
    <w:rsid w:val="00300D57"/>
    <w:rsid w:val="00302575"/>
    <w:rsid w:val="0030414E"/>
    <w:rsid w:val="003049DD"/>
    <w:rsid w:val="00304ED8"/>
    <w:rsid w:val="003065C4"/>
    <w:rsid w:val="003066EB"/>
    <w:rsid w:val="0031159F"/>
    <w:rsid w:val="003115BF"/>
    <w:rsid w:val="00311D53"/>
    <w:rsid w:val="0031349C"/>
    <w:rsid w:val="00313A2D"/>
    <w:rsid w:val="00315794"/>
    <w:rsid w:val="0031623C"/>
    <w:rsid w:val="00316AFE"/>
    <w:rsid w:val="0031727E"/>
    <w:rsid w:val="00320C0F"/>
    <w:rsid w:val="00320C6E"/>
    <w:rsid w:val="00320EBB"/>
    <w:rsid w:val="00320ED1"/>
    <w:rsid w:val="00321311"/>
    <w:rsid w:val="00321850"/>
    <w:rsid w:val="00322188"/>
    <w:rsid w:val="00322DF2"/>
    <w:rsid w:val="00323813"/>
    <w:rsid w:val="003238E6"/>
    <w:rsid w:val="003239CB"/>
    <w:rsid w:val="00323A53"/>
    <w:rsid w:val="003249E6"/>
    <w:rsid w:val="00325C17"/>
    <w:rsid w:val="003267F1"/>
    <w:rsid w:val="00326888"/>
    <w:rsid w:val="00327253"/>
    <w:rsid w:val="003316A8"/>
    <w:rsid w:val="00332673"/>
    <w:rsid w:val="00332713"/>
    <w:rsid w:val="00332E79"/>
    <w:rsid w:val="00333EBB"/>
    <w:rsid w:val="0033467C"/>
    <w:rsid w:val="0033592C"/>
    <w:rsid w:val="00336666"/>
    <w:rsid w:val="00336D46"/>
    <w:rsid w:val="0033760E"/>
    <w:rsid w:val="003401A3"/>
    <w:rsid w:val="00342258"/>
    <w:rsid w:val="003423D6"/>
    <w:rsid w:val="00342768"/>
    <w:rsid w:val="00343050"/>
    <w:rsid w:val="00343D9F"/>
    <w:rsid w:val="0034629E"/>
    <w:rsid w:val="003466D4"/>
    <w:rsid w:val="00347F1A"/>
    <w:rsid w:val="00350279"/>
    <w:rsid w:val="00350C0A"/>
    <w:rsid w:val="003518F6"/>
    <w:rsid w:val="00351D3A"/>
    <w:rsid w:val="0035215F"/>
    <w:rsid w:val="003522D8"/>
    <w:rsid w:val="003562FD"/>
    <w:rsid w:val="00357E8C"/>
    <w:rsid w:val="00360381"/>
    <w:rsid w:val="00360684"/>
    <w:rsid w:val="003623D0"/>
    <w:rsid w:val="00362426"/>
    <w:rsid w:val="003629A0"/>
    <w:rsid w:val="003636A4"/>
    <w:rsid w:val="00364C80"/>
    <w:rsid w:val="00365487"/>
    <w:rsid w:val="003663F8"/>
    <w:rsid w:val="00366C09"/>
    <w:rsid w:val="00367166"/>
    <w:rsid w:val="003715C9"/>
    <w:rsid w:val="00372F72"/>
    <w:rsid w:val="00373A59"/>
    <w:rsid w:val="00374885"/>
    <w:rsid w:val="0037513D"/>
    <w:rsid w:val="00375319"/>
    <w:rsid w:val="00375370"/>
    <w:rsid w:val="00376A19"/>
    <w:rsid w:val="003779B3"/>
    <w:rsid w:val="00382148"/>
    <w:rsid w:val="003839C0"/>
    <w:rsid w:val="00384315"/>
    <w:rsid w:val="00384668"/>
    <w:rsid w:val="00385ABD"/>
    <w:rsid w:val="00387EE7"/>
    <w:rsid w:val="003902D3"/>
    <w:rsid w:val="0039185C"/>
    <w:rsid w:val="00391FF0"/>
    <w:rsid w:val="0039329B"/>
    <w:rsid w:val="003944A4"/>
    <w:rsid w:val="00394ED4"/>
    <w:rsid w:val="00395A88"/>
    <w:rsid w:val="0039656F"/>
    <w:rsid w:val="00396AA8"/>
    <w:rsid w:val="003A0884"/>
    <w:rsid w:val="003A0AC5"/>
    <w:rsid w:val="003A0E38"/>
    <w:rsid w:val="003A159A"/>
    <w:rsid w:val="003A182C"/>
    <w:rsid w:val="003A2BEF"/>
    <w:rsid w:val="003A323C"/>
    <w:rsid w:val="003A3CED"/>
    <w:rsid w:val="003A41B1"/>
    <w:rsid w:val="003A722B"/>
    <w:rsid w:val="003A73A4"/>
    <w:rsid w:val="003B0377"/>
    <w:rsid w:val="003B12E4"/>
    <w:rsid w:val="003B1ED5"/>
    <w:rsid w:val="003B379C"/>
    <w:rsid w:val="003B520B"/>
    <w:rsid w:val="003B564E"/>
    <w:rsid w:val="003B6729"/>
    <w:rsid w:val="003B6A24"/>
    <w:rsid w:val="003B7C6E"/>
    <w:rsid w:val="003C0729"/>
    <w:rsid w:val="003C0CF6"/>
    <w:rsid w:val="003C2225"/>
    <w:rsid w:val="003C24A1"/>
    <w:rsid w:val="003C26E1"/>
    <w:rsid w:val="003C28D9"/>
    <w:rsid w:val="003C36F8"/>
    <w:rsid w:val="003C3C27"/>
    <w:rsid w:val="003C5899"/>
    <w:rsid w:val="003C79FF"/>
    <w:rsid w:val="003D083C"/>
    <w:rsid w:val="003D0B45"/>
    <w:rsid w:val="003D11EB"/>
    <w:rsid w:val="003D15DB"/>
    <w:rsid w:val="003D2181"/>
    <w:rsid w:val="003D35D7"/>
    <w:rsid w:val="003D3A44"/>
    <w:rsid w:val="003D47FD"/>
    <w:rsid w:val="003E0544"/>
    <w:rsid w:val="003E0A07"/>
    <w:rsid w:val="003E115D"/>
    <w:rsid w:val="003E296C"/>
    <w:rsid w:val="003E37F4"/>
    <w:rsid w:val="003E38B3"/>
    <w:rsid w:val="003E3981"/>
    <w:rsid w:val="003E509D"/>
    <w:rsid w:val="003E51F3"/>
    <w:rsid w:val="003E64E9"/>
    <w:rsid w:val="003E6523"/>
    <w:rsid w:val="003E7684"/>
    <w:rsid w:val="003E7885"/>
    <w:rsid w:val="003F1EAB"/>
    <w:rsid w:val="003F2341"/>
    <w:rsid w:val="003F2825"/>
    <w:rsid w:val="003F3772"/>
    <w:rsid w:val="003F37C0"/>
    <w:rsid w:val="003F4262"/>
    <w:rsid w:val="003F46BB"/>
    <w:rsid w:val="003F479D"/>
    <w:rsid w:val="003F4F41"/>
    <w:rsid w:val="003F56F5"/>
    <w:rsid w:val="003F5B06"/>
    <w:rsid w:val="003F6789"/>
    <w:rsid w:val="003F6EBF"/>
    <w:rsid w:val="003F7CD0"/>
    <w:rsid w:val="003F7EBE"/>
    <w:rsid w:val="00400BEC"/>
    <w:rsid w:val="00401F10"/>
    <w:rsid w:val="0040297F"/>
    <w:rsid w:val="00402B80"/>
    <w:rsid w:val="00403C9B"/>
    <w:rsid w:val="00403F69"/>
    <w:rsid w:val="004040AD"/>
    <w:rsid w:val="004042CC"/>
    <w:rsid w:val="0040480C"/>
    <w:rsid w:val="00406FF7"/>
    <w:rsid w:val="0040759A"/>
    <w:rsid w:val="004079EC"/>
    <w:rsid w:val="004104CB"/>
    <w:rsid w:val="00411532"/>
    <w:rsid w:val="00411EAB"/>
    <w:rsid w:val="004122C0"/>
    <w:rsid w:val="00412C34"/>
    <w:rsid w:val="004141BC"/>
    <w:rsid w:val="00415C21"/>
    <w:rsid w:val="00415DE0"/>
    <w:rsid w:val="004168C8"/>
    <w:rsid w:val="00417C9F"/>
    <w:rsid w:val="0042073D"/>
    <w:rsid w:val="00420E0A"/>
    <w:rsid w:val="00424716"/>
    <w:rsid w:val="00424D75"/>
    <w:rsid w:val="004303A4"/>
    <w:rsid w:val="00430D96"/>
    <w:rsid w:val="00430F72"/>
    <w:rsid w:val="004315DD"/>
    <w:rsid w:val="00431737"/>
    <w:rsid w:val="00432DBD"/>
    <w:rsid w:val="00433025"/>
    <w:rsid w:val="004335EE"/>
    <w:rsid w:val="00433633"/>
    <w:rsid w:val="004338B0"/>
    <w:rsid w:val="00433EC4"/>
    <w:rsid w:val="00434F5F"/>
    <w:rsid w:val="00435707"/>
    <w:rsid w:val="004357AC"/>
    <w:rsid w:val="00436392"/>
    <w:rsid w:val="00436453"/>
    <w:rsid w:val="0043672D"/>
    <w:rsid w:val="00440DD2"/>
    <w:rsid w:val="004442ED"/>
    <w:rsid w:val="00444968"/>
    <w:rsid w:val="00444C60"/>
    <w:rsid w:val="00445DCF"/>
    <w:rsid w:val="00446755"/>
    <w:rsid w:val="00447032"/>
    <w:rsid w:val="004510B8"/>
    <w:rsid w:val="0045186A"/>
    <w:rsid w:val="00451AD1"/>
    <w:rsid w:val="0045310D"/>
    <w:rsid w:val="00453732"/>
    <w:rsid w:val="00454E40"/>
    <w:rsid w:val="00455CBD"/>
    <w:rsid w:val="004561AF"/>
    <w:rsid w:val="004563CD"/>
    <w:rsid w:val="004606E1"/>
    <w:rsid w:val="004607EB"/>
    <w:rsid w:val="0046085C"/>
    <w:rsid w:val="00460E57"/>
    <w:rsid w:val="0046133D"/>
    <w:rsid w:val="0046195B"/>
    <w:rsid w:val="0046280E"/>
    <w:rsid w:val="00462E0A"/>
    <w:rsid w:val="004638B2"/>
    <w:rsid w:val="00463E8D"/>
    <w:rsid w:val="00463FC1"/>
    <w:rsid w:val="00464D95"/>
    <w:rsid w:val="004674AA"/>
    <w:rsid w:val="00467649"/>
    <w:rsid w:val="00467963"/>
    <w:rsid w:val="00470BEE"/>
    <w:rsid w:val="0047126B"/>
    <w:rsid w:val="0047205D"/>
    <w:rsid w:val="00472353"/>
    <w:rsid w:val="00472A01"/>
    <w:rsid w:val="00472F22"/>
    <w:rsid w:val="00475F94"/>
    <w:rsid w:val="00480F06"/>
    <w:rsid w:val="0048342F"/>
    <w:rsid w:val="0048378F"/>
    <w:rsid w:val="00485448"/>
    <w:rsid w:val="00486855"/>
    <w:rsid w:val="00487E55"/>
    <w:rsid w:val="00487F3D"/>
    <w:rsid w:val="00490AB9"/>
    <w:rsid w:val="004919D8"/>
    <w:rsid w:val="00491D1B"/>
    <w:rsid w:val="00493705"/>
    <w:rsid w:val="00493E6F"/>
    <w:rsid w:val="00493F32"/>
    <w:rsid w:val="00494899"/>
    <w:rsid w:val="0049558B"/>
    <w:rsid w:val="00496136"/>
    <w:rsid w:val="00496E76"/>
    <w:rsid w:val="004A00F4"/>
    <w:rsid w:val="004A06AA"/>
    <w:rsid w:val="004A0993"/>
    <w:rsid w:val="004A1422"/>
    <w:rsid w:val="004A377C"/>
    <w:rsid w:val="004A3B34"/>
    <w:rsid w:val="004A3E6A"/>
    <w:rsid w:val="004A517E"/>
    <w:rsid w:val="004A5284"/>
    <w:rsid w:val="004A5A32"/>
    <w:rsid w:val="004A75A6"/>
    <w:rsid w:val="004B2430"/>
    <w:rsid w:val="004B289B"/>
    <w:rsid w:val="004B4805"/>
    <w:rsid w:val="004B56DF"/>
    <w:rsid w:val="004B6149"/>
    <w:rsid w:val="004C0BBA"/>
    <w:rsid w:val="004C0F71"/>
    <w:rsid w:val="004C1947"/>
    <w:rsid w:val="004C2BBD"/>
    <w:rsid w:val="004C2C26"/>
    <w:rsid w:val="004C35FB"/>
    <w:rsid w:val="004C3688"/>
    <w:rsid w:val="004C465A"/>
    <w:rsid w:val="004C576D"/>
    <w:rsid w:val="004C6211"/>
    <w:rsid w:val="004C64BD"/>
    <w:rsid w:val="004C72DC"/>
    <w:rsid w:val="004C74A4"/>
    <w:rsid w:val="004C75BA"/>
    <w:rsid w:val="004C7F09"/>
    <w:rsid w:val="004D088B"/>
    <w:rsid w:val="004D1C23"/>
    <w:rsid w:val="004D31CE"/>
    <w:rsid w:val="004D49D4"/>
    <w:rsid w:val="004D5BEF"/>
    <w:rsid w:val="004D601D"/>
    <w:rsid w:val="004D62D2"/>
    <w:rsid w:val="004D64D6"/>
    <w:rsid w:val="004E1694"/>
    <w:rsid w:val="004E1A1C"/>
    <w:rsid w:val="004E1D19"/>
    <w:rsid w:val="004E3506"/>
    <w:rsid w:val="004E587C"/>
    <w:rsid w:val="004E6181"/>
    <w:rsid w:val="004E69E0"/>
    <w:rsid w:val="004E6C7C"/>
    <w:rsid w:val="004F1174"/>
    <w:rsid w:val="004F257B"/>
    <w:rsid w:val="004F25BE"/>
    <w:rsid w:val="004F3B97"/>
    <w:rsid w:val="004F56B0"/>
    <w:rsid w:val="004F5ACE"/>
    <w:rsid w:val="004F646E"/>
    <w:rsid w:val="004F7DCD"/>
    <w:rsid w:val="00500BAC"/>
    <w:rsid w:val="00500BF8"/>
    <w:rsid w:val="005017BD"/>
    <w:rsid w:val="00501CAB"/>
    <w:rsid w:val="00502F46"/>
    <w:rsid w:val="00503CE2"/>
    <w:rsid w:val="00503CE9"/>
    <w:rsid w:val="00507848"/>
    <w:rsid w:val="00507A19"/>
    <w:rsid w:val="00507E77"/>
    <w:rsid w:val="00510CE8"/>
    <w:rsid w:val="00510FEC"/>
    <w:rsid w:val="005113D4"/>
    <w:rsid w:val="00511E80"/>
    <w:rsid w:val="00512599"/>
    <w:rsid w:val="0051263F"/>
    <w:rsid w:val="0051299E"/>
    <w:rsid w:val="00512C40"/>
    <w:rsid w:val="00514FA4"/>
    <w:rsid w:val="00515821"/>
    <w:rsid w:val="00515A20"/>
    <w:rsid w:val="00516EF5"/>
    <w:rsid w:val="005173E1"/>
    <w:rsid w:val="00517F1B"/>
    <w:rsid w:val="0052005D"/>
    <w:rsid w:val="00521890"/>
    <w:rsid w:val="0052189B"/>
    <w:rsid w:val="00522EC5"/>
    <w:rsid w:val="00522FC1"/>
    <w:rsid w:val="005231B9"/>
    <w:rsid w:val="0052397E"/>
    <w:rsid w:val="00523D44"/>
    <w:rsid w:val="00524208"/>
    <w:rsid w:val="00526430"/>
    <w:rsid w:val="005264C0"/>
    <w:rsid w:val="00526A33"/>
    <w:rsid w:val="00527BE5"/>
    <w:rsid w:val="00530B3E"/>
    <w:rsid w:val="0053158E"/>
    <w:rsid w:val="005319BB"/>
    <w:rsid w:val="00533877"/>
    <w:rsid w:val="00534F74"/>
    <w:rsid w:val="005355B5"/>
    <w:rsid w:val="005356E1"/>
    <w:rsid w:val="005356F1"/>
    <w:rsid w:val="00535AA0"/>
    <w:rsid w:val="00535FD6"/>
    <w:rsid w:val="005375D9"/>
    <w:rsid w:val="00537A87"/>
    <w:rsid w:val="00537ECC"/>
    <w:rsid w:val="005401CA"/>
    <w:rsid w:val="00540725"/>
    <w:rsid w:val="00541006"/>
    <w:rsid w:val="005413FE"/>
    <w:rsid w:val="00541B4A"/>
    <w:rsid w:val="00542799"/>
    <w:rsid w:val="00542B50"/>
    <w:rsid w:val="005436CA"/>
    <w:rsid w:val="00543FE7"/>
    <w:rsid w:val="00544883"/>
    <w:rsid w:val="00544D99"/>
    <w:rsid w:val="005463BF"/>
    <w:rsid w:val="00546BA7"/>
    <w:rsid w:val="00546F92"/>
    <w:rsid w:val="00547655"/>
    <w:rsid w:val="00552FBD"/>
    <w:rsid w:val="0055335E"/>
    <w:rsid w:val="00553653"/>
    <w:rsid w:val="00553681"/>
    <w:rsid w:val="00555BA1"/>
    <w:rsid w:val="005567BB"/>
    <w:rsid w:val="00557490"/>
    <w:rsid w:val="005574C4"/>
    <w:rsid w:val="005602CE"/>
    <w:rsid w:val="00561628"/>
    <w:rsid w:val="00561BE0"/>
    <w:rsid w:val="00563084"/>
    <w:rsid w:val="00563732"/>
    <w:rsid w:val="00563C25"/>
    <w:rsid w:val="00564170"/>
    <w:rsid w:val="00565D34"/>
    <w:rsid w:val="00565ECB"/>
    <w:rsid w:val="005701D3"/>
    <w:rsid w:val="0057104E"/>
    <w:rsid w:val="0057234F"/>
    <w:rsid w:val="00573AC9"/>
    <w:rsid w:val="00573DB5"/>
    <w:rsid w:val="00573FB3"/>
    <w:rsid w:val="005741B7"/>
    <w:rsid w:val="005745B7"/>
    <w:rsid w:val="00575663"/>
    <w:rsid w:val="0058089E"/>
    <w:rsid w:val="005817F1"/>
    <w:rsid w:val="0058323B"/>
    <w:rsid w:val="00584381"/>
    <w:rsid w:val="00584987"/>
    <w:rsid w:val="00585512"/>
    <w:rsid w:val="0058567D"/>
    <w:rsid w:val="005856F3"/>
    <w:rsid w:val="00585908"/>
    <w:rsid w:val="00587380"/>
    <w:rsid w:val="0058762A"/>
    <w:rsid w:val="0058763B"/>
    <w:rsid w:val="0059110F"/>
    <w:rsid w:val="00591587"/>
    <w:rsid w:val="00591721"/>
    <w:rsid w:val="005921A8"/>
    <w:rsid w:val="00592576"/>
    <w:rsid w:val="00592629"/>
    <w:rsid w:val="00593479"/>
    <w:rsid w:val="005935B1"/>
    <w:rsid w:val="00593DDA"/>
    <w:rsid w:val="00593F5F"/>
    <w:rsid w:val="00593F6A"/>
    <w:rsid w:val="00594971"/>
    <w:rsid w:val="0059519B"/>
    <w:rsid w:val="00595CF6"/>
    <w:rsid w:val="00597204"/>
    <w:rsid w:val="00597E60"/>
    <w:rsid w:val="005A08D9"/>
    <w:rsid w:val="005A0AA6"/>
    <w:rsid w:val="005A2617"/>
    <w:rsid w:val="005A31BE"/>
    <w:rsid w:val="005A3FF8"/>
    <w:rsid w:val="005A523A"/>
    <w:rsid w:val="005A534E"/>
    <w:rsid w:val="005A5BED"/>
    <w:rsid w:val="005A5C29"/>
    <w:rsid w:val="005A60D4"/>
    <w:rsid w:val="005A7212"/>
    <w:rsid w:val="005A78B0"/>
    <w:rsid w:val="005B2333"/>
    <w:rsid w:val="005B24FD"/>
    <w:rsid w:val="005B2A28"/>
    <w:rsid w:val="005B40EE"/>
    <w:rsid w:val="005B4340"/>
    <w:rsid w:val="005B4D87"/>
    <w:rsid w:val="005B67CA"/>
    <w:rsid w:val="005B75F0"/>
    <w:rsid w:val="005C1610"/>
    <w:rsid w:val="005C1D83"/>
    <w:rsid w:val="005C1E7C"/>
    <w:rsid w:val="005C2B35"/>
    <w:rsid w:val="005C316C"/>
    <w:rsid w:val="005C4077"/>
    <w:rsid w:val="005C50A0"/>
    <w:rsid w:val="005C6175"/>
    <w:rsid w:val="005C6250"/>
    <w:rsid w:val="005C6F1E"/>
    <w:rsid w:val="005D27E3"/>
    <w:rsid w:val="005D31C3"/>
    <w:rsid w:val="005D4680"/>
    <w:rsid w:val="005D5E08"/>
    <w:rsid w:val="005D6596"/>
    <w:rsid w:val="005D65A2"/>
    <w:rsid w:val="005D6A55"/>
    <w:rsid w:val="005D6DE7"/>
    <w:rsid w:val="005E0DEC"/>
    <w:rsid w:val="005E12D9"/>
    <w:rsid w:val="005E218A"/>
    <w:rsid w:val="005E3B28"/>
    <w:rsid w:val="005E48BB"/>
    <w:rsid w:val="005E54A5"/>
    <w:rsid w:val="005E54E5"/>
    <w:rsid w:val="005E5566"/>
    <w:rsid w:val="005E55EC"/>
    <w:rsid w:val="005E5662"/>
    <w:rsid w:val="005E67BA"/>
    <w:rsid w:val="005E6911"/>
    <w:rsid w:val="005E7419"/>
    <w:rsid w:val="005F063A"/>
    <w:rsid w:val="005F09B0"/>
    <w:rsid w:val="005F1C2D"/>
    <w:rsid w:val="005F218C"/>
    <w:rsid w:val="005F4620"/>
    <w:rsid w:val="005F56D7"/>
    <w:rsid w:val="005F5C87"/>
    <w:rsid w:val="005F5E98"/>
    <w:rsid w:val="005F6A96"/>
    <w:rsid w:val="00600345"/>
    <w:rsid w:val="0060080D"/>
    <w:rsid w:val="00601141"/>
    <w:rsid w:val="006043A4"/>
    <w:rsid w:val="00604B31"/>
    <w:rsid w:val="00607EDA"/>
    <w:rsid w:val="006108BE"/>
    <w:rsid w:val="006118C5"/>
    <w:rsid w:val="00612C36"/>
    <w:rsid w:val="006130DE"/>
    <w:rsid w:val="0061480D"/>
    <w:rsid w:val="006151C6"/>
    <w:rsid w:val="00615983"/>
    <w:rsid w:val="00617313"/>
    <w:rsid w:val="00622CB8"/>
    <w:rsid w:val="00622D88"/>
    <w:rsid w:val="00623A65"/>
    <w:rsid w:val="00624F56"/>
    <w:rsid w:val="00625E73"/>
    <w:rsid w:val="00625F7D"/>
    <w:rsid w:val="00626092"/>
    <w:rsid w:val="00626611"/>
    <w:rsid w:val="00626B5C"/>
    <w:rsid w:val="0062704C"/>
    <w:rsid w:val="006304BE"/>
    <w:rsid w:val="00634450"/>
    <w:rsid w:val="006369C8"/>
    <w:rsid w:val="00636B32"/>
    <w:rsid w:val="0063726C"/>
    <w:rsid w:val="0063772B"/>
    <w:rsid w:val="00637862"/>
    <w:rsid w:val="0063792B"/>
    <w:rsid w:val="00640FD8"/>
    <w:rsid w:val="00641810"/>
    <w:rsid w:val="00642E7D"/>
    <w:rsid w:val="00643019"/>
    <w:rsid w:val="0064324D"/>
    <w:rsid w:val="00643AD0"/>
    <w:rsid w:val="00643D97"/>
    <w:rsid w:val="00644DED"/>
    <w:rsid w:val="006460EB"/>
    <w:rsid w:val="006475FE"/>
    <w:rsid w:val="00647F55"/>
    <w:rsid w:val="006508EA"/>
    <w:rsid w:val="006520B2"/>
    <w:rsid w:val="0065281B"/>
    <w:rsid w:val="00654981"/>
    <w:rsid w:val="00654DFF"/>
    <w:rsid w:val="00655EFF"/>
    <w:rsid w:val="00656CCF"/>
    <w:rsid w:val="00656EC3"/>
    <w:rsid w:val="00656F0E"/>
    <w:rsid w:val="0065714F"/>
    <w:rsid w:val="006577E4"/>
    <w:rsid w:val="00660AC2"/>
    <w:rsid w:val="006616A9"/>
    <w:rsid w:val="00662180"/>
    <w:rsid w:val="00663303"/>
    <w:rsid w:val="00663499"/>
    <w:rsid w:val="00663A54"/>
    <w:rsid w:val="00664BD5"/>
    <w:rsid w:val="00664CC7"/>
    <w:rsid w:val="00664D88"/>
    <w:rsid w:val="00664EDF"/>
    <w:rsid w:val="00665F6E"/>
    <w:rsid w:val="00666113"/>
    <w:rsid w:val="0066626C"/>
    <w:rsid w:val="006664F0"/>
    <w:rsid w:val="00666FAD"/>
    <w:rsid w:val="0066766C"/>
    <w:rsid w:val="006709A8"/>
    <w:rsid w:val="00670AAB"/>
    <w:rsid w:val="0067678C"/>
    <w:rsid w:val="0068080C"/>
    <w:rsid w:val="006812D4"/>
    <w:rsid w:val="00681749"/>
    <w:rsid w:val="00681E3F"/>
    <w:rsid w:val="006833E3"/>
    <w:rsid w:val="00683662"/>
    <w:rsid w:val="00684726"/>
    <w:rsid w:val="00684740"/>
    <w:rsid w:val="00684854"/>
    <w:rsid w:val="0068578E"/>
    <w:rsid w:val="00685E40"/>
    <w:rsid w:val="00686387"/>
    <w:rsid w:val="006872E3"/>
    <w:rsid w:val="00693C6C"/>
    <w:rsid w:val="006945A9"/>
    <w:rsid w:val="006946AB"/>
    <w:rsid w:val="00694AE2"/>
    <w:rsid w:val="0069524E"/>
    <w:rsid w:val="00696335"/>
    <w:rsid w:val="00697C67"/>
    <w:rsid w:val="006A1204"/>
    <w:rsid w:val="006A291D"/>
    <w:rsid w:val="006A2BA2"/>
    <w:rsid w:val="006A3685"/>
    <w:rsid w:val="006A3D9C"/>
    <w:rsid w:val="006A4C6C"/>
    <w:rsid w:val="006A504E"/>
    <w:rsid w:val="006A50E4"/>
    <w:rsid w:val="006A59E5"/>
    <w:rsid w:val="006A5FE7"/>
    <w:rsid w:val="006A6BB4"/>
    <w:rsid w:val="006A7593"/>
    <w:rsid w:val="006A7D1C"/>
    <w:rsid w:val="006B0C97"/>
    <w:rsid w:val="006B0DD0"/>
    <w:rsid w:val="006B1271"/>
    <w:rsid w:val="006B1DB6"/>
    <w:rsid w:val="006B231D"/>
    <w:rsid w:val="006B31CB"/>
    <w:rsid w:val="006B3C79"/>
    <w:rsid w:val="006B3CFC"/>
    <w:rsid w:val="006B4213"/>
    <w:rsid w:val="006B428B"/>
    <w:rsid w:val="006B4F0F"/>
    <w:rsid w:val="006B5713"/>
    <w:rsid w:val="006B5806"/>
    <w:rsid w:val="006B6006"/>
    <w:rsid w:val="006B6120"/>
    <w:rsid w:val="006B62B2"/>
    <w:rsid w:val="006B6795"/>
    <w:rsid w:val="006B6FB9"/>
    <w:rsid w:val="006B72F1"/>
    <w:rsid w:val="006B75B2"/>
    <w:rsid w:val="006C01E0"/>
    <w:rsid w:val="006C0938"/>
    <w:rsid w:val="006C2152"/>
    <w:rsid w:val="006C3BB9"/>
    <w:rsid w:val="006C4731"/>
    <w:rsid w:val="006C5950"/>
    <w:rsid w:val="006C73B7"/>
    <w:rsid w:val="006C7518"/>
    <w:rsid w:val="006D0550"/>
    <w:rsid w:val="006D099D"/>
    <w:rsid w:val="006D0CED"/>
    <w:rsid w:val="006D125A"/>
    <w:rsid w:val="006D16F0"/>
    <w:rsid w:val="006D3A26"/>
    <w:rsid w:val="006D3A48"/>
    <w:rsid w:val="006D4EB5"/>
    <w:rsid w:val="006D52F5"/>
    <w:rsid w:val="006D52FA"/>
    <w:rsid w:val="006D6CD6"/>
    <w:rsid w:val="006D72D9"/>
    <w:rsid w:val="006E0C33"/>
    <w:rsid w:val="006E1673"/>
    <w:rsid w:val="006E19D6"/>
    <w:rsid w:val="006E2258"/>
    <w:rsid w:val="006E24D2"/>
    <w:rsid w:val="006E2AE9"/>
    <w:rsid w:val="006E371C"/>
    <w:rsid w:val="006E3984"/>
    <w:rsid w:val="006E3E7C"/>
    <w:rsid w:val="006E5377"/>
    <w:rsid w:val="006E6AF6"/>
    <w:rsid w:val="006E728F"/>
    <w:rsid w:val="006F04F2"/>
    <w:rsid w:val="006F0D52"/>
    <w:rsid w:val="006F1A99"/>
    <w:rsid w:val="006F284D"/>
    <w:rsid w:val="006F2BFA"/>
    <w:rsid w:val="006F42EB"/>
    <w:rsid w:val="006F453E"/>
    <w:rsid w:val="006F4E4A"/>
    <w:rsid w:val="006F7F0F"/>
    <w:rsid w:val="007004CA"/>
    <w:rsid w:val="007014FF"/>
    <w:rsid w:val="00702D6A"/>
    <w:rsid w:val="00702EAE"/>
    <w:rsid w:val="00703649"/>
    <w:rsid w:val="00705225"/>
    <w:rsid w:val="007058A2"/>
    <w:rsid w:val="00707437"/>
    <w:rsid w:val="00710700"/>
    <w:rsid w:val="00710937"/>
    <w:rsid w:val="00710FC4"/>
    <w:rsid w:val="00712C5B"/>
    <w:rsid w:val="0071333A"/>
    <w:rsid w:val="00713674"/>
    <w:rsid w:val="007155BB"/>
    <w:rsid w:val="00715714"/>
    <w:rsid w:val="007157AE"/>
    <w:rsid w:val="00715FC8"/>
    <w:rsid w:val="0071615D"/>
    <w:rsid w:val="00716871"/>
    <w:rsid w:val="00720A7F"/>
    <w:rsid w:val="007213C8"/>
    <w:rsid w:val="0072198F"/>
    <w:rsid w:val="00722886"/>
    <w:rsid w:val="00722BCB"/>
    <w:rsid w:val="00723674"/>
    <w:rsid w:val="00723D3B"/>
    <w:rsid w:val="0072401A"/>
    <w:rsid w:val="0072412A"/>
    <w:rsid w:val="0072504E"/>
    <w:rsid w:val="00725CCB"/>
    <w:rsid w:val="00725DDE"/>
    <w:rsid w:val="007261C7"/>
    <w:rsid w:val="00726B98"/>
    <w:rsid w:val="00727317"/>
    <w:rsid w:val="007302D9"/>
    <w:rsid w:val="00730A75"/>
    <w:rsid w:val="007313FA"/>
    <w:rsid w:val="00731D59"/>
    <w:rsid w:val="00732517"/>
    <w:rsid w:val="00732E2D"/>
    <w:rsid w:val="00733BC2"/>
    <w:rsid w:val="00735004"/>
    <w:rsid w:val="007357F9"/>
    <w:rsid w:val="00735820"/>
    <w:rsid w:val="00736C78"/>
    <w:rsid w:val="007374D1"/>
    <w:rsid w:val="00737BA0"/>
    <w:rsid w:val="00737E72"/>
    <w:rsid w:val="0074355D"/>
    <w:rsid w:val="007448E0"/>
    <w:rsid w:val="007449B9"/>
    <w:rsid w:val="007449EA"/>
    <w:rsid w:val="00744BE1"/>
    <w:rsid w:val="00746C2D"/>
    <w:rsid w:val="00747366"/>
    <w:rsid w:val="00750C81"/>
    <w:rsid w:val="00750CAC"/>
    <w:rsid w:val="0075110F"/>
    <w:rsid w:val="0075182D"/>
    <w:rsid w:val="00752A40"/>
    <w:rsid w:val="007531FD"/>
    <w:rsid w:val="00753C48"/>
    <w:rsid w:val="00754C6D"/>
    <w:rsid w:val="00755247"/>
    <w:rsid w:val="0075683F"/>
    <w:rsid w:val="00756D67"/>
    <w:rsid w:val="00757A7E"/>
    <w:rsid w:val="00757BCF"/>
    <w:rsid w:val="00760432"/>
    <w:rsid w:val="0076101B"/>
    <w:rsid w:val="00761902"/>
    <w:rsid w:val="0076195F"/>
    <w:rsid w:val="00761D83"/>
    <w:rsid w:val="007638FF"/>
    <w:rsid w:val="00763DFE"/>
    <w:rsid w:val="0076482C"/>
    <w:rsid w:val="007662FD"/>
    <w:rsid w:val="00766AA9"/>
    <w:rsid w:val="00766F42"/>
    <w:rsid w:val="00767A2C"/>
    <w:rsid w:val="007714D2"/>
    <w:rsid w:val="0077286B"/>
    <w:rsid w:val="00773627"/>
    <w:rsid w:val="00773648"/>
    <w:rsid w:val="00773ED7"/>
    <w:rsid w:val="00774826"/>
    <w:rsid w:val="00776C8A"/>
    <w:rsid w:val="007771FB"/>
    <w:rsid w:val="00777DCE"/>
    <w:rsid w:val="00781DBE"/>
    <w:rsid w:val="00782E60"/>
    <w:rsid w:val="0078617A"/>
    <w:rsid w:val="00790EDB"/>
    <w:rsid w:val="00790F4B"/>
    <w:rsid w:val="007913EC"/>
    <w:rsid w:val="00792712"/>
    <w:rsid w:val="00792816"/>
    <w:rsid w:val="007930AA"/>
    <w:rsid w:val="00796AF9"/>
    <w:rsid w:val="007A029B"/>
    <w:rsid w:val="007A0F5B"/>
    <w:rsid w:val="007A0FE4"/>
    <w:rsid w:val="007A21C4"/>
    <w:rsid w:val="007A2716"/>
    <w:rsid w:val="007A3C7F"/>
    <w:rsid w:val="007A3F68"/>
    <w:rsid w:val="007A3FD1"/>
    <w:rsid w:val="007A437D"/>
    <w:rsid w:val="007A4B8B"/>
    <w:rsid w:val="007A4C91"/>
    <w:rsid w:val="007A525E"/>
    <w:rsid w:val="007A53A1"/>
    <w:rsid w:val="007A5E72"/>
    <w:rsid w:val="007A64DD"/>
    <w:rsid w:val="007A6CD3"/>
    <w:rsid w:val="007A775B"/>
    <w:rsid w:val="007A7832"/>
    <w:rsid w:val="007A79E3"/>
    <w:rsid w:val="007B0253"/>
    <w:rsid w:val="007B369B"/>
    <w:rsid w:val="007B51D7"/>
    <w:rsid w:val="007B560E"/>
    <w:rsid w:val="007B67EE"/>
    <w:rsid w:val="007B72F4"/>
    <w:rsid w:val="007B78E6"/>
    <w:rsid w:val="007B7A95"/>
    <w:rsid w:val="007B7B3A"/>
    <w:rsid w:val="007B7E16"/>
    <w:rsid w:val="007C1AA4"/>
    <w:rsid w:val="007C3258"/>
    <w:rsid w:val="007C5AA9"/>
    <w:rsid w:val="007C7A3E"/>
    <w:rsid w:val="007C7E12"/>
    <w:rsid w:val="007D01FA"/>
    <w:rsid w:val="007D09DE"/>
    <w:rsid w:val="007D0E98"/>
    <w:rsid w:val="007D10CB"/>
    <w:rsid w:val="007D1213"/>
    <w:rsid w:val="007D127A"/>
    <w:rsid w:val="007D1FF8"/>
    <w:rsid w:val="007D21AE"/>
    <w:rsid w:val="007D2431"/>
    <w:rsid w:val="007D3CA3"/>
    <w:rsid w:val="007D562A"/>
    <w:rsid w:val="007D7C9B"/>
    <w:rsid w:val="007E0019"/>
    <w:rsid w:val="007E08DA"/>
    <w:rsid w:val="007E2E37"/>
    <w:rsid w:val="007E3176"/>
    <w:rsid w:val="007E3580"/>
    <w:rsid w:val="007E35CA"/>
    <w:rsid w:val="007E3657"/>
    <w:rsid w:val="007E40FC"/>
    <w:rsid w:val="007E41B1"/>
    <w:rsid w:val="007E4C98"/>
    <w:rsid w:val="007E4F78"/>
    <w:rsid w:val="007E56A8"/>
    <w:rsid w:val="007F0825"/>
    <w:rsid w:val="007F09F7"/>
    <w:rsid w:val="007F1435"/>
    <w:rsid w:val="007F1898"/>
    <w:rsid w:val="007F1CB0"/>
    <w:rsid w:val="007F1F3C"/>
    <w:rsid w:val="007F2FCA"/>
    <w:rsid w:val="007F40F0"/>
    <w:rsid w:val="007F463E"/>
    <w:rsid w:val="007F4806"/>
    <w:rsid w:val="007F5059"/>
    <w:rsid w:val="007F520F"/>
    <w:rsid w:val="007F53E7"/>
    <w:rsid w:val="007F6339"/>
    <w:rsid w:val="007F67E3"/>
    <w:rsid w:val="007F754B"/>
    <w:rsid w:val="00800BA9"/>
    <w:rsid w:val="00800D17"/>
    <w:rsid w:val="00800E4D"/>
    <w:rsid w:val="008018AD"/>
    <w:rsid w:val="00802246"/>
    <w:rsid w:val="00802C03"/>
    <w:rsid w:val="00803EF9"/>
    <w:rsid w:val="008049B0"/>
    <w:rsid w:val="00805C72"/>
    <w:rsid w:val="00806AF4"/>
    <w:rsid w:val="00806FBB"/>
    <w:rsid w:val="00807DDD"/>
    <w:rsid w:val="0081060E"/>
    <w:rsid w:val="008109A1"/>
    <w:rsid w:val="00811EF7"/>
    <w:rsid w:val="00813873"/>
    <w:rsid w:val="00814525"/>
    <w:rsid w:val="00814DBE"/>
    <w:rsid w:val="0081608F"/>
    <w:rsid w:val="00816508"/>
    <w:rsid w:val="00821023"/>
    <w:rsid w:val="008213F5"/>
    <w:rsid w:val="0082197D"/>
    <w:rsid w:val="00822F68"/>
    <w:rsid w:val="00823644"/>
    <w:rsid w:val="008238A0"/>
    <w:rsid w:val="008278AD"/>
    <w:rsid w:val="00830008"/>
    <w:rsid w:val="00831FEA"/>
    <w:rsid w:val="0083214D"/>
    <w:rsid w:val="00832CD7"/>
    <w:rsid w:val="00833267"/>
    <w:rsid w:val="00833642"/>
    <w:rsid w:val="008353DF"/>
    <w:rsid w:val="00837A6D"/>
    <w:rsid w:val="008421F0"/>
    <w:rsid w:val="00843937"/>
    <w:rsid w:val="008440A1"/>
    <w:rsid w:val="0084437F"/>
    <w:rsid w:val="00844AA3"/>
    <w:rsid w:val="00844D56"/>
    <w:rsid w:val="00844F39"/>
    <w:rsid w:val="0084540A"/>
    <w:rsid w:val="008456E1"/>
    <w:rsid w:val="00850FF5"/>
    <w:rsid w:val="008517C8"/>
    <w:rsid w:val="00852594"/>
    <w:rsid w:val="0085322D"/>
    <w:rsid w:val="00854C77"/>
    <w:rsid w:val="00856893"/>
    <w:rsid w:val="00856BA7"/>
    <w:rsid w:val="00857277"/>
    <w:rsid w:val="008574DA"/>
    <w:rsid w:val="00857BEE"/>
    <w:rsid w:val="00860F28"/>
    <w:rsid w:val="0086158E"/>
    <w:rsid w:val="00861797"/>
    <w:rsid w:val="008619B8"/>
    <w:rsid w:val="00862025"/>
    <w:rsid w:val="008621F4"/>
    <w:rsid w:val="00862ACB"/>
    <w:rsid w:val="00862CB8"/>
    <w:rsid w:val="00862D7A"/>
    <w:rsid w:val="00863774"/>
    <w:rsid w:val="00863B70"/>
    <w:rsid w:val="008641EC"/>
    <w:rsid w:val="0086420E"/>
    <w:rsid w:val="00864BDF"/>
    <w:rsid w:val="00864FBE"/>
    <w:rsid w:val="00865039"/>
    <w:rsid w:val="008652E2"/>
    <w:rsid w:val="0087004A"/>
    <w:rsid w:val="008724CF"/>
    <w:rsid w:val="00872777"/>
    <w:rsid w:val="008739F1"/>
    <w:rsid w:val="00875BF8"/>
    <w:rsid w:val="00876BF9"/>
    <w:rsid w:val="00877CE4"/>
    <w:rsid w:val="0088142F"/>
    <w:rsid w:val="008823F8"/>
    <w:rsid w:val="00883072"/>
    <w:rsid w:val="00883598"/>
    <w:rsid w:val="008838D2"/>
    <w:rsid w:val="00883901"/>
    <w:rsid w:val="008850C5"/>
    <w:rsid w:val="00887AFD"/>
    <w:rsid w:val="008916A3"/>
    <w:rsid w:val="00891A4A"/>
    <w:rsid w:val="008934BD"/>
    <w:rsid w:val="00893B11"/>
    <w:rsid w:val="00893CB5"/>
    <w:rsid w:val="008952F1"/>
    <w:rsid w:val="00896575"/>
    <w:rsid w:val="00896A34"/>
    <w:rsid w:val="00896B1D"/>
    <w:rsid w:val="00897E26"/>
    <w:rsid w:val="008A0460"/>
    <w:rsid w:val="008A07BC"/>
    <w:rsid w:val="008A151A"/>
    <w:rsid w:val="008A152E"/>
    <w:rsid w:val="008A1774"/>
    <w:rsid w:val="008A185E"/>
    <w:rsid w:val="008A2CA8"/>
    <w:rsid w:val="008A30F3"/>
    <w:rsid w:val="008A43C3"/>
    <w:rsid w:val="008A4F4B"/>
    <w:rsid w:val="008A6224"/>
    <w:rsid w:val="008A6CE0"/>
    <w:rsid w:val="008A79AE"/>
    <w:rsid w:val="008B235E"/>
    <w:rsid w:val="008B2E64"/>
    <w:rsid w:val="008B3462"/>
    <w:rsid w:val="008B3B98"/>
    <w:rsid w:val="008B49BF"/>
    <w:rsid w:val="008B4E45"/>
    <w:rsid w:val="008B5816"/>
    <w:rsid w:val="008B6817"/>
    <w:rsid w:val="008B6BE6"/>
    <w:rsid w:val="008B6EC6"/>
    <w:rsid w:val="008B7B62"/>
    <w:rsid w:val="008C3B64"/>
    <w:rsid w:val="008C4842"/>
    <w:rsid w:val="008C4AE1"/>
    <w:rsid w:val="008C4E53"/>
    <w:rsid w:val="008C5182"/>
    <w:rsid w:val="008C559A"/>
    <w:rsid w:val="008D07F5"/>
    <w:rsid w:val="008D1EC5"/>
    <w:rsid w:val="008D2F44"/>
    <w:rsid w:val="008D3437"/>
    <w:rsid w:val="008D3EC2"/>
    <w:rsid w:val="008D4733"/>
    <w:rsid w:val="008D564F"/>
    <w:rsid w:val="008D5DF6"/>
    <w:rsid w:val="008D6038"/>
    <w:rsid w:val="008D7979"/>
    <w:rsid w:val="008E0E0A"/>
    <w:rsid w:val="008E1F57"/>
    <w:rsid w:val="008E239A"/>
    <w:rsid w:val="008E294A"/>
    <w:rsid w:val="008E29C4"/>
    <w:rsid w:val="008E34D6"/>
    <w:rsid w:val="008E4F88"/>
    <w:rsid w:val="008E74A5"/>
    <w:rsid w:val="008E766D"/>
    <w:rsid w:val="008E7FB5"/>
    <w:rsid w:val="008F007D"/>
    <w:rsid w:val="008F1B08"/>
    <w:rsid w:val="008F4D0E"/>
    <w:rsid w:val="008F4F82"/>
    <w:rsid w:val="008F5CCC"/>
    <w:rsid w:val="008F6897"/>
    <w:rsid w:val="008F6FE7"/>
    <w:rsid w:val="00900946"/>
    <w:rsid w:val="00901917"/>
    <w:rsid w:val="00902BDF"/>
    <w:rsid w:val="0090337E"/>
    <w:rsid w:val="00903514"/>
    <w:rsid w:val="009039A8"/>
    <w:rsid w:val="00903E8D"/>
    <w:rsid w:val="00904020"/>
    <w:rsid w:val="00904A96"/>
    <w:rsid w:val="00907A28"/>
    <w:rsid w:val="00910542"/>
    <w:rsid w:val="009110EB"/>
    <w:rsid w:val="00911373"/>
    <w:rsid w:val="00913B14"/>
    <w:rsid w:val="00913EA9"/>
    <w:rsid w:val="00915FD1"/>
    <w:rsid w:val="00917DA6"/>
    <w:rsid w:val="00920CE3"/>
    <w:rsid w:val="00921DE3"/>
    <w:rsid w:val="0092243D"/>
    <w:rsid w:val="0092378F"/>
    <w:rsid w:val="00924FD5"/>
    <w:rsid w:val="009255D5"/>
    <w:rsid w:val="009255F5"/>
    <w:rsid w:val="00925DC7"/>
    <w:rsid w:val="009265EC"/>
    <w:rsid w:val="00930C7C"/>
    <w:rsid w:val="00930CEE"/>
    <w:rsid w:val="00933353"/>
    <w:rsid w:val="00933C6B"/>
    <w:rsid w:val="00934054"/>
    <w:rsid w:val="00934506"/>
    <w:rsid w:val="00934F8F"/>
    <w:rsid w:val="00935049"/>
    <w:rsid w:val="0093573B"/>
    <w:rsid w:val="0093737C"/>
    <w:rsid w:val="009400A8"/>
    <w:rsid w:val="009402E9"/>
    <w:rsid w:val="00941232"/>
    <w:rsid w:val="0094262C"/>
    <w:rsid w:val="009428BF"/>
    <w:rsid w:val="009432A7"/>
    <w:rsid w:val="0094349F"/>
    <w:rsid w:val="00943505"/>
    <w:rsid w:val="00943DC1"/>
    <w:rsid w:val="00944123"/>
    <w:rsid w:val="009455A8"/>
    <w:rsid w:val="00945E04"/>
    <w:rsid w:val="00945EC4"/>
    <w:rsid w:val="00946C0B"/>
    <w:rsid w:val="00947C10"/>
    <w:rsid w:val="00947C8F"/>
    <w:rsid w:val="00947DBD"/>
    <w:rsid w:val="00947F06"/>
    <w:rsid w:val="00950BA4"/>
    <w:rsid w:val="00952ADB"/>
    <w:rsid w:val="00953D04"/>
    <w:rsid w:val="00954ACB"/>
    <w:rsid w:val="0095504C"/>
    <w:rsid w:val="00955F1C"/>
    <w:rsid w:val="009562AA"/>
    <w:rsid w:val="00956381"/>
    <w:rsid w:val="0095775B"/>
    <w:rsid w:val="00957F13"/>
    <w:rsid w:val="00961173"/>
    <w:rsid w:val="00961536"/>
    <w:rsid w:val="00961577"/>
    <w:rsid w:val="009626E2"/>
    <w:rsid w:val="009626FF"/>
    <w:rsid w:val="00962727"/>
    <w:rsid w:val="00963B5A"/>
    <w:rsid w:val="00964363"/>
    <w:rsid w:val="00966419"/>
    <w:rsid w:val="0096678B"/>
    <w:rsid w:val="0096701A"/>
    <w:rsid w:val="00967420"/>
    <w:rsid w:val="00967C57"/>
    <w:rsid w:val="00967F30"/>
    <w:rsid w:val="009700E7"/>
    <w:rsid w:val="00970B02"/>
    <w:rsid w:val="009719D0"/>
    <w:rsid w:val="009729D6"/>
    <w:rsid w:val="00972FD0"/>
    <w:rsid w:val="009736C1"/>
    <w:rsid w:val="00974A91"/>
    <w:rsid w:val="00975AC0"/>
    <w:rsid w:val="009778A2"/>
    <w:rsid w:val="00977C39"/>
    <w:rsid w:val="009801C0"/>
    <w:rsid w:val="009802F8"/>
    <w:rsid w:val="00980A93"/>
    <w:rsid w:val="00981973"/>
    <w:rsid w:val="00981AC1"/>
    <w:rsid w:val="0098240D"/>
    <w:rsid w:val="009847C0"/>
    <w:rsid w:val="009869B6"/>
    <w:rsid w:val="009875F1"/>
    <w:rsid w:val="00987AC5"/>
    <w:rsid w:val="009903F8"/>
    <w:rsid w:val="0099191D"/>
    <w:rsid w:val="0099369E"/>
    <w:rsid w:val="00994852"/>
    <w:rsid w:val="00994D28"/>
    <w:rsid w:val="00995455"/>
    <w:rsid w:val="0099657A"/>
    <w:rsid w:val="009A0382"/>
    <w:rsid w:val="009A087E"/>
    <w:rsid w:val="009A0D36"/>
    <w:rsid w:val="009A200B"/>
    <w:rsid w:val="009A310F"/>
    <w:rsid w:val="009A60E9"/>
    <w:rsid w:val="009A6514"/>
    <w:rsid w:val="009A76AC"/>
    <w:rsid w:val="009A7F4D"/>
    <w:rsid w:val="009B02E0"/>
    <w:rsid w:val="009B05D1"/>
    <w:rsid w:val="009B0BDE"/>
    <w:rsid w:val="009B12F6"/>
    <w:rsid w:val="009B1421"/>
    <w:rsid w:val="009B2E88"/>
    <w:rsid w:val="009B37A9"/>
    <w:rsid w:val="009B52D1"/>
    <w:rsid w:val="009B7D71"/>
    <w:rsid w:val="009B7E6E"/>
    <w:rsid w:val="009B7F37"/>
    <w:rsid w:val="009C0005"/>
    <w:rsid w:val="009C0471"/>
    <w:rsid w:val="009C074E"/>
    <w:rsid w:val="009C0AC5"/>
    <w:rsid w:val="009C1309"/>
    <w:rsid w:val="009C187D"/>
    <w:rsid w:val="009C19DA"/>
    <w:rsid w:val="009C1BF4"/>
    <w:rsid w:val="009C2865"/>
    <w:rsid w:val="009C399A"/>
    <w:rsid w:val="009C3CEB"/>
    <w:rsid w:val="009C47C9"/>
    <w:rsid w:val="009C4B94"/>
    <w:rsid w:val="009C5CE8"/>
    <w:rsid w:val="009C687E"/>
    <w:rsid w:val="009C7587"/>
    <w:rsid w:val="009C7CC4"/>
    <w:rsid w:val="009D038E"/>
    <w:rsid w:val="009D07C3"/>
    <w:rsid w:val="009D096F"/>
    <w:rsid w:val="009D1D19"/>
    <w:rsid w:val="009D1D2A"/>
    <w:rsid w:val="009D1F48"/>
    <w:rsid w:val="009D239C"/>
    <w:rsid w:val="009D254B"/>
    <w:rsid w:val="009D2EE6"/>
    <w:rsid w:val="009D31AC"/>
    <w:rsid w:val="009D3228"/>
    <w:rsid w:val="009D33F4"/>
    <w:rsid w:val="009D3FF4"/>
    <w:rsid w:val="009D4182"/>
    <w:rsid w:val="009D5797"/>
    <w:rsid w:val="009E36F9"/>
    <w:rsid w:val="009E3951"/>
    <w:rsid w:val="009E4A83"/>
    <w:rsid w:val="009E5549"/>
    <w:rsid w:val="009E6550"/>
    <w:rsid w:val="009E6FE2"/>
    <w:rsid w:val="009E7561"/>
    <w:rsid w:val="009E7E94"/>
    <w:rsid w:val="009F09E0"/>
    <w:rsid w:val="009F0AEB"/>
    <w:rsid w:val="009F0D44"/>
    <w:rsid w:val="009F0E67"/>
    <w:rsid w:val="009F2156"/>
    <w:rsid w:val="009F2327"/>
    <w:rsid w:val="009F3011"/>
    <w:rsid w:val="009F548C"/>
    <w:rsid w:val="009F58FF"/>
    <w:rsid w:val="009F6C2A"/>
    <w:rsid w:val="00A0039B"/>
    <w:rsid w:val="00A00837"/>
    <w:rsid w:val="00A009CA"/>
    <w:rsid w:val="00A02D23"/>
    <w:rsid w:val="00A02EEC"/>
    <w:rsid w:val="00A0342D"/>
    <w:rsid w:val="00A03CDA"/>
    <w:rsid w:val="00A040A0"/>
    <w:rsid w:val="00A04DCF"/>
    <w:rsid w:val="00A05DB3"/>
    <w:rsid w:val="00A06F2E"/>
    <w:rsid w:val="00A07006"/>
    <w:rsid w:val="00A11C86"/>
    <w:rsid w:val="00A12141"/>
    <w:rsid w:val="00A12965"/>
    <w:rsid w:val="00A12D3F"/>
    <w:rsid w:val="00A13A29"/>
    <w:rsid w:val="00A13A4E"/>
    <w:rsid w:val="00A143AE"/>
    <w:rsid w:val="00A148AF"/>
    <w:rsid w:val="00A14C9A"/>
    <w:rsid w:val="00A1563C"/>
    <w:rsid w:val="00A178EE"/>
    <w:rsid w:val="00A2126E"/>
    <w:rsid w:val="00A21358"/>
    <w:rsid w:val="00A22FC8"/>
    <w:rsid w:val="00A23370"/>
    <w:rsid w:val="00A258FD"/>
    <w:rsid w:val="00A26B20"/>
    <w:rsid w:val="00A2724C"/>
    <w:rsid w:val="00A27E91"/>
    <w:rsid w:val="00A30B8C"/>
    <w:rsid w:val="00A31262"/>
    <w:rsid w:val="00A32219"/>
    <w:rsid w:val="00A336AB"/>
    <w:rsid w:val="00A33A40"/>
    <w:rsid w:val="00A3466C"/>
    <w:rsid w:val="00A35210"/>
    <w:rsid w:val="00A36636"/>
    <w:rsid w:val="00A41098"/>
    <w:rsid w:val="00A41F6E"/>
    <w:rsid w:val="00A421BA"/>
    <w:rsid w:val="00A430C7"/>
    <w:rsid w:val="00A4368D"/>
    <w:rsid w:val="00A43A8F"/>
    <w:rsid w:val="00A43E5E"/>
    <w:rsid w:val="00A4528A"/>
    <w:rsid w:val="00A457B4"/>
    <w:rsid w:val="00A458A0"/>
    <w:rsid w:val="00A46253"/>
    <w:rsid w:val="00A477AA"/>
    <w:rsid w:val="00A504E2"/>
    <w:rsid w:val="00A53B8C"/>
    <w:rsid w:val="00A54121"/>
    <w:rsid w:val="00A548EE"/>
    <w:rsid w:val="00A55C77"/>
    <w:rsid w:val="00A57F7D"/>
    <w:rsid w:val="00A61E95"/>
    <w:rsid w:val="00A62A0F"/>
    <w:rsid w:val="00A62D82"/>
    <w:rsid w:val="00A63229"/>
    <w:rsid w:val="00A64089"/>
    <w:rsid w:val="00A65B29"/>
    <w:rsid w:val="00A65CE2"/>
    <w:rsid w:val="00A66463"/>
    <w:rsid w:val="00A664FA"/>
    <w:rsid w:val="00A66D8B"/>
    <w:rsid w:val="00A677D7"/>
    <w:rsid w:val="00A704D2"/>
    <w:rsid w:val="00A7106A"/>
    <w:rsid w:val="00A7119D"/>
    <w:rsid w:val="00A71E42"/>
    <w:rsid w:val="00A7285B"/>
    <w:rsid w:val="00A74FEF"/>
    <w:rsid w:val="00A76D6D"/>
    <w:rsid w:val="00A773FD"/>
    <w:rsid w:val="00A7790C"/>
    <w:rsid w:val="00A77AE6"/>
    <w:rsid w:val="00A77F81"/>
    <w:rsid w:val="00A80A3F"/>
    <w:rsid w:val="00A8140B"/>
    <w:rsid w:val="00A82B54"/>
    <w:rsid w:val="00A836EE"/>
    <w:rsid w:val="00A84190"/>
    <w:rsid w:val="00A84278"/>
    <w:rsid w:val="00A85D35"/>
    <w:rsid w:val="00A86348"/>
    <w:rsid w:val="00A86DCF"/>
    <w:rsid w:val="00A86F7F"/>
    <w:rsid w:val="00A90607"/>
    <w:rsid w:val="00A91B19"/>
    <w:rsid w:val="00A928D3"/>
    <w:rsid w:val="00A934AE"/>
    <w:rsid w:val="00A9373D"/>
    <w:rsid w:val="00A9380F"/>
    <w:rsid w:val="00A95792"/>
    <w:rsid w:val="00A96C65"/>
    <w:rsid w:val="00A977C9"/>
    <w:rsid w:val="00A97B75"/>
    <w:rsid w:val="00A97C13"/>
    <w:rsid w:val="00AA02F5"/>
    <w:rsid w:val="00AA0548"/>
    <w:rsid w:val="00AA1D07"/>
    <w:rsid w:val="00AA5214"/>
    <w:rsid w:val="00AA62CF"/>
    <w:rsid w:val="00AA7E6B"/>
    <w:rsid w:val="00AB15CD"/>
    <w:rsid w:val="00AB270A"/>
    <w:rsid w:val="00AB2F3A"/>
    <w:rsid w:val="00AB334F"/>
    <w:rsid w:val="00AB478C"/>
    <w:rsid w:val="00AB520D"/>
    <w:rsid w:val="00AB5513"/>
    <w:rsid w:val="00AB557B"/>
    <w:rsid w:val="00AB6048"/>
    <w:rsid w:val="00AC131C"/>
    <w:rsid w:val="00AC1CA3"/>
    <w:rsid w:val="00AC4790"/>
    <w:rsid w:val="00AC5FC1"/>
    <w:rsid w:val="00AC64A4"/>
    <w:rsid w:val="00AC67A6"/>
    <w:rsid w:val="00AC6DA1"/>
    <w:rsid w:val="00AC6F11"/>
    <w:rsid w:val="00AD0193"/>
    <w:rsid w:val="00AD1EA5"/>
    <w:rsid w:val="00AD218D"/>
    <w:rsid w:val="00AD500E"/>
    <w:rsid w:val="00AD5165"/>
    <w:rsid w:val="00AD6758"/>
    <w:rsid w:val="00AD6E03"/>
    <w:rsid w:val="00AD7E95"/>
    <w:rsid w:val="00AE0DD6"/>
    <w:rsid w:val="00AE2A6A"/>
    <w:rsid w:val="00AE448B"/>
    <w:rsid w:val="00AE4F6D"/>
    <w:rsid w:val="00AE5C19"/>
    <w:rsid w:val="00AE67A6"/>
    <w:rsid w:val="00AF0916"/>
    <w:rsid w:val="00AF1A66"/>
    <w:rsid w:val="00AF2B6D"/>
    <w:rsid w:val="00AF2F4F"/>
    <w:rsid w:val="00AF31DB"/>
    <w:rsid w:val="00AF35D7"/>
    <w:rsid w:val="00AF4A3A"/>
    <w:rsid w:val="00AF4A9D"/>
    <w:rsid w:val="00AF4C34"/>
    <w:rsid w:val="00AF691B"/>
    <w:rsid w:val="00AF71BD"/>
    <w:rsid w:val="00B004C3"/>
    <w:rsid w:val="00B01519"/>
    <w:rsid w:val="00B01E34"/>
    <w:rsid w:val="00B026CC"/>
    <w:rsid w:val="00B04A43"/>
    <w:rsid w:val="00B04B4F"/>
    <w:rsid w:val="00B059FD"/>
    <w:rsid w:val="00B0650F"/>
    <w:rsid w:val="00B06578"/>
    <w:rsid w:val="00B07653"/>
    <w:rsid w:val="00B07BB5"/>
    <w:rsid w:val="00B10731"/>
    <w:rsid w:val="00B10D49"/>
    <w:rsid w:val="00B120F8"/>
    <w:rsid w:val="00B12F55"/>
    <w:rsid w:val="00B14024"/>
    <w:rsid w:val="00B14065"/>
    <w:rsid w:val="00B14276"/>
    <w:rsid w:val="00B14DD1"/>
    <w:rsid w:val="00B159D4"/>
    <w:rsid w:val="00B1676E"/>
    <w:rsid w:val="00B2186D"/>
    <w:rsid w:val="00B21A96"/>
    <w:rsid w:val="00B21C58"/>
    <w:rsid w:val="00B21E34"/>
    <w:rsid w:val="00B25366"/>
    <w:rsid w:val="00B254CB"/>
    <w:rsid w:val="00B25AB3"/>
    <w:rsid w:val="00B2600E"/>
    <w:rsid w:val="00B2626C"/>
    <w:rsid w:val="00B27856"/>
    <w:rsid w:val="00B27D77"/>
    <w:rsid w:val="00B31203"/>
    <w:rsid w:val="00B31879"/>
    <w:rsid w:val="00B32550"/>
    <w:rsid w:val="00B35184"/>
    <w:rsid w:val="00B35B4B"/>
    <w:rsid w:val="00B36E5A"/>
    <w:rsid w:val="00B37306"/>
    <w:rsid w:val="00B377CE"/>
    <w:rsid w:val="00B37C49"/>
    <w:rsid w:val="00B416E2"/>
    <w:rsid w:val="00B44BFB"/>
    <w:rsid w:val="00B45F50"/>
    <w:rsid w:val="00B461C0"/>
    <w:rsid w:val="00B4653A"/>
    <w:rsid w:val="00B47357"/>
    <w:rsid w:val="00B5027F"/>
    <w:rsid w:val="00B5059E"/>
    <w:rsid w:val="00B50DB7"/>
    <w:rsid w:val="00B51102"/>
    <w:rsid w:val="00B513B2"/>
    <w:rsid w:val="00B51C26"/>
    <w:rsid w:val="00B52722"/>
    <w:rsid w:val="00B52937"/>
    <w:rsid w:val="00B52BA8"/>
    <w:rsid w:val="00B55E44"/>
    <w:rsid w:val="00B56731"/>
    <w:rsid w:val="00B60D47"/>
    <w:rsid w:val="00B610D2"/>
    <w:rsid w:val="00B612A1"/>
    <w:rsid w:val="00B63C23"/>
    <w:rsid w:val="00B6489C"/>
    <w:rsid w:val="00B66821"/>
    <w:rsid w:val="00B70B58"/>
    <w:rsid w:val="00B712D6"/>
    <w:rsid w:val="00B71CF8"/>
    <w:rsid w:val="00B72093"/>
    <w:rsid w:val="00B72201"/>
    <w:rsid w:val="00B73FCC"/>
    <w:rsid w:val="00B7444F"/>
    <w:rsid w:val="00B748FF"/>
    <w:rsid w:val="00B75C41"/>
    <w:rsid w:val="00B76B7A"/>
    <w:rsid w:val="00B76E72"/>
    <w:rsid w:val="00B77571"/>
    <w:rsid w:val="00B77E1B"/>
    <w:rsid w:val="00B8230A"/>
    <w:rsid w:val="00B8340B"/>
    <w:rsid w:val="00B84F95"/>
    <w:rsid w:val="00B85472"/>
    <w:rsid w:val="00B854FF"/>
    <w:rsid w:val="00B8662D"/>
    <w:rsid w:val="00B86DEF"/>
    <w:rsid w:val="00B90492"/>
    <w:rsid w:val="00B90C54"/>
    <w:rsid w:val="00B916AC"/>
    <w:rsid w:val="00B91875"/>
    <w:rsid w:val="00B91921"/>
    <w:rsid w:val="00B92665"/>
    <w:rsid w:val="00B92AB6"/>
    <w:rsid w:val="00B9332C"/>
    <w:rsid w:val="00B937EA"/>
    <w:rsid w:val="00B93EDF"/>
    <w:rsid w:val="00B95CE6"/>
    <w:rsid w:val="00B97789"/>
    <w:rsid w:val="00B97884"/>
    <w:rsid w:val="00B979DF"/>
    <w:rsid w:val="00BA0802"/>
    <w:rsid w:val="00BA16D0"/>
    <w:rsid w:val="00BA1913"/>
    <w:rsid w:val="00BA2499"/>
    <w:rsid w:val="00BA3851"/>
    <w:rsid w:val="00BA3C24"/>
    <w:rsid w:val="00BA4E06"/>
    <w:rsid w:val="00BA548A"/>
    <w:rsid w:val="00BB2709"/>
    <w:rsid w:val="00BB44BB"/>
    <w:rsid w:val="00BB60C0"/>
    <w:rsid w:val="00BB69F1"/>
    <w:rsid w:val="00BB6ED7"/>
    <w:rsid w:val="00BB7062"/>
    <w:rsid w:val="00BB7A84"/>
    <w:rsid w:val="00BC1199"/>
    <w:rsid w:val="00BC1407"/>
    <w:rsid w:val="00BC2038"/>
    <w:rsid w:val="00BC2BB6"/>
    <w:rsid w:val="00BC2E12"/>
    <w:rsid w:val="00BC2F9B"/>
    <w:rsid w:val="00BC2FB6"/>
    <w:rsid w:val="00BC328C"/>
    <w:rsid w:val="00BC33BD"/>
    <w:rsid w:val="00BC3C7F"/>
    <w:rsid w:val="00BC4CDD"/>
    <w:rsid w:val="00BC4E81"/>
    <w:rsid w:val="00BC648D"/>
    <w:rsid w:val="00BC6546"/>
    <w:rsid w:val="00BC696A"/>
    <w:rsid w:val="00BC7DD0"/>
    <w:rsid w:val="00BD1C84"/>
    <w:rsid w:val="00BD202D"/>
    <w:rsid w:val="00BD2A6A"/>
    <w:rsid w:val="00BD590C"/>
    <w:rsid w:val="00BD5BAC"/>
    <w:rsid w:val="00BD5C97"/>
    <w:rsid w:val="00BD7AE0"/>
    <w:rsid w:val="00BE020C"/>
    <w:rsid w:val="00BE0287"/>
    <w:rsid w:val="00BE11BF"/>
    <w:rsid w:val="00BE1BE2"/>
    <w:rsid w:val="00BE2DCF"/>
    <w:rsid w:val="00BE34D5"/>
    <w:rsid w:val="00BE394F"/>
    <w:rsid w:val="00BE424C"/>
    <w:rsid w:val="00BE5515"/>
    <w:rsid w:val="00BE5E90"/>
    <w:rsid w:val="00BE6286"/>
    <w:rsid w:val="00BE668E"/>
    <w:rsid w:val="00BE678E"/>
    <w:rsid w:val="00BF0454"/>
    <w:rsid w:val="00BF0872"/>
    <w:rsid w:val="00BF0CBC"/>
    <w:rsid w:val="00BF1295"/>
    <w:rsid w:val="00BF1632"/>
    <w:rsid w:val="00BF1E40"/>
    <w:rsid w:val="00BF1EC5"/>
    <w:rsid w:val="00BF232A"/>
    <w:rsid w:val="00BF2456"/>
    <w:rsid w:val="00BF3162"/>
    <w:rsid w:val="00BF3ACC"/>
    <w:rsid w:val="00BF3F2E"/>
    <w:rsid w:val="00BF54B7"/>
    <w:rsid w:val="00BF7AA4"/>
    <w:rsid w:val="00BF7E67"/>
    <w:rsid w:val="00C00B23"/>
    <w:rsid w:val="00C0140E"/>
    <w:rsid w:val="00C026DF"/>
    <w:rsid w:val="00C03787"/>
    <w:rsid w:val="00C03AA8"/>
    <w:rsid w:val="00C04E48"/>
    <w:rsid w:val="00C062C3"/>
    <w:rsid w:val="00C07D3F"/>
    <w:rsid w:val="00C10D26"/>
    <w:rsid w:val="00C118DD"/>
    <w:rsid w:val="00C12BF4"/>
    <w:rsid w:val="00C146BB"/>
    <w:rsid w:val="00C14C10"/>
    <w:rsid w:val="00C17E09"/>
    <w:rsid w:val="00C21F2E"/>
    <w:rsid w:val="00C22B38"/>
    <w:rsid w:val="00C23CF0"/>
    <w:rsid w:val="00C25D94"/>
    <w:rsid w:val="00C273FA"/>
    <w:rsid w:val="00C275F0"/>
    <w:rsid w:val="00C27D62"/>
    <w:rsid w:val="00C30918"/>
    <w:rsid w:val="00C310CB"/>
    <w:rsid w:val="00C31FC0"/>
    <w:rsid w:val="00C32DC3"/>
    <w:rsid w:val="00C331A3"/>
    <w:rsid w:val="00C3359F"/>
    <w:rsid w:val="00C34F7F"/>
    <w:rsid w:val="00C3721C"/>
    <w:rsid w:val="00C3756D"/>
    <w:rsid w:val="00C37E33"/>
    <w:rsid w:val="00C40D63"/>
    <w:rsid w:val="00C4155A"/>
    <w:rsid w:val="00C41A6F"/>
    <w:rsid w:val="00C433DF"/>
    <w:rsid w:val="00C454A3"/>
    <w:rsid w:val="00C45FAB"/>
    <w:rsid w:val="00C4733C"/>
    <w:rsid w:val="00C47976"/>
    <w:rsid w:val="00C500ED"/>
    <w:rsid w:val="00C50A5C"/>
    <w:rsid w:val="00C50E48"/>
    <w:rsid w:val="00C51742"/>
    <w:rsid w:val="00C51D95"/>
    <w:rsid w:val="00C537FE"/>
    <w:rsid w:val="00C547BB"/>
    <w:rsid w:val="00C558EA"/>
    <w:rsid w:val="00C55C7C"/>
    <w:rsid w:val="00C572DF"/>
    <w:rsid w:val="00C600F2"/>
    <w:rsid w:val="00C60277"/>
    <w:rsid w:val="00C60304"/>
    <w:rsid w:val="00C610F3"/>
    <w:rsid w:val="00C6138A"/>
    <w:rsid w:val="00C6258D"/>
    <w:rsid w:val="00C64B59"/>
    <w:rsid w:val="00C6530B"/>
    <w:rsid w:val="00C658B3"/>
    <w:rsid w:val="00C66A10"/>
    <w:rsid w:val="00C66EB6"/>
    <w:rsid w:val="00C7020B"/>
    <w:rsid w:val="00C715A9"/>
    <w:rsid w:val="00C71CC0"/>
    <w:rsid w:val="00C71E96"/>
    <w:rsid w:val="00C7272D"/>
    <w:rsid w:val="00C730E6"/>
    <w:rsid w:val="00C7516D"/>
    <w:rsid w:val="00C7518D"/>
    <w:rsid w:val="00C75222"/>
    <w:rsid w:val="00C769E0"/>
    <w:rsid w:val="00C76A3B"/>
    <w:rsid w:val="00C76D36"/>
    <w:rsid w:val="00C7716A"/>
    <w:rsid w:val="00C772CA"/>
    <w:rsid w:val="00C82077"/>
    <w:rsid w:val="00C825C6"/>
    <w:rsid w:val="00C83250"/>
    <w:rsid w:val="00C85408"/>
    <w:rsid w:val="00C8724F"/>
    <w:rsid w:val="00C87A00"/>
    <w:rsid w:val="00C90D07"/>
    <w:rsid w:val="00C91376"/>
    <w:rsid w:val="00C9281D"/>
    <w:rsid w:val="00C936F9"/>
    <w:rsid w:val="00C938AB"/>
    <w:rsid w:val="00C93CF0"/>
    <w:rsid w:val="00C93E60"/>
    <w:rsid w:val="00C942D1"/>
    <w:rsid w:val="00C94909"/>
    <w:rsid w:val="00C95010"/>
    <w:rsid w:val="00C950E4"/>
    <w:rsid w:val="00C95A65"/>
    <w:rsid w:val="00C96313"/>
    <w:rsid w:val="00C9643B"/>
    <w:rsid w:val="00C974DB"/>
    <w:rsid w:val="00C977EC"/>
    <w:rsid w:val="00CA00EC"/>
    <w:rsid w:val="00CA5298"/>
    <w:rsid w:val="00CB0B94"/>
    <w:rsid w:val="00CB104E"/>
    <w:rsid w:val="00CB11FD"/>
    <w:rsid w:val="00CB2030"/>
    <w:rsid w:val="00CB2115"/>
    <w:rsid w:val="00CB2DD8"/>
    <w:rsid w:val="00CB3536"/>
    <w:rsid w:val="00CB3622"/>
    <w:rsid w:val="00CB487D"/>
    <w:rsid w:val="00CB63D3"/>
    <w:rsid w:val="00CB79EF"/>
    <w:rsid w:val="00CC053D"/>
    <w:rsid w:val="00CC0889"/>
    <w:rsid w:val="00CC14C5"/>
    <w:rsid w:val="00CC1CC9"/>
    <w:rsid w:val="00CC36F6"/>
    <w:rsid w:val="00CC375E"/>
    <w:rsid w:val="00CC46D2"/>
    <w:rsid w:val="00CC5A3C"/>
    <w:rsid w:val="00CC6D43"/>
    <w:rsid w:val="00CC7761"/>
    <w:rsid w:val="00CD2569"/>
    <w:rsid w:val="00CD379E"/>
    <w:rsid w:val="00CD3B5B"/>
    <w:rsid w:val="00CD61DE"/>
    <w:rsid w:val="00CD7828"/>
    <w:rsid w:val="00CE072C"/>
    <w:rsid w:val="00CE3613"/>
    <w:rsid w:val="00CE374B"/>
    <w:rsid w:val="00CE4186"/>
    <w:rsid w:val="00CE48CC"/>
    <w:rsid w:val="00CE4F32"/>
    <w:rsid w:val="00CE5BD8"/>
    <w:rsid w:val="00CE7B58"/>
    <w:rsid w:val="00CF004C"/>
    <w:rsid w:val="00CF00BC"/>
    <w:rsid w:val="00CF0BFA"/>
    <w:rsid w:val="00CF0C7A"/>
    <w:rsid w:val="00CF2491"/>
    <w:rsid w:val="00CF2CAA"/>
    <w:rsid w:val="00CF2F6E"/>
    <w:rsid w:val="00CF5868"/>
    <w:rsid w:val="00CF6796"/>
    <w:rsid w:val="00CF69E0"/>
    <w:rsid w:val="00CF6F99"/>
    <w:rsid w:val="00D01089"/>
    <w:rsid w:val="00D027DC"/>
    <w:rsid w:val="00D02D34"/>
    <w:rsid w:val="00D03F48"/>
    <w:rsid w:val="00D04A5F"/>
    <w:rsid w:val="00D05830"/>
    <w:rsid w:val="00D05AA5"/>
    <w:rsid w:val="00D05B7B"/>
    <w:rsid w:val="00D05E4C"/>
    <w:rsid w:val="00D13D56"/>
    <w:rsid w:val="00D15E5F"/>
    <w:rsid w:val="00D1717D"/>
    <w:rsid w:val="00D2067B"/>
    <w:rsid w:val="00D20B4A"/>
    <w:rsid w:val="00D20C22"/>
    <w:rsid w:val="00D2108E"/>
    <w:rsid w:val="00D211B8"/>
    <w:rsid w:val="00D234D5"/>
    <w:rsid w:val="00D25138"/>
    <w:rsid w:val="00D26A9D"/>
    <w:rsid w:val="00D26E59"/>
    <w:rsid w:val="00D305EC"/>
    <w:rsid w:val="00D30682"/>
    <w:rsid w:val="00D30F23"/>
    <w:rsid w:val="00D30FA2"/>
    <w:rsid w:val="00D323BC"/>
    <w:rsid w:val="00D33B6F"/>
    <w:rsid w:val="00D341C7"/>
    <w:rsid w:val="00D3494B"/>
    <w:rsid w:val="00D356D8"/>
    <w:rsid w:val="00D36229"/>
    <w:rsid w:val="00D36E7C"/>
    <w:rsid w:val="00D3718A"/>
    <w:rsid w:val="00D37E5E"/>
    <w:rsid w:val="00D409C1"/>
    <w:rsid w:val="00D42FCE"/>
    <w:rsid w:val="00D4350F"/>
    <w:rsid w:val="00D437E1"/>
    <w:rsid w:val="00D443E7"/>
    <w:rsid w:val="00D44EA3"/>
    <w:rsid w:val="00D45535"/>
    <w:rsid w:val="00D45BFD"/>
    <w:rsid w:val="00D4643D"/>
    <w:rsid w:val="00D46B4F"/>
    <w:rsid w:val="00D4772B"/>
    <w:rsid w:val="00D477B7"/>
    <w:rsid w:val="00D47AE3"/>
    <w:rsid w:val="00D50FA2"/>
    <w:rsid w:val="00D529F6"/>
    <w:rsid w:val="00D53DF6"/>
    <w:rsid w:val="00D542B3"/>
    <w:rsid w:val="00D55075"/>
    <w:rsid w:val="00D55FA6"/>
    <w:rsid w:val="00D570C1"/>
    <w:rsid w:val="00D5787E"/>
    <w:rsid w:val="00D5790B"/>
    <w:rsid w:val="00D579E4"/>
    <w:rsid w:val="00D601FA"/>
    <w:rsid w:val="00D615F2"/>
    <w:rsid w:val="00D6199D"/>
    <w:rsid w:val="00D62CDF"/>
    <w:rsid w:val="00D631E6"/>
    <w:rsid w:val="00D63F03"/>
    <w:rsid w:val="00D657D2"/>
    <w:rsid w:val="00D658CA"/>
    <w:rsid w:val="00D65B31"/>
    <w:rsid w:val="00D671ED"/>
    <w:rsid w:val="00D70647"/>
    <w:rsid w:val="00D706E8"/>
    <w:rsid w:val="00D71D76"/>
    <w:rsid w:val="00D724FA"/>
    <w:rsid w:val="00D72885"/>
    <w:rsid w:val="00D734F5"/>
    <w:rsid w:val="00D73AAF"/>
    <w:rsid w:val="00D7496A"/>
    <w:rsid w:val="00D776C0"/>
    <w:rsid w:val="00D80BE5"/>
    <w:rsid w:val="00D81036"/>
    <w:rsid w:val="00D8123F"/>
    <w:rsid w:val="00D8138E"/>
    <w:rsid w:val="00D81492"/>
    <w:rsid w:val="00D81B74"/>
    <w:rsid w:val="00D82CEF"/>
    <w:rsid w:val="00D8421E"/>
    <w:rsid w:val="00D8572E"/>
    <w:rsid w:val="00D85C5A"/>
    <w:rsid w:val="00D85ECD"/>
    <w:rsid w:val="00D86CD7"/>
    <w:rsid w:val="00D87161"/>
    <w:rsid w:val="00D87C3C"/>
    <w:rsid w:val="00D9163B"/>
    <w:rsid w:val="00D91772"/>
    <w:rsid w:val="00D92775"/>
    <w:rsid w:val="00D95FAF"/>
    <w:rsid w:val="00D964A6"/>
    <w:rsid w:val="00DA00E9"/>
    <w:rsid w:val="00DA1FDD"/>
    <w:rsid w:val="00DA275C"/>
    <w:rsid w:val="00DA2780"/>
    <w:rsid w:val="00DA35A9"/>
    <w:rsid w:val="00DA36C4"/>
    <w:rsid w:val="00DA4672"/>
    <w:rsid w:val="00DA5789"/>
    <w:rsid w:val="00DA6443"/>
    <w:rsid w:val="00DA647C"/>
    <w:rsid w:val="00DA78AF"/>
    <w:rsid w:val="00DB0438"/>
    <w:rsid w:val="00DB1B9D"/>
    <w:rsid w:val="00DB40C1"/>
    <w:rsid w:val="00DB651F"/>
    <w:rsid w:val="00DB6B82"/>
    <w:rsid w:val="00DB6D2F"/>
    <w:rsid w:val="00DC021C"/>
    <w:rsid w:val="00DC0ACB"/>
    <w:rsid w:val="00DC0F97"/>
    <w:rsid w:val="00DC15C4"/>
    <w:rsid w:val="00DC1DA7"/>
    <w:rsid w:val="00DC2BB0"/>
    <w:rsid w:val="00DC436A"/>
    <w:rsid w:val="00DC4433"/>
    <w:rsid w:val="00DC7A75"/>
    <w:rsid w:val="00DD07DB"/>
    <w:rsid w:val="00DD0BBE"/>
    <w:rsid w:val="00DD12FD"/>
    <w:rsid w:val="00DD23AC"/>
    <w:rsid w:val="00DD2A55"/>
    <w:rsid w:val="00DD2D6D"/>
    <w:rsid w:val="00DD344C"/>
    <w:rsid w:val="00DD3A82"/>
    <w:rsid w:val="00DD4143"/>
    <w:rsid w:val="00DD46E0"/>
    <w:rsid w:val="00DD4742"/>
    <w:rsid w:val="00DD73A1"/>
    <w:rsid w:val="00DD7DC5"/>
    <w:rsid w:val="00DE068C"/>
    <w:rsid w:val="00DE0BB7"/>
    <w:rsid w:val="00DE210E"/>
    <w:rsid w:val="00DE3311"/>
    <w:rsid w:val="00DE3577"/>
    <w:rsid w:val="00DE4228"/>
    <w:rsid w:val="00DE50A1"/>
    <w:rsid w:val="00DE5D94"/>
    <w:rsid w:val="00DE6D45"/>
    <w:rsid w:val="00DE6F75"/>
    <w:rsid w:val="00DE79DD"/>
    <w:rsid w:val="00DE7BF6"/>
    <w:rsid w:val="00DF01AB"/>
    <w:rsid w:val="00DF18CB"/>
    <w:rsid w:val="00DF2C4D"/>
    <w:rsid w:val="00DF2DA6"/>
    <w:rsid w:val="00DF35CA"/>
    <w:rsid w:val="00DF4BBC"/>
    <w:rsid w:val="00DF5847"/>
    <w:rsid w:val="00DF5B16"/>
    <w:rsid w:val="00DF5E50"/>
    <w:rsid w:val="00DF5F88"/>
    <w:rsid w:val="00DF7D40"/>
    <w:rsid w:val="00E0334E"/>
    <w:rsid w:val="00E0434C"/>
    <w:rsid w:val="00E06013"/>
    <w:rsid w:val="00E0615D"/>
    <w:rsid w:val="00E06C3F"/>
    <w:rsid w:val="00E070A1"/>
    <w:rsid w:val="00E0787E"/>
    <w:rsid w:val="00E123E5"/>
    <w:rsid w:val="00E12AAA"/>
    <w:rsid w:val="00E12F36"/>
    <w:rsid w:val="00E13D5C"/>
    <w:rsid w:val="00E14305"/>
    <w:rsid w:val="00E15F25"/>
    <w:rsid w:val="00E16F9D"/>
    <w:rsid w:val="00E1774F"/>
    <w:rsid w:val="00E20908"/>
    <w:rsid w:val="00E20F92"/>
    <w:rsid w:val="00E2109A"/>
    <w:rsid w:val="00E219B5"/>
    <w:rsid w:val="00E223BF"/>
    <w:rsid w:val="00E22A3A"/>
    <w:rsid w:val="00E22D1D"/>
    <w:rsid w:val="00E24343"/>
    <w:rsid w:val="00E245E1"/>
    <w:rsid w:val="00E25588"/>
    <w:rsid w:val="00E26895"/>
    <w:rsid w:val="00E26BB9"/>
    <w:rsid w:val="00E2767C"/>
    <w:rsid w:val="00E276A9"/>
    <w:rsid w:val="00E32CB0"/>
    <w:rsid w:val="00E336FD"/>
    <w:rsid w:val="00E338BE"/>
    <w:rsid w:val="00E34D23"/>
    <w:rsid w:val="00E35303"/>
    <w:rsid w:val="00E35BA4"/>
    <w:rsid w:val="00E3662B"/>
    <w:rsid w:val="00E41783"/>
    <w:rsid w:val="00E418F1"/>
    <w:rsid w:val="00E41A07"/>
    <w:rsid w:val="00E42AAC"/>
    <w:rsid w:val="00E42CAF"/>
    <w:rsid w:val="00E42FFD"/>
    <w:rsid w:val="00E46C9B"/>
    <w:rsid w:val="00E50368"/>
    <w:rsid w:val="00E55546"/>
    <w:rsid w:val="00E55A85"/>
    <w:rsid w:val="00E55EA2"/>
    <w:rsid w:val="00E5601C"/>
    <w:rsid w:val="00E572DE"/>
    <w:rsid w:val="00E573E1"/>
    <w:rsid w:val="00E6185D"/>
    <w:rsid w:val="00E61B34"/>
    <w:rsid w:val="00E621CB"/>
    <w:rsid w:val="00E622B6"/>
    <w:rsid w:val="00E62436"/>
    <w:rsid w:val="00E62437"/>
    <w:rsid w:val="00E62A76"/>
    <w:rsid w:val="00E632C5"/>
    <w:rsid w:val="00E638F2"/>
    <w:rsid w:val="00E63B02"/>
    <w:rsid w:val="00E64D71"/>
    <w:rsid w:val="00E65DC4"/>
    <w:rsid w:val="00E662C0"/>
    <w:rsid w:val="00E66FA4"/>
    <w:rsid w:val="00E71594"/>
    <w:rsid w:val="00E71C51"/>
    <w:rsid w:val="00E73845"/>
    <w:rsid w:val="00E73EFC"/>
    <w:rsid w:val="00E74CFE"/>
    <w:rsid w:val="00E75774"/>
    <w:rsid w:val="00E7624A"/>
    <w:rsid w:val="00E76ABC"/>
    <w:rsid w:val="00E76B8F"/>
    <w:rsid w:val="00E770A4"/>
    <w:rsid w:val="00E77336"/>
    <w:rsid w:val="00E77962"/>
    <w:rsid w:val="00E77D82"/>
    <w:rsid w:val="00E80902"/>
    <w:rsid w:val="00E80B59"/>
    <w:rsid w:val="00E81CFF"/>
    <w:rsid w:val="00E82FE0"/>
    <w:rsid w:val="00E84254"/>
    <w:rsid w:val="00E845E5"/>
    <w:rsid w:val="00E85EE9"/>
    <w:rsid w:val="00E87CC9"/>
    <w:rsid w:val="00E900B1"/>
    <w:rsid w:val="00E906C3"/>
    <w:rsid w:val="00E90D5B"/>
    <w:rsid w:val="00E911F2"/>
    <w:rsid w:val="00E91A72"/>
    <w:rsid w:val="00E91C32"/>
    <w:rsid w:val="00E91D76"/>
    <w:rsid w:val="00E922EA"/>
    <w:rsid w:val="00E926D6"/>
    <w:rsid w:val="00E93182"/>
    <w:rsid w:val="00E9392D"/>
    <w:rsid w:val="00E93A68"/>
    <w:rsid w:val="00E941AC"/>
    <w:rsid w:val="00E951CE"/>
    <w:rsid w:val="00E951E4"/>
    <w:rsid w:val="00E95B01"/>
    <w:rsid w:val="00E95DB3"/>
    <w:rsid w:val="00E96C54"/>
    <w:rsid w:val="00E977F5"/>
    <w:rsid w:val="00EA0645"/>
    <w:rsid w:val="00EA073D"/>
    <w:rsid w:val="00EA0BFA"/>
    <w:rsid w:val="00EA18DB"/>
    <w:rsid w:val="00EA1B64"/>
    <w:rsid w:val="00EA1F93"/>
    <w:rsid w:val="00EA2CF7"/>
    <w:rsid w:val="00EA48F6"/>
    <w:rsid w:val="00EA5D85"/>
    <w:rsid w:val="00EA5EC0"/>
    <w:rsid w:val="00EA5FD0"/>
    <w:rsid w:val="00EB133B"/>
    <w:rsid w:val="00EB2706"/>
    <w:rsid w:val="00EB3B75"/>
    <w:rsid w:val="00EB3CB8"/>
    <w:rsid w:val="00EB607E"/>
    <w:rsid w:val="00EB6471"/>
    <w:rsid w:val="00EB7C73"/>
    <w:rsid w:val="00EC07DC"/>
    <w:rsid w:val="00EC0A32"/>
    <w:rsid w:val="00EC1112"/>
    <w:rsid w:val="00EC1261"/>
    <w:rsid w:val="00EC161D"/>
    <w:rsid w:val="00EC25CD"/>
    <w:rsid w:val="00EC3AED"/>
    <w:rsid w:val="00EC44A7"/>
    <w:rsid w:val="00EC54D9"/>
    <w:rsid w:val="00EC687D"/>
    <w:rsid w:val="00EC6E75"/>
    <w:rsid w:val="00EC7820"/>
    <w:rsid w:val="00ED15F5"/>
    <w:rsid w:val="00ED184B"/>
    <w:rsid w:val="00ED21D7"/>
    <w:rsid w:val="00ED246D"/>
    <w:rsid w:val="00ED3640"/>
    <w:rsid w:val="00ED367C"/>
    <w:rsid w:val="00ED38C2"/>
    <w:rsid w:val="00ED47B4"/>
    <w:rsid w:val="00ED4B81"/>
    <w:rsid w:val="00ED5C84"/>
    <w:rsid w:val="00ED6BC9"/>
    <w:rsid w:val="00ED7824"/>
    <w:rsid w:val="00ED7DD1"/>
    <w:rsid w:val="00ED7DFE"/>
    <w:rsid w:val="00EE022D"/>
    <w:rsid w:val="00EE05F7"/>
    <w:rsid w:val="00EE0C54"/>
    <w:rsid w:val="00EE1FCF"/>
    <w:rsid w:val="00EE2AB5"/>
    <w:rsid w:val="00EE397B"/>
    <w:rsid w:val="00EE44E5"/>
    <w:rsid w:val="00EE5276"/>
    <w:rsid w:val="00EE59C5"/>
    <w:rsid w:val="00EE5A0B"/>
    <w:rsid w:val="00EE627E"/>
    <w:rsid w:val="00EE6B4C"/>
    <w:rsid w:val="00EE7C5B"/>
    <w:rsid w:val="00EF0008"/>
    <w:rsid w:val="00EF0131"/>
    <w:rsid w:val="00EF0D4C"/>
    <w:rsid w:val="00EF0FD5"/>
    <w:rsid w:val="00EF110A"/>
    <w:rsid w:val="00EF12F6"/>
    <w:rsid w:val="00EF1766"/>
    <w:rsid w:val="00EF23DC"/>
    <w:rsid w:val="00EF2BF5"/>
    <w:rsid w:val="00EF39A6"/>
    <w:rsid w:val="00EF4721"/>
    <w:rsid w:val="00EF51E5"/>
    <w:rsid w:val="00EF630C"/>
    <w:rsid w:val="00EF6362"/>
    <w:rsid w:val="00EF641D"/>
    <w:rsid w:val="00EF6E86"/>
    <w:rsid w:val="00F0124F"/>
    <w:rsid w:val="00F0135B"/>
    <w:rsid w:val="00F01671"/>
    <w:rsid w:val="00F0255A"/>
    <w:rsid w:val="00F02E72"/>
    <w:rsid w:val="00F03272"/>
    <w:rsid w:val="00F051C7"/>
    <w:rsid w:val="00F05BE5"/>
    <w:rsid w:val="00F0683A"/>
    <w:rsid w:val="00F0699C"/>
    <w:rsid w:val="00F06FB5"/>
    <w:rsid w:val="00F07E33"/>
    <w:rsid w:val="00F11AC7"/>
    <w:rsid w:val="00F13824"/>
    <w:rsid w:val="00F14D1E"/>
    <w:rsid w:val="00F163AD"/>
    <w:rsid w:val="00F20076"/>
    <w:rsid w:val="00F2053D"/>
    <w:rsid w:val="00F20EE3"/>
    <w:rsid w:val="00F20FF1"/>
    <w:rsid w:val="00F22D1E"/>
    <w:rsid w:val="00F22E29"/>
    <w:rsid w:val="00F27286"/>
    <w:rsid w:val="00F307AC"/>
    <w:rsid w:val="00F30DD0"/>
    <w:rsid w:val="00F337A5"/>
    <w:rsid w:val="00F34835"/>
    <w:rsid w:val="00F3572E"/>
    <w:rsid w:val="00F40EFA"/>
    <w:rsid w:val="00F41070"/>
    <w:rsid w:val="00F427FC"/>
    <w:rsid w:val="00F42888"/>
    <w:rsid w:val="00F428AC"/>
    <w:rsid w:val="00F429D1"/>
    <w:rsid w:val="00F4321B"/>
    <w:rsid w:val="00F441EE"/>
    <w:rsid w:val="00F44AEB"/>
    <w:rsid w:val="00F4525D"/>
    <w:rsid w:val="00F4551B"/>
    <w:rsid w:val="00F457F7"/>
    <w:rsid w:val="00F45F6E"/>
    <w:rsid w:val="00F471C3"/>
    <w:rsid w:val="00F479FA"/>
    <w:rsid w:val="00F47E77"/>
    <w:rsid w:val="00F502DC"/>
    <w:rsid w:val="00F5099E"/>
    <w:rsid w:val="00F50AF1"/>
    <w:rsid w:val="00F51630"/>
    <w:rsid w:val="00F51B43"/>
    <w:rsid w:val="00F52B63"/>
    <w:rsid w:val="00F52EDD"/>
    <w:rsid w:val="00F53C49"/>
    <w:rsid w:val="00F53EB3"/>
    <w:rsid w:val="00F53FAC"/>
    <w:rsid w:val="00F54FE4"/>
    <w:rsid w:val="00F55004"/>
    <w:rsid w:val="00F561FA"/>
    <w:rsid w:val="00F60999"/>
    <w:rsid w:val="00F61A88"/>
    <w:rsid w:val="00F61FBB"/>
    <w:rsid w:val="00F637C7"/>
    <w:rsid w:val="00F661C1"/>
    <w:rsid w:val="00F66D5B"/>
    <w:rsid w:val="00F66D96"/>
    <w:rsid w:val="00F71168"/>
    <w:rsid w:val="00F7169D"/>
    <w:rsid w:val="00F72170"/>
    <w:rsid w:val="00F722FC"/>
    <w:rsid w:val="00F729C4"/>
    <w:rsid w:val="00F73593"/>
    <w:rsid w:val="00F74174"/>
    <w:rsid w:val="00F74EED"/>
    <w:rsid w:val="00F74F8F"/>
    <w:rsid w:val="00F75392"/>
    <w:rsid w:val="00F75524"/>
    <w:rsid w:val="00F758B2"/>
    <w:rsid w:val="00F77962"/>
    <w:rsid w:val="00F77CC2"/>
    <w:rsid w:val="00F80D14"/>
    <w:rsid w:val="00F81549"/>
    <w:rsid w:val="00F8156C"/>
    <w:rsid w:val="00F827D9"/>
    <w:rsid w:val="00F837B1"/>
    <w:rsid w:val="00F847D3"/>
    <w:rsid w:val="00F8573F"/>
    <w:rsid w:val="00F86560"/>
    <w:rsid w:val="00F87C1F"/>
    <w:rsid w:val="00F902EF"/>
    <w:rsid w:val="00F912DF"/>
    <w:rsid w:val="00F953D1"/>
    <w:rsid w:val="00F95C60"/>
    <w:rsid w:val="00F96741"/>
    <w:rsid w:val="00F967E9"/>
    <w:rsid w:val="00F97CE4"/>
    <w:rsid w:val="00FA0765"/>
    <w:rsid w:val="00FA13B3"/>
    <w:rsid w:val="00FA2A68"/>
    <w:rsid w:val="00FA34F6"/>
    <w:rsid w:val="00FA405C"/>
    <w:rsid w:val="00FA4D19"/>
    <w:rsid w:val="00FA57F0"/>
    <w:rsid w:val="00FA69B9"/>
    <w:rsid w:val="00FA7B8D"/>
    <w:rsid w:val="00FB00EF"/>
    <w:rsid w:val="00FB0DFF"/>
    <w:rsid w:val="00FB23D5"/>
    <w:rsid w:val="00FB253A"/>
    <w:rsid w:val="00FB4123"/>
    <w:rsid w:val="00FB4B76"/>
    <w:rsid w:val="00FB4C27"/>
    <w:rsid w:val="00FB5778"/>
    <w:rsid w:val="00FB700D"/>
    <w:rsid w:val="00FB718F"/>
    <w:rsid w:val="00FC027F"/>
    <w:rsid w:val="00FC02B0"/>
    <w:rsid w:val="00FC09E5"/>
    <w:rsid w:val="00FC1203"/>
    <w:rsid w:val="00FC1AE2"/>
    <w:rsid w:val="00FC2BD4"/>
    <w:rsid w:val="00FC4ABC"/>
    <w:rsid w:val="00FC55DD"/>
    <w:rsid w:val="00FC5B8E"/>
    <w:rsid w:val="00FC5F3B"/>
    <w:rsid w:val="00FC6073"/>
    <w:rsid w:val="00FC64B1"/>
    <w:rsid w:val="00FC71F7"/>
    <w:rsid w:val="00FC75D9"/>
    <w:rsid w:val="00FD15D7"/>
    <w:rsid w:val="00FD17DE"/>
    <w:rsid w:val="00FD3C31"/>
    <w:rsid w:val="00FD3C9E"/>
    <w:rsid w:val="00FD475E"/>
    <w:rsid w:val="00FD4C17"/>
    <w:rsid w:val="00FD591B"/>
    <w:rsid w:val="00FD6D15"/>
    <w:rsid w:val="00FE00C7"/>
    <w:rsid w:val="00FE08CC"/>
    <w:rsid w:val="00FE1731"/>
    <w:rsid w:val="00FE3DB4"/>
    <w:rsid w:val="00FE3FC6"/>
    <w:rsid w:val="00FE5201"/>
    <w:rsid w:val="00FE7094"/>
    <w:rsid w:val="00FE72EC"/>
    <w:rsid w:val="00FF0288"/>
    <w:rsid w:val="00FF0605"/>
    <w:rsid w:val="00FF06C1"/>
    <w:rsid w:val="00FF1E5F"/>
    <w:rsid w:val="00FF227A"/>
    <w:rsid w:val="00FF27CD"/>
    <w:rsid w:val="00FF35B3"/>
    <w:rsid w:val="00FF717F"/>
    <w:rsid w:val="00FF79B2"/>
    <w:rsid w:val="00FF7A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1313"/>
    <o:shapelayout v:ext="edit">
      <o:idmap v:ext="edit" data="1"/>
    </o:shapelayout>
  </w:shapeDefaults>
  <w:decimalSymbol w:val="."/>
  <w:listSeparator w:val=","/>
  <w14:docId w14:val="5537D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B6120"/>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F51630"/>
    <w:pPr>
      <w:tabs>
        <w:tab w:val="center" w:pos="4320"/>
        <w:tab w:val="right" w:pos="8640"/>
      </w:tabs>
    </w:pPr>
  </w:style>
  <w:style w:type="character" w:styleId="PageNumber">
    <w:name w:val="page number"/>
    <w:basedOn w:val="DefaultParagraphFont"/>
    <w:rsid w:val="00F51630"/>
  </w:style>
  <w:style w:type="paragraph" w:styleId="Header">
    <w:name w:val="header"/>
    <w:basedOn w:val="Normal"/>
    <w:link w:val="HeaderChar"/>
    <w:uiPriority w:val="99"/>
    <w:rsid w:val="00071A35"/>
    <w:pPr>
      <w:tabs>
        <w:tab w:val="center" w:pos="4320"/>
        <w:tab w:val="right" w:pos="8640"/>
      </w:tabs>
    </w:pPr>
  </w:style>
  <w:style w:type="paragraph" w:styleId="FootnoteText">
    <w:name w:val="footnote text"/>
    <w:basedOn w:val="Normal"/>
    <w:link w:val="FootnoteTextChar"/>
    <w:uiPriority w:val="99"/>
    <w:rsid w:val="00575663"/>
    <w:rPr>
      <w:sz w:val="20"/>
      <w:szCs w:val="20"/>
    </w:rPr>
  </w:style>
  <w:style w:type="character" w:styleId="FootnoteReference">
    <w:name w:val="footnote reference"/>
    <w:basedOn w:val="DefaultParagraphFont"/>
    <w:semiHidden/>
    <w:rsid w:val="00575663"/>
    <w:rPr>
      <w:vertAlign w:val="superscript"/>
    </w:rPr>
  </w:style>
  <w:style w:type="paragraph" w:styleId="BalloonText">
    <w:name w:val="Balloon Text"/>
    <w:basedOn w:val="Normal"/>
    <w:semiHidden/>
    <w:rsid w:val="009562AA"/>
    <w:rPr>
      <w:rFonts w:ascii="Tahoma" w:hAnsi="Tahoma" w:cs="Tahoma"/>
      <w:sz w:val="16"/>
      <w:szCs w:val="16"/>
    </w:rPr>
  </w:style>
  <w:style w:type="character" w:styleId="CommentReference">
    <w:name w:val="annotation reference"/>
    <w:basedOn w:val="DefaultParagraphFont"/>
    <w:semiHidden/>
    <w:rsid w:val="00D706E8"/>
    <w:rPr>
      <w:sz w:val="16"/>
      <w:szCs w:val="16"/>
    </w:rPr>
  </w:style>
  <w:style w:type="paragraph" w:styleId="CommentText">
    <w:name w:val="annotation text"/>
    <w:basedOn w:val="Normal"/>
    <w:semiHidden/>
    <w:rsid w:val="00D706E8"/>
    <w:rPr>
      <w:sz w:val="20"/>
      <w:szCs w:val="20"/>
    </w:rPr>
  </w:style>
  <w:style w:type="paragraph" w:styleId="CommentSubject">
    <w:name w:val="annotation subject"/>
    <w:basedOn w:val="CommentText"/>
    <w:next w:val="CommentText"/>
    <w:semiHidden/>
    <w:rsid w:val="00D706E8"/>
    <w:rPr>
      <w:b/>
      <w:bCs/>
    </w:rPr>
  </w:style>
  <w:style w:type="paragraph" w:customStyle="1" w:styleId="spacer">
    <w:name w:val="spacer"/>
    <w:rsid w:val="006A291D"/>
    <w:pPr>
      <w:spacing w:before="7200"/>
    </w:pPr>
    <w:rPr>
      <w:rFonts w:ascii="Arial" w:hAnsi="Arial" w:cs="Arial"/>
      <w:bCs/>
      <w:kern w:val="32"/>
      <w:sz w:val="32"/>
      <w:szCs w:val="32"/>
    </w:rPr>
  </w:style>
  <w:style w:type="paragraph" w:customStyle="1" w:styleId="body2">
    <w:name w:val="body2"/>
    <w:basedOn w:val="BodyText"/>
    <w:link w:val="body2Char"/>
    <w:rsid w:val="006A291D"/>
    <w:pPr>
      <w:spacing w:line="260" w:lineRule="exact"/>
      <w:ind w:left="1260"/>
    </w:pPr>
    <w:rPr>
      <w:sz w:val="21"/>
    </w:rPr>
  </w:style>
  <w:style w:type="character" w:customStyle="1" w:styleId="body2Char">
    <w:name w:val="body2 Char"/>
    <w:basedOn w:val="DefaultParagraphFont"/>
    <w:link w:val="body2"/>
    <w:rsid w:val="006A291D"/>
    <w:rPr>
      <w:sz w:val="21"/>
      <w:szCs w:val="24"/>
      <w:lang w:val="en-US" w:eastAsia="en-US" w:bidi="ar-SA"/>
    </w:rPr>
  </w:style>
  <w:style w:type="paragraph" w:customStyle="1" w:styleId="Char3">
    <w:name w:val="Char3"/>
    <w:basedOn w:val="Normal"/>
    <w:rsid w:val="006A291D"/>
    <w:pPr>
      <w:spacing w:after="160" w:line="240" w:lineRule="exact"/>
    </w:pPr>
    <w:rPr>
      <w:rFonts w:ascii="Verdana" w:hAnsi="Verdana"/>
      <w:sz w:val="16"/>
      <w:szCs w:val="20"/>
    </w:rPr>
  </w:style>
  <w:style w:type="paragraph" w:styleId="BodyText">
    <w:name w:val="Body Text"/>
    <w:basedOn w:val="Normal"/>
    <w:rsid w:val="006A291D"/>
    <w:pPr>
      <w:spacing w:after="120"/>
    </w:pPr>
  </w:style>
  <w:style w:type="paragraph" w:customStyle="1" w:styleId="table">
    <w:name w:val="table"/>
    <w:basedOn w:val="BodyText"/>
    <w:rsid w:val="006A291D"/>
    <w:pPr>
      <w:spacing w:before="20" w:after="20" w:line="240" w:lineRule="exact"/>
    </w:pPr>
    <w:rPr>
      <w:rFonts w:ascii="Arial" w:hAnsi="Arial"/>
      <w:sz w:val="18"/>
    </w:rPr>
  </w:style>
  <w:style w:type="character" w:styleId="FollowedHyperlink">
    <w:name w:val="FollowedHyperlink"/>
    <w:basedOn w:val="DefaultParagraphFont"/>
    <w:rsid w:val="003E509D"/>
    <w:rPr>
      <w:color w:val="800080"/>
      <w:u w:val="single"/>
    </w:rPr>
  </w:style>
  <w:style w:type="table" w:styleId="TableGrid">
    <w:name w:val="Table Grid"/>
    <w:basedOn w:val="TableNormal"/>
    <w:rsid w:val="00D4350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Body">
    <w:name w:val="A-Body"/>
    <w:qFormat/>
    <w:rsid w:val="00B36E5A"/>
    <w:pPr>
      <w:widowControl w:val="0"/>
      <w:spacing w:line="250" w:lineRule="exact"/>
      <w:ind w:firstLine="245"/>
    </w:pPr>
    <w:rPr>
      <w:rFonts w:ascii="Bliss Pro Light" w:hAnsi="Bliss Pro Light"/>
      <w:spacing w:val="-1"/>
      <w:kern w:val="19"/>
      <w:sz w:val="19"/>
      <w:szCs w:val="24"/>
    </w:rPr>
  </w:style>
  <w:style w:type="paragraph" w:customStyle="1" w:styleId="A-Subhead">
    <w:name w:val="A-Subhead"/>
    <w:next w:val="A-Body"/>
    <w:qFormat/>
    <w:rsid w:val="00B36E5A"/>
    <w:pPr>
      <w:spacing w:before="10" w:line="250" w:lineRule="exact"/>
    </w:pPr>
    <w:rPr>
      <w:rFonts w:ascii="Bliss Pro Bold" w:hAnsi="Bliss Pro Bold"/>
      <w:b/>
      <w:color w:val="D20F46"/>
      <w:kern w:val="19"/>
      <w:sz w:val="21"/>
      <w:szCs w:val="24"/>
    </w:rPr>
  </w:style>
  <w:style w:type="paragraph" w:styleId="ListParagraph">
    <w:name w:val="List Paragraph"/>
    <w:basedOn w:val="Normal"/>
    <w:uiPriority w:val="34"/>
    <w:qFormat/>
    <w:rsid w:val="00135D78"/>
    <w:pPr>
      <w:spacing w:after="200" w:line="276" w:lineRule="auto"/>
      <w:ind w:left="720"/>
      <w:contextualSpacing/>
    </w:pPr>
    <w:rPr>
      <w:rFonts w:ascii="Calibri" w:eastAsia="Calibri" w:hAnsi="Calibri"/>
      <w:sz w:val="22"/>
      <w:szCs w:val="22"/>
    </w:rPr>
  </w:style>
  <w:style w:type="character" w:styleId="Hyperlink">
    <w:name w:val="Hyperlink"/>
    <w:basedOn w:val="DefaultParagraphFont"/>
    <w:uiPriority w:val="99"/>
    <w:rsid w:val="00135D78"/>
    <w:rPr>
      <w:rFonts w:cs="Times New Roman"/>
      <w:color w:val="0000FF"/>
      <w:u w:val="single"/>
    </w:rPr>
  </w:style>
  <w:style w:type="character" w:customStyle="1" w:styleId="HeaderChar">
    <w:name w:val="Header Char"/>
    <w:basedOn w:val="DefaultParagraphFont"/>
    <w:link w:val="Header"/>
    <w:uiPriority w:val="99"/>
    <w:rsid w:val="00FA69B9"/>
    <w:rPr>
      <w:sz w:val="24"/>
      <w:szCs w:val="24"/>
    </w:rPr>
  </w:style>
  <w:style w:type="paragraph" w:customStyle="1" w:styleId="DecimalAligned">
    <w:name w:val="Decimal Aligned"/>
    <w:basedOn w:val="Normal"/>
    <w:uiPriority w:val="40"/>
    <w:qFormat/>
    <w:rsid w:val="00B2600E"/>
    <w:pPr>
      <w:tabs>
        <w:tab w:val="decimal" w:pos="360"/>
      </w:tabs>
      <w:spacing w:after="200" w:line="276" w:lineRule="auto"/>
    </w:pPr>
    <w:rPr>
      <w:rFonts w:asciiTheme="minorHAnsi" w:eastAsiaTheme="minorEastAsia" w:hAnsiTheme="minorHAnsi" w:cstheme="minorBidi"/>
      <w:sz w:val="22"/>
      <w:szCs w:val="22"/>
    </w:rPr>
  </w:style>
  <w:style w:type="character" w:customStyle="1" w:styleId="FootnoteTextChar">
    <w:name w:val="Footnote Text Char"/>
    <w:basedOn w:val="DefaultParagraphFont"/>
    <w:link w:val="FootnoteText"/>
    <w:uiPriority w:val="99"/>
    <w:rsid w:val="00B2600E"/>
  </w:style>
  <w:style w:type="character" w:styleId="SubtleEmphasis">
    <w:name w:val="Subtle Emphasis"/>
    <w:basedOn w:val="DefaultParagraphFont"/>
    <w:uiPriority w:val="19"/>
    <w:qFormat/>
    <w:rsid w:val="00B2600E"/>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B2600E"/>
    <w:rPr>
      <w:rFonts w:asciiTheme="minorHAnsi" w:eastAsiaTheme="minorEastAsia" w:hAnsiTheme="minorHAnsi" w:cstheme="minorBidi"/>
      <w:color w:val="365F91" w:themeColor="accent1" w:themeShade="BF"/>
      <w:sz w:val="22"/>
      <w:szCs w:val="22"/>
      <w:lang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Spacing">
    <w:name w:val="No Spacing"/>
    <w:uiPriority w:val="1"/>
    <w:qFormat/>
    <w:rsid w:val="00A64089"/>
    <w:rPr>
      <w:sz w:val="24"/>
      <w:szCs w:val="24"/>
    </w:rPr>
  </w:style>
  <w:style w:type="paragraph" w:styleId="Title">
    <w:name w:val="Title"/>
    <w:basedOn w:val="Normal"/>
    <w:next w:val="Normal"/>
    <w:link w:val="TitleChar"/>
    <w:qFormat/>
    <w:rsid w:val="00A6408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A64089"/>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qFormat/>
    <w:rsid w:val="00A64089"/>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A64089"/>
    <w:rPr>
      <w:rFonts w:asciiTheme="majorHAnsi" w:eastAsiaTheme="majorEastAsia" w:hAnsiTheme="majorHAnsi" w:cstheme="majorBidi"/>
      <w:i/>
      <w:iCs/>
      <w:color w:val="4F81BD" w:themeColor="accent1"/>
      <w:spacing w:val="15"/>
      <w:sz w:val="24"/>
      <w:szCs w:val="24"/>
    </w:rPr>
  </w:style>
  <w:style w:type="paragraph" w:customStyle="1" w:styleId="StyleLinespacingMultiple115li">
    <w:name w:val="Style Line spacing:  Multiple 1.15 li"/>
    <w:basedOn w:val="Normal"/>
    <w:rsid w:val="00F661C1"/>
    <w:pPr>
      <w:spacing w:line="276" w:lineRule="auto"/>
    </w:pPr>
    <w:rPr>
      <w:szCs w:val="20"/>
    </w:rPr>
  </w:style>
  <w:style w:type="character" w:styleId="PlaceholderText">
    <w:name w:val="Placeholder Text"/>
    <w:basedOn w:val="DefaultParagraphFont"/>
    <w:uiPriority w:val="99"/>
    <w:semiHidden/>
    <w:rsid w:val="009A76AC"/>
    <w:rPr>
      <w:color w:val="808080"/>
    </w:rPr>
  </w:style>
  <w:style w:type="character" w:customStyle="1" w:styleId="ui-provider">
    <w:name w:val="ui-provider"/>
    <w:basedOn w:val="DefaultParagraphFont"/>
    <w:rsid w:val="007A78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10014">
      <w:bodyDiv w:val="1"/>
      <w:marLeft w:val="0"/>
      <w:marRight w:val="0"/>
      <w:marTop w:val="0"/>
      <w:marBottom w:val="0"/>
      <w:divBdr>
        <w:top w:val="none" w:sz="0" w:space="0" w:color="auto"/>
        <w:left w:val="none" w:sz="0" w:space="0" w:color="auto"/>
        <w:bottom w:val="none" w:sz="0" w:space="0" w:color="auto"/>
        <w:right w:val="none" w:sz="0" w:space="0" w:color="auto"/>
      </w:divBdr>
    </w:div>
    <w:div w:id="18942080">
      <w:bodyDiv w:val="1"/>
      <w:marLeft w:val="0"/>
      <w:marRight w:val="0"/>
      <w:marTop w:val="0"/>
      <w:marBottom w:val="0"/>
      <w:divBdr>
        <w:top w:val="none" w:sz="0" w:space="0" w:color="auto"/>
        <w:left w:val="none" w:sz="0" w:space="0" w:color="auto"/>
        <w:bottom w:val="none" w:sz="0" w:space="0" w:color="auto"/>
        <w:right w:val="none" w:sz="0" w:space="0" w:color="auto"/>
      </w:divBdr>
    </w:div>
    <w:div w:id="20404101">
      <w:bodyDiv w:val="1"/>
      <w:marLeft w:val="0"/>
      <w:marRight w:val="0"/>
      <w:marTop w:val="0"/>
      <w:marBottom w:val="0"/>
      <w:divBdr>
        <w:top w:val="none" w:sz="0" w:space="0" w:color="auto"/>
        <w:left w:val="none" w:sz="0" w:space="0" w:color="auto"/>
        <w:bottom w:val="none" w:sz="0" w:space="0" w:color="auto"/>
        <w:right w:val="none" w:sz="0" w:space="0" w:color="auto"/>
      </w:divBdr>
    </w:div>
    <w:div w:id="23406395">
      <w:bodyDiv w:val="1"/>
      <w:marLeft w:val="0"/>
      <w:marRight w:val="0"/>
      <w:marTop w:val="0"/>
      <w:marBottom w:val="0"/>
      <w:divBdr>
        <w:top w:val="none" w:sz="0" w:space="0" w:color="auto"/>
        <w:left w:val="none" w:sz="0" w:space="0" w:color="auto"/>
        <w:bottom w:val="none" w:sz="0" w:space="0" w:color="auto"/>
        <w:right w:val="none" w:sz="0" w:space="0" w:color="auto"/>
      </w:divBdr>
    </w:div>
    <w:div w:id="35089062">
      <w:bodyDiv w:val="1"/>
      <w:marLeft w:val="0"/>
      <w:marRight w:val="0"/>
      <w:marTop w:val="0"/>
      <w:marBottom w:val="0"/>
      <w:divBdr>
        <w:top w:val="none" w:sz="0" w:space="0" w:color="auto"/>
        <w:left w:val="none" w:sz="0" w:space="0" w:color="auto"/>
        <w:bottom w:val="none" w:sz="0" w:space="0" w:color="auto"/>
        <w:right w:val="none" w:sz="0" w:space="0" w:color="auto"/>
      </w:divBdr>
    </w:div>
    <w:div w:id="39787178">
      <w:bodyDiv w:val="1"/>
      <w:marLeft w:val="0"/>
      <w:marRight w:val="0"/>
      <w:marTop w:val="0"/>
      <w:marBottom w:val="0"/>
      <w:divBdr>
        <w:top w:val="none" w:sz="0" w:space="0" w:color="auto"/>
        <w:left w:val="none" w:sz="0" w:space="0" w:color="auto"/>
        <w:bottom w:val="none" w:sz="0" w:space="0" w:color="auto"/>
        <w:right w:val="none" w:sz="0" w:space="0" w:color="auto"/>
      </w:divBdr>
    </w:div>
    <w:div w:id="72092681">
      <w:bodyDiv w:val="1"/>
      <w:marLeft w:val="0"/>
      <w:marRight w:val="0"/>
      <w:marTop w:val="0"/>
      <w:marBottom w:val="0"/>
      <w:divBdr>
        <w:top w:val="none" w:sz="0" w:space="0" w:color="auto"/>
        <w:left w:val="none" w:sz="0" w:space="0" w:color="auto"/>
        <w:bottom w:val="none" w:sz="0" w:space="0" w:color="auto"/>
        <w:right w:val="none" w:sz="0" w:space="0" w:color="auto"/>
      </w:divBdr>
    </w:div>
    <w:div w:id="105857531">
      <w:bodyDiv w:val="1"/>
      <w:marLeft w:val="0"/>
      <w:marRight w:val="0"/>
      <w:marTop w:val="0"/>
      <w:marBottom w:val="0"/>
      <w:divBdr>
        <w:top w:val="none" w:sz="0" w:space="0" w:color="auto"/>
        <w:left w:val="none" w:sz="0" w:space="0" w:color="auto"/>
        <w:bottom w:val="none" w:sz="0" w:space="0" w:color="auto"/>
        <w:right w:val="none" w:sz="0" w:space="0" w:color="auto"/>
      </w:divBdr>
    </w:div>
    <w:div w:id="112596855">
      <w:bodyDiv w:val="1"/>
      <w:marLeft w:val="0"/>
      <w:marRight w:val="0"/>
      <w:marTop w:val="0"/>
      <w:marBottom w:val="0"/>
      <w:divBdr>
        <w:top w:val="none" w:sz="0" w:space="0" w:color="auto"/>
        <w:left w:val="none" w:sz="0" w:space="0" w:color="auto"/>
        <w:bottom w:val="none" w:sz="0" w:space="0" w:color="auto"/>
        <w:right w:val="none" w:sz="0" w:space="0" w:color="auto"/>
      </w:divBdr>
    </w:div>
    <w:div w:id="118452915">
      <w:bodyDiv w:val="1"/>
      <w:marLeft w:val="0"/>
      <w:marRight w:val="0"/>
      <w:marTop w:val="0"/>
      <w:marBottom w:val="0"/>
      <w:divBdr>
        <w:top w:val="none" w:sz="0" w:space="0" w:color="auto"/>
        <w:left w:val="none" w:sz="0" w:space="0" w:color="auto"/>
        <w:bottom w:val="none" w:sz="0" w:space="0" w:color="auto"/>
        <w:right w:val="none" w:sz="0" w:space="0" w:color="auto"/>
      </w:divBdr>
    </w:div>
    <w:div w:id="127476049">
      <w:bodyDiv w:val="1"/>
      <w:marLeft w:val="0"/>
      <w:marRight w:val="0"/>
      <w:marTop w:val="0"/>
      <w:marBottom w:val="0"/>
      <w:divBdr>
        <w:top w:val="none" w:sz="0" w:space="0" w:color="auto"/>
        <w:left w:val="none" w:sz="0" w:space="0" w:color="auto"/>
        <w:bottom w:val="none" w:sz="0" w:space="0" w:color="auto"/>
        <w:right w:val="none" w:sz="0" w:space="0" w:color="auto"/>
      </w:divBdr>
    </w:div>
    <w:div w:id="147478258">
      <w:bodyDiv w:val="1"/>
      <w:marLeft w:val="0"/>
      <w:marRight w:val="0"/>
      <w:marTop w:val="0"/>
      <w:marBottom w:val="0"/>
      <w:divBdr>
        <w:top w:val="none" w:sz="0" w:space="0" w:color="auto"/>
        <w:left w:val="none" w:sz="0" w:space="0" w:color="auto"/>
        <w:bottom w:val="none" w:sz="0" w:space="0" w:color="auto"/>
        <w:right w:val="none" w:sz="0" w:space="0" w:color="auto"/>
      </w:divBdr>
    </w:div>
    <w:div w:id="182061276">
      <w:bodyDiv w:val="1"/>
      <w:marLeft w:val="0"/>
      <w:marRight w:val="0"/>
      <w:marTop w:val="0"/>
      <w:marBottom w:val="0"/>
      <w:divBdr>
        <w:top w:val="none" w:sz="0" w:space="0" w:color="auto"/>
        <w:left w:val="none" w:sz="0" w:space="0" w:color="auto"/>
        <w:bottom w:val="none" w:sz="0" w:space="0" w:color="auto"/>
        <w:right w:val="none" w:sz="0" w:space="0" w:color="auto"/>
      </w:divBdr>
    </w:div>
    <w:div w:id="189489077">
      <w:bodyDiv w:val="1"/>
      <w:marLeft w:val="0"/>
      <w:marRight w:val="0"/>
      <w:marTop w:val="0"/>
      <w:marBottom w:val="0"/>
      <w:divBdr>
        <w:top w:val="none" w:sz="0" w:space="0" w:color="auto"/>
        <w:left w:val="none" w:sz="0" w:space="0" w:color="auto"/>
        <w:bottom w:val="none" w:sz="0" w:space="0" w:color="auto"/>
        <w:right w:val="none" w:sz="0" w:space="0" w:color="auto"/>
      </w:divBdr>
    </w:div>
    <w:div w:id="208882418">
      <w:bodyDiv w:val="1"/>
      <w:marLeft w:val="0"/>
      <w:marRight w:val="0"/>
      <w:marTop w:val="0"/>
      <w:marBottom w:val="0"/>
      <w:divBdr>
        <w:top w:val="none" w:sz="0" w:space="0" w:color="auto"/>
        <w:left w:val="none" w:sz="0" w:space="0" w:color="auto"/>
        <w:bottom w:val="none" w:sz="0" w:space="0" w:color="auto"/>
        <w:right w:val="none" w:sz="0" w:space="0" w:color="auto"/>
      </w:divBdr>
    </w:div>
    <w:div w:id="218136046">
      <w:bodyDiv w:val="1"/>
      <w:marLeft w:val="0"/>
      <w:marRight w:val="0"/>
      <w:marTop w:val="0"/>
      <w:marBottom w:val="0"/>
      <w:divBdr>
        <w:top w:val="none" w:sz="0" w:space="0" w:color="auto"/>
        <w:left w:val="none" w:sz="0" w:space="0" w:color="auto"/>
        <w:bottom w:val="none" w:sz="0" w:space="0" w:color="auto"/>
        <w:right w:val="none" w:sz="0" w:space="0" w:color="auto"/>
      </w:divBdr>
    </w:div>
    <w:div w:id="219175489">
      <w:bodyDiv w:val="1"/>
      <w:marLeft w:val="0"/>
      <w:marRight w:val="0"/>
      <w:marTop w:val="0"/>
      <w:marBottom w:val="0"/>
      <w:divBdr>
        <w:top w:val="none" w:sz="0" w:space="0" w:color="auto"/>
        <w:left w:val="none" w:sz="0" w:space="0" w:color="auto"/>
        <w:bottom w:val="none" w:sz="0" w:space="0" w:color="auto"/>
        <w:right w:val="none" w:sz="0" w:space="0" w:color="auto"/>
      </w:divBdr>
    </w:div>
    <w:div w:id="258174423">
      <w:bodyDiv w:val="1"/>
      <w:marLeft w:val="0"/>
      <w:marRight w:val="0"/>
      <w:marTop w:val="0"/>
      <w:marBottom w:val="0"/>
      <w:divBdr>
        <w:top w:val="none" w:sz="0" w:space="0" w:color="auto"/>
        <w:left w:val="none" w:sz="0" w:space="0" w:color="auto"/>
        <w:bottom w:val="none" w:sz="0" w:space="0" w:color="auto"/>
        <w:right w:val="none" w:sz="0" w:space="0" w:color="auto"/>
      </w:divBdr>
    </w:div>
    <w:div w:id="263850142">
      <w:bodyDiv w:val="1"/>
      <w:marLeft w:val="0"/>
      <w:marRight w:val="0"/>
      <w:marTop w:val="0"/>
      <w:marBottom w:val="0"/>
      <w:divBdr>
        <w:top w:val="none" w:sz="0" w:space="0" w:color="auto"/>
        <w:left w:val="none" w:sz="0" w:space="0" w:color="auto"/>
        <w:bottom w:val="none" w:sz="0" w:space="0" w:color="auto"/>
        <w:right w:val="none" w:sz="0" w:space="0" w:color="auto"/>
      </w:divBdr>
    </w:div>
    <w:div w:id="280385040">
      <w:bodyDiv w:val="1"/>
      <w:marLeft w:val="0"/>
      <w:marRight w:val="0"/>
      <w:marTop w:val="0"/>
      <w:marBottom w:val="0"/>
      <w:divBdr>
        <w:top w:val="none" w:sz="0" w:space="0" w:color="auto"/>
        <w:left w:val="none" w:sz="0" w:space="0" w:color="auto"/>
        <w:bottom w:val="none" w:sz="0" w:space="0" w:color="auto"/>
        <w:right w:val="none" w:sz="0" w:space="0" w:color="auto"/>
      </w:divBdr>
    </w:div>
    <w:div w:id="311452061">
      <w:bodyDiv w:val="1"/>
      <w:marLeft w:val="0"/>
      <w:marRight w:val="0"/>
      <w:marTop w:val="0"/>
      <w:marBottom w:val="0"/>
      <w:divBdr>
        <w:top w:val="none" w:sz="0" w:space="0" w:color="auto"/>
        <w:left w:val="none" w:sz="0" w:space="0" w:color="auto"/>
        <w:bottom w:val="none" w:sz="0" w:space="0" w:color="auto"/>
        <w:right w:val="none" w:sz="0" w:space="0" w:color="auto"/>
      </w:divBdr>
    </w:div>
    <w:div w:id="333340721">
      <w:bodyDiv w:val="1"/>
      <w:marLeft w:val="0"/>
      <w:marRight w:val="0"/>
      <w:marTop w:val="0"/>
      <w:marBottom w:val="0"/>
      <w:divBdr>
        <w:top w:val="none" w:sz="0" w:space="0" w:color="auto"/>
        <w:left w:val="none" w:sz="0" w:space="0" w:color="auto"/>
        <w:bottom w:val="none" w:sz="0" w:space="0" w:color="auto"/>
        <w:right w:val="none" w:sz="0" w:space="0" w:color="auto"/>
      </w:divBdr>
    </w:div>
    <w:div w:id="412434386">
      <w:bodyDiv w:val="1"/>
      <w:marLeft w:val="0"/>
      <w:marRight w:val="0"/>
      <w:marTop w:val="0"/>
      <w:marBottom w:val="0"/>
      <w:divBdr>
        <w:top w:val="none" w:sz="0" w:space="0" w:color="auto"/>
        <w:left w:val="none" w:sz="0" w:space="0" w:color="auto"/>
        <w:bottom w:val="none" w:sz="0" w:space="0" w:color="auto"/>
        <w:right w:val="none" w:sz="0" w:space="0" w:color="auto"/>
      </w:divBdr>
    </w:div>
    <w:div w:id="415320493">
      <w:bodyDiv w:val="1"/>
      <w:marLeft w:val="0"/>
      <w:marRight w:val="0"/>
      <w:marTop w:val="0"/>
      <w:marBottom w:val="0"/>
      <w:divBdr>
        <w:top w:val="none" w:sz="0" w:space="0" w:color="auto"/>
        <w:left w:val="none" w:sz="0" w:space="0" w:color="auto"/>
        <w:bottom w:val="none" w:sz="0" w:space="0" w:color="auto"/>
        <w:right w:val="none" w:sz="0" w:space="0" w:color="auto"/>
      </w:divBdr>
    </w:div>
    <w:div w:id="464348734">
      <w:bodyDiv w:val="1"/>
      <w:marLeft w:val="0"/>
      <w:marRight w:val="0"/>
      <w:marTop w:val="0"/>
      <w:marBottom w:val="0"/>
      <w:divBdr>
        <w:top w:val="none" w:sz="0" w:space="0" w:color="auto"/>
        <w:left w:val="none" w:sz="0" w:space="0" w:color="auto"/>
        <w:bottom w:val="none" w:sz="0" w:space="0" w:color="auto"/>
        <w:right w:val="none" w:sz="0" w:space="0" w:color="auto"/>
      </w:divBdr>
    </w:div>
    <w:div w:id="471095089">
      <w:bodyDiv w:val="1"/>
      <w:marLeft w:val="0"/>
      <w:marRight w:val="0"/>
      <w:marTop w:val="0"/>
      <w:marBottom w:val="0"/>
      <w:divBdr>
        <w:top w:val="none" w:sz="0" w:space="0" w:color="auto"/>
        <w:left w:val="none" w:sz="0" w:space="0" w:color="auto"/>
        <w:bottom w:val="none" w:sz="0" w:space="0" w:color="auto"/>
        <w:right w:val="none" w:sz="0" w:space="0" w:color="auto"/>
      </w:divBdr>
    </w:div>
    <w:div w:id="517474922">
      <w:bodyDiv w:val="1"/>
      <w:marLeft w:val="0"/>
      <w:marRight w:val="0"/>
      <w:marTop w:val="0"/>
      <w:marBottom w:val="0"/>
      <w:divBdr>
        <w:top w:val="none" w:sz="0" w:space="0" w:color="auto"/>
        <w:left w:val="none" w:sz="0" w:space="0" w:color="auto"/>
        <w:bottom w:val="none" w:sz="0" w:space="0" w:color="auto"/>
        <w:right w:val="none" w:sz="0" w:space="0" w:color="auto"/>
      </w:divBdr>
      <w:divsChild>
        <w:div w:id="1638223690">
          <w:marLeft w:val="547"/>
          <w:marRight w:val="0"/>
          <w:marTop w:val="120"/>
          <w:marBottom w:val="0"/>
          <w:divBdr>
            <w:top w:val="none" w:sz="0" w:space="0" w:color="auto"/>
            <w:left w:val="none" w:sz="0" w:space="0" w:color="auto"/>
            <w:bottom w:val="none" w:sz="0" w:space="0" w:color="auto"/>
            <w:right w:val="none" w:sz="0" w:space="0" w:color="auto"/>
          </w:divBdr>
        </w:div>
        <w:div w:id="914511867">
          <w:marLeft w:val="907"/>
          <w:marRight w:val="0"/>
          <w:marTop w:val="60"/>
          <w:marBottom w:val="0"/>
          <w:divBdr>
            <w:top w:val="none" w:sz="0" w:space="0" w:color="auto"/>
            <w:left w:val="none" w:sz="0" w:space="0" w:color="auto"/>
            <w:bottom w:val="none" w:sz="0" w:space="0" w:color="auto"/>
            <w:right w:val="none" w:sz="0" w:space="0" w:color="auto"/>
          </w:divBdr>
        </w:div>
        <w:div w:id="461659183">
          <w:marLeft w:val="907"/>
          <w:marRight w:val="0"/>
          <w:marTop w:val="60"/>
          <w:marBottom w:val="0"/>
          <w:divBdr>
            <w:top w:val="none" w:sz="0" w:space="0" w:color="auto"/>
            <w:left w:val="none" w:sz="0" w:space="0" w:color="auto"/>
            <w:bottom w:val="none" w:sz="0" w:space="0" w:color="auto"/>
            <w:right w:val="none" w:sz="0" w:space="0" w:color="auto"/>
          </w:divBdr>
        </w:div>
      </w:divsChild>
    </w:div>
    <w:div w:id="551312796">
      <w:bodyDiv w:val="1"/>
      <w:marLeft w:val="0"/>
      <w:marRight w:val="0"/>
      <w:marTop w:val="0"/>
      <w:marBottom w:val="0"/>
      <w:divBdr>
        <w:top w:val="none" w:sz="0" w:space="0" w:color="auto"/>
        <w:left w:val="none" w:sz="0" w:space="0" w:color="auto"/>
        <w:bottom w:val="none" w:sz="0" w:space="0" w:color="auto"/>
        <w:right w:val="none" w:sz="0" w:space="0" w:color="auto"/>
      </w:divBdr>
    </w:div>
    <w:div w:id="556555202">
      <w:bodyDiv w:val="1"/>
      <w:marLeft w:val="0"/>
      <w:marRight w:val="0"/>
      <w:marTop w:val="0"/>
      <w:marBottom w:val="0"/>
      <w:divBdr>
        <w:top w:val="none" w:sz="0" w:space="0" w:color="auto"/>
        <w:left w:val="none" w:sz="0" w:space="0" w:color="auto"/>
        <w:bottom w:val="none" w:sz="0" w:space="0" w:color="auto"/>
        <w:right w:val="none" w:sz="0" w:space="0" w:color="auto"/>
      </w:divBdr>
    </w:div>
    <w:div w:id="579413772">
      <w:bodyDiv w:val="1"/>
      <w:marLeft w:val="0"/>
      <w:marRight w:val="0"/>
      <w:marTop w:val="0"/>
      <w:marBottom w:val="0"/>
      <w:divBdr>
        <w:top w:val="none" w:sz="0" w:space="0" w:color="auto"/>
        <w:left w:val="none" w:sz="0" w:space="0" w:color="auto"/>
        <w:bottom w:val="none" w:sz="0" w:space="0" w:color="auto"/>
        <w:right w:val="none" w:sz="0" w:space="0" w:color="auto"/>
      </w:divBdr>
    </w:div>
    <w:div w:id="625621500">
      <w:bodyDiv w:val="1"/>
      <w:marLeft w:val="0"/>
      <w:marRight w:val="0"/>
      <w:marTop w:val="0"/>
      <w:marBottom w:val="0"/>
      <w:divBdr>
        <w:top w:val="none" w:sz="0" w:space="0" w:color="auto"/>
        <w:left w:val="none" w:sz="0" w:space="0" w:color="auto"/>
        <w:bottom w:val="none" w:sz="0" w:space="0" w:color="auto"/>
        <w:right w:val="none" w:sz="0" w:space="0" w:color="auto"/>
      </w:divBdr>
    </w:div>
    <w:div w:id="677780963">
      <w:bodyDiv w:val="1"/>
      <w:marLeft w:val="0"/>
      <w:marRight w:val="0"/>
      <w:marTop w:val="0"/>
      <w:marBottom w:val="0"/>
      <w:divBdr>
        <w:top w:val="none" w:sz="0" w:space="0" w:color="auto"/>
        <w:left w:val="none" w:sz="0" w:space="0" w:color="auto"/>
        <w:bottom w:val="none" w:sz="0" w:space="0" w:color="auto"/>
        <w:right w:val="none" w:sz="0" w:space="0" w:color="auto"/>
      </w:divBdr>
    </w:div>
    <w:div w:id="682635850">
      <w:bodyDiv w:val="1"/>
      <w:marLeft w:val="0"/>
      <w:marRight w:val="0"/>
      <w:marTop w:val="0"/>
      <w:marBottom w:val="0"/>
      <w:divBdr>
        <w:top w:val="none" w:sz="0" w:space="0" w:color="auto"/>
        <w:left w:val="none" w:sz="0" w:space="0" w:color="auto"/>
        <w:bottom w:val="none" w:sz="0" w:space="0" w:color="auto"/>
        <w:right w:val="none" w:sz="0" w:space="0" w:color="auto"/>
      </w:divBdr>
    </w:div>
    <w:div w:id="687220199">
      <w:bodyDiv w:val="1"/>
      <w:marLeft w:val="0"/>
      <w:marRight w:val="0"/>
      <w:marTop w:val="0"/>
      <w:marBottom w:val="0"/>
      <w:divBdr>
        <w:top w:val="none" w:sz="0" w:space="0" w:color="auto"/>
        <w:left w:val="none" w:sz="0" w:space="0" w:color="auto"/>
        <w:bottom w:val="none" w:sz="0" w:space="0" w:color="auto"/>
        <w:right w:val="none" w:sz="0" w:space="0" w:color="auto"/>
      </w:divBdr>
    </w:div>
    <w:div w:id="759789909">
      <w:bodyDiv w:val="1"/>
      <w:marLeft w:val="0"/>
      <w:marRight w:val="0"/>
      <w:marTop w:val="0"/>
      <w:marBottom w:val="0"/>
      <w:divBdr>
        <w:top w:val="none" w:sz="0" w:space="0" w:color="auto"/>
        <w:left w:val="none" w:sz="0" w:space="0" w:color="auto"/>
        <w:bottom w:val="none" w:sz="0" w:space="0" w:color="auto"/>
        <w:right w:val="none" w:sz="0" w:space="0" w:color="auto"/>
      </w:divBdr>
    </w:div>
    <w:div w:id="763036255">
      <w:bodyDiv w:val="1"/>
      <w:marLeft w:val="0"/>
      <w:marRight w:val="0"/>
      <w:marTop w:val="0"/>
      <w:marBottom w:val="0"/>
      <w:divBdr>
        <w:top w:val="none" w:sz="0" w:space="0" w:color="auto"/>
        <w:left w:val="none" w:sz="0" w:space="0" w:color="auto"/>
        <w:bottom w:val="none" w:sz="0" w:space="0" w:color="auto"/>
        <w:right w:val="none" w:sz="0" w:space="0" w:color="auto"/>
      </w:divBdr>
    </w:div>
    <w:div w:id="842359822">
      <w:bodyDiv w:val="1"/>
      <w:marLeft w:val="0"/>
      <w:marRight w:val="0"/>
      <w:marTop w:val="0"/>
      <w:marBottom w:val="0"/>
      <w:divBdr>
        <w:top w:val="none" w:sz="0" w:space="0" w:color="auto"/>
        <w:left w:val="none" w:sz="0" w:space="0" w:color="auto"/>
        <w:bottom w:val="none" w:sz="0" w:space="0" w:color="auto"/>
        <w:right w:val="none" w:sz="0" w:space="0" w:color="auto"/>
      </w:divBdr>
    </w:div>
    <w:div w:id="856770874">
      <w:bodyDiv w:val="1"/>
      <w:marLeft w:val="0"/>
      <w:marRight w:val="0"/>
      <w:marTop w:val="0"/>
      <w:marBottom w:val="0"/>
      <w:divBdr>
        <w:top w:val="none" w:sz="0" w:space="0" w:color="auto"/>
        <w:left w:val="none" w:sz="0" w:space="0" w:color="auto"/>
        <w:bottom w:val="none" w:sz="0" w:space="0" w:color="auto"/>
        <w:right w:val="none" w:sz="0" w:space="0" w:color="auto"/>
      </w:divBdr>
    </w:div>
    <w:div w:id="863909087">
      <w:bodyDiv w:val="1"/>
      <w:marLeft w:val="0"/>
      <w:marRight w:val="0"/>
      <w:marTop w:val="0"/>
      <w:marBottom w:val="0"/>
      <w:divBdr>
        <w:top w:val="none" w:sz="0" w:space="0" w:color="auto"/>
        <w:left w:val="none" w:sz="0" w:space="0" w:color="auto"/>
        <w:bottom w:val="none" w:sz="0" w:space="0" w:color="auto"/>
        <w:right w:val="none" w:sz="0" w:space="0" w:color="auto"/>
      </w:divBdr>
    </w:div>
    <w:div w:id="883061661">
      <w:bodyDiv w:val="1"/>
      <w:marLeft w:val="0"/>
      <w:marRight w:val="0"/>
      <w:marTop w:val="0"/>
      <w:marBottom w:val="0"/>
      <w:divBdr>
        <w:top w:val="none" w:sz="0" w:space="0" w:color="auto"/>
        <w:left w:val="none" w:sz="0" w:space="0" w:color="auto"/>
        <w:bottom w:val="none" w:sz="0" w:space="0" w:color="auto"/>
        <w:right w:val="none" w:sz="0" w:space="0" w:color="auto"/>
      </w:divBdr>
    </w:div>
    <w:div w:id="922642159">
      <w:bodyDiv w:val="1"/>
      <w:marLeft w:val="0"/>
      <w:marRight w:val="0"/>
      <w:marTop w:val="0"/>
      <w:marBottom w:val="0"/>
      <w:divBdr>
        <w:top w:val="none" w:sz="0" w:space="0" w:color="auto"/>
        <w:left w:val="none" w:sz="0" w:space="0" w:color="auto"/>
        <w:bottom w:val="none" w:sz="0" w:space="0" w:color="auto"/>
        <w:right w:val="none" w:sz="0" w:space="0" w:color="auto"/>
      </w:divBdr>
    </w:div>
    <w:div w:id="950432801">
      <w:bodyDiv w:val="1"/>
      <w:marLeft w:val="0"/>
      <w:marRight w:val="0"/>
      <w:marTop w:val="0"/>
      <w:marBottom w:val="0"/>
      <w:divBdr>
        <w:top w:val="none" w:sz="0" w:space="0" w:color="auto"/>
        <w:left w:val="none" w:sz="0" w:space="0" w:color="auto"/>
        <w:bottom w:val="none" w:sz="0" w:space="0" w:color="auto"/>
        <w:right w:val="none" w:sz="0" w:space="0" w:color="auto"/>
      </w:divBdr>
    </w:div>
    <w:div w:id="951401062">
      <w:bodyDiv w:val="1"/>
      <w:marLeft w:val="0"/>
      <w:marRight w:val="0"/>
      <w:marTop w:val="0"/>
      <w:marBottom w:val="0"/>
      <w:divBdr>
        <w:top w:val="none" w:sz="0" w:space="0" w:color="auto"/>
        <w:left w:val="none" w:sz="0" w:space="0" w:color="auto"/>
        <w:bottom w:val="none" w:sz="0" w:space="0" w:color="auto"/>
        <w:right w:val="none" w:sz="0" w:space="0" w:color="auto"/>
      </w:divBdr>
    </w:div>
    <w:div w:id="951546267">
      <w:bodyDiv w:val="1"/>
      <w:marLeft w:val="0"/>
      <w:marRight w:val="0"/>
      <w:marTop w:val="0"/>
      <w:marBottom w:val="0"/>
      <w:divBdr>
        <w:top w:val="none" w:sz="0" w:space="0" w:color="auto"/>
        <w:left w:val="none" w:sz="0" w:space="0" w:color="auto"/>
        <w:bottom w:val="none" w:sz="0" w:space="0" w:color="auto"/>
        <w:right w:val="none" w:sz="0" w:space="0" w:color="auto"/>
      </w:divBdr>
    </w:div>
    <w:div w:id="1014306125">
      <w:bodyDiv w:val="1"/>
      <w:marLeft w:val="0"/>
      <w:marRight w:val="0"/>
      <w:marTop w:val="0"/>
      <w:marBottom w:val="0"/>
      <w:divBdr>
        <w:top w:val="none" w:sz="0" w:space="0" w:color="auto"/>
        <w:left w:val="none" w:sz="0" w:space="0" w:color="auto"/>
        <w:bottom w:val="none" w:sz="0" w:space="0" w:color="auto"/>
        <w:right w:val="none" w:sz="0" w:space="0" w:color="auto"/>
      </w:divBdr>
    </w:div>
    <w:div w:id="1026128892">
      <w:bodyDiv w:val="1"/>
      <w:marLeft w:val="0"/>
      <w:marRight w:val="0"/>
      <w:marTop w:val="0"/>
      <w:marBottom w:val="0"/>
      <w:divBdr>
        <w:top w:val="none" w:sz="0" w:space="0" w:color="auto"/>
        <w:left w:val="none" w:sz="0" w:space="0" w:color="auto"/>
        <w:bottom w:val="none" w:sz="0" w:space="0" w:color="auto"/>
        <w:right w:val="none" w:sz="0" w:space="0" w:color="auto"/>
      </w:divBdr>
    </w:div>
    <w:div w:id="1046635612">
      <w:bodyDiv w:val="1"/>
      <w:marLeft w:val="0"/>
      <w:marRight w:val="0"/>
      <w:marTop w:val="0"/>
      <w:marBottom w:val="0"/>
      <w:divBdr>
        <w:top w:val="none" w:sz="0" w:space="0" w:color="auto"/>
        <w:left w:val="none" w:sz="0" w:space="0" w:color="auto"/>
        <w:bottom w:val="none" w:sz="0" w:space="0" w:color="auto"/>
        <w:right w:val="none" w:sz="0" w:space="0" w:color="auto"/>
      </w:divBdr>
    </w:div>
    <w:div w:id="1062144305">
      <w:bodyDiv w:val="1"/>
      <w:marLeft w:val="0"/>
      <w:marRight w:val="0"/>
      <w:marTop w:val="0"/>
      <w:marBottom w:val="0"/>
      <w:divBdr>
        <w:top w:val="none" w:sz="0" w:space="0" w:color="auto"/>
        <w:left w:val="none" w:sz="0" w:space="0" w:color="auto"/>
        <w:bottom w:val="none" w:sz="0" w:space="0" w:color="auto"/>
        <w:right w:val="none" w:sz="0" w:space="0" w:color="auto"/>
      </w:divBdr>
    </w:div>
    <w:div w:id="1113089594">
      <w:bodyDiv w:val="1"/>
      <w:marLeft w:val="0"/>
      <w:marRight w:val="0"/>
      <w:marTop w:val="0"/>
      <w:marBottom w:val="0"/>
      <w:divBdr>
        <w:top w:val="none" w:sz="0" w:space="0" w:color="auto"/>
        <w:left w:val="none" w:sz="0" w:space="0" w:color="auto"/>
        <w:bottom w:val="none" w:sz="0" w:space="0" w:color="auto"/>
        <w:right w:val="none" w:sz="0" w:space="0" w:color="auto"/>
      </w:divBdr>
    </w:div>
    <w:div w:id="1120107183">
      <w:bodyDiv w:val="1"/>
      <w:marLeft w:val="0"/>
      <w:marRight w:val="0"/>
      <w:marTop w:val="0"/>
      <w:marBottom w:val="0"/>
      <w:divBdr>
        <w:top w:val="none" w:sz="0" w:space="0" w:color="auto"/>
        <w:left w:val="none" w:sz="0" w:space="0" w:color="auto"/>
        <w:bottom w:val="none" w:sz="0" w:space="0" w:color="auto"/>
        <w:right w:val="none" w:sz="0" w:space="0" w:color="auto"/>
      </w:divBdr>
    </w:div>
    <w:div w:id="1134253158">
      <w:bodyDiv w:val="1"/>
      <w:marLeft w:val="0"/>
      <w:marRight w:val="0"/>
      <w:marTop w:val="0"/>
      <w:marBottom w:val="0"/>
      <w:divBdr>
        <w:top w:val="none" w:sz="0" w:space="0" w:color="auto"/>
        <w:left w:val="none" w:sz="0" w:space="0" w:color="auto"/>
        <w:bottom w:val="none" w:sz="0" w:space="0" w:color="auto"/>
        <w:right w:val="none" w:sz="0" w:space="0" w:color="auto"/>
      </w:divBdr>
    </w:div>
    <w:div w:id="1141651402">
      <w:bodyDiv w:val="1"/>
      <w:marLeft w:val="0"/>
      <w:marRight w:val="0"/>
      <w:marTop w:val="0"/>
      <w:marBottom w:val="0"/>
      <w:divBdr>
        <w:top w:val="none" w:sz="0" w:space="0" w:color="auto"/>
        <w:left w:val="none" w:sz="0" w:space="0" w:color="auto"/>
        <w:bottom w:val="none" w:sz="0" w:space="0" w:color="auto"/>
        <w:right w:val="none" w:sz="0" w:space="0" w:color="auto"/>
      </w:divBdr>
    </w:div>
    <w:div w:id="1144280229">
      <w:bodyDiv w:val="1"/>
      <w:marLeft w:val="0"/>
      <w:marRight w:val="0"/>
      <w:marTop w:val="0"/>
      <w:marBottom w:val="0"/>
      <w:divBdr>
        <w:top w:val="none" w:sz="0" w:space="0" w:color="auto"/>
        <w:left w:val="none" w:sz="0" w:space="0" w:color="auto"/>
        <w:bottom w:val="none" w:sz="0" w:space="0" w:color="auto"/>
        <w:right w:val="none" w:sz="0" w:space="0" w:color="auto"/>
      </w:divBdr>
    </w:div>
    <w:div w:id="1147550658">
      <w:bodyDiv w:val="1"/>
      <w:marLeft w:val="0"/>
      <w:marRight w:val="0"/>
      <w:marTop w:val="0"/>
      <w:marBottom w:val="0"/>
      <w:divBdr>
        <w:top w:val="none" w:sz="0" w:space="0" w:color="auto"/>
        <w:left w:val="none" w:sz="0" w:space="0" w:color="auto"/>
        <w:bottom w:val="none" w:sz="0" w:space="0" w:color="auto"/>
        <w:right w:val="none" w:sz="0" w:space="0" w:color="auto"/>
      </w:divBdr>
    </w:div>
    <w:div w:id="1194999146">
      <w:bodyDiv w:val="1"/>
      <w:marLeft w:val="0"/>
      <w:marRight w:val="0"/>
      <w:marTop w:val="0"/>
      <w:marBottom w:val="0"/>
      <w:divBdr>
        <w:top w:val="none" w:sz="0" w:space="0" w:color="auto"/>
        <w:left w:val="none" w:sz="0" w:space="0" w:color="auto"/>
        <w:bottom w:val="none" w:sz="0" w:space="0" w:color="auto"/>
        <w:right w:val="none" w:sz="0" w:space="0" w:color="auto"/>
      </w:divBdr>
    </w:div>
    <w:div w:id="1206872063">
      <w:bodyDiv w:val="1"/>
      <w:marLeft w:val="0"/>
      <w:marRight w:val="0"/>
      <w:marTop w:val="0"/>
      <w:marBottom w:val="0"/>
      <w:divBdr>
        <w:top w:val="none" w:sz="0" w:space="0" w:color="auto"/>
        <w:left w:val="none" w:sz="0" w:space="0" w:color="auto"/>
        <w:bottom w:val="none" w:sz="0" w:space="0" w:color="auto"/>
        <w:right w:val="none" w:sz="0" w:space="0" w:color="auto"/>
      </w:divBdr>
    </w:div>
    <w:div w:id="1219978782">
      <w:bodyDiv w:val="1"/>
      <w:marLeft w:val="0"/>
      <w:marRight w:val="0"/>
      <w:marTop w:val="0"/>
      <w:marBottom w:val="0"/>
      <w:divBdr>
        <w:top w:val="none" w:sz="0" w:space="0" w:color="auto"/>
        <w:left w:val="none" w:sz="0" w:space="0" w:color="auto"/>
        <w:bottom w:val="none" w:sz="0" w:space="0" w:color="auto"/>
        <w:right w:val="none" w:sz="0" w:space="0" w:color="auto"/>
      </w:divBdr>
    </w:div>
    <w:div w:id="1320498071">
      <w:bodyDiv w:val="1"/>
      <w:marLeft w:val="0"/>
      <w:marRight w:val="0"/>
      <w:marTop w:val="0"/>
      <w:marBottom w:val="0"/>
      <w:divBdr>
        <w:top w:val="none" w:sz="0" w:space="0" w:color="auto"/>
        <w:left w:val="none" w:sz="0" w:space="0" w:color="auto"/>
        <w:bottom w:val="none" w:sz="0" w:space="0" w:color="auto"/>
        <w:right w:val="none" w:sz="0" w:space="0" w:color="auto"/>
      </w:divBdr>
    </w:div>
    <w:div w:id="1332681029">
      <w:bodyDiv w:val="1"/>
      <w:marLeft w:val="0"/>
      <w:marRight w:val="0"/>
      <w:marTop w:val="0"/>
      <w:marBottom w:val="0"/>
      <w:divBdr>
        <w:top w:val="none" w:sz="0" w:space="0" w:color="auto"/>
        <w:left w:val="none" w:sz="0" w:space="0" w:color="auto"/>
        <w:bottom w:val="none" w:sz="0" w:space="0" w:color="auto"/>
        <w:right w:val="none" w:sz="0" w:space="0" w:color="auto"/>
      </w:divBdr>
    </w:div>
    <w:div w:id="1341001921">
      <w:bodyDiv w:val="1"/>
      <w:marLeft w:val="0"/>
      <w:marRight w:val="0"/>
      <w:marTop w:val="0"/>
      <w:marBottom w:val="0"/>
      <w:divBdr>
        <w:top w:val="none" w:sz="0" w:space="0" w:color="auto"/>
        <w:left w:val="none" w:sz="0" w:space="0" w:color="auto"/>
        <w:bottom w:val="none" w:sz="0" w:space="0" w:color="auto"/>
        <w:right w:val="none" w:sz="0" w:space="0" w:color="auto"/>
      </w:divBdr>
    </w:div>
    <w:div w:id="1371373067">
      <w:bodyDiv w:val="1"/>
      <w:marLeft w:val="0"/>
      <w:marRight w:val="0"/>
      <w:marTop w:val="0"/>
      <w:marBottom w:val="0"/>
      <w:divBdr>
        <w:top w:val="none" w:sz="0" w:space="0" w:color="auto"/>
        <w:left w:val="none" w:sz="0" w:space="0" w:color="auto"/>
        <w:bottom w:val="none" w:sz="0" w:space="0" w:color="auto"/>
        <w:right w:val="none" w:sz="0" w:space="0" w:color="auto"/>
      </w:divBdr>
    </w:div>
    <w:div w:id="1376734919">
      <w:bodyDiv w:val="1"/>
      <w:marLeft w:val="0"/>
      <w:marRight w:val="0"/>
      <w:marTop w:val="0"/>
      <w:marBottom w:val="0"/>
      <w:divBdr>
        <w:top w:val="none" w:sz="0" w:space="0" w:color="auto"/>
        <w:left w:val="none" w:sz="0" w:space="0" w:color="auto"/>
        <w:bottom w:val="none" w:sz="0" w:space="0" w:color="auto"/>
        <w:right w:val="none" w:sz="0" w:space="0" w:color="auto"/>
      </w:divBdr>
    </w:div>
    <w:div w:id="1394693122">
      <w:bodyDiv w:val="1"/>
      <w:marLeft w:val="0"/>
      <w:marRight w:val="0"/>
      <w:marTop w:val="0"/>
      <w:marBottom w:val="0"/>
      <w:divBdr>
        <w:top w:val="none" w:sz="0" w:space="0" w:color="auto"/>
        <w:left w:val="none" w:sz="0" w:space="0" w:color="auto"/>
        <w:bottom w:val="none" w:sz="0" w:space="0" w:color="auto"/>
        <w:right w:val="none" w:sz="0" w:space="0" w:color="auto"/>
      </w:divBdr>
    </w:div>
    <w:div w:id="1401756258">
      <w:bodyDiv w:val="1"/>
      <w:marLeft w:val="0"/>
      <w:marRight w:val="0"/>
      <w:marTop w:val="0"/>
      <w:marBottom w:val="0"/>
      <w:divBdr>
        <w:top w:val="none" w:sz="0" w:space="0" w:color="auto"/>
        <w:left w:val="none" w:sz="0" w:space="0" w:color="auto"/>
        <w:bottom w:val="none" w:sz="0" w:space="0" w:color="auto"/>
        <w:right w:val="none" w:sz="0" w:space="0" w:color="auto"/>
      </w:divBdr>
    </w:div>
    <w:div w:id="1433360088">
      <w:bodyDiv w:val="1"/>
      <w:marLeft w:val="0"/>
      <w:marRight w:val="0"/>
      <w:marTop w:val="0"/>
      <w:marBottom w:val="0"/>
      <w:divBdr>
        <w:top w:val="none" w:sz="0" w:space="0" w:color="auto"/>
        <w:left w:val="none" w:sz="0" w:space="0" w:color="auto"/>
        <w:bottom w:val="none" w:sz="0" w:space="0" w:color="auto"/>
        <w:right w:val="none" w:sz="0" w:space="0" w:color="auto"/>
      </w:divBdr>
    </w:div>
    <w:div w:id="1490293504">
      <w:bodyDiv w:val="1"/>
      <w:marLeft w:val="0"/>
      <w:marRight w:val="0"/>
      <w:marTop w:val="0"/>
      <w:marBottom w:val="0"/>
      <w:divBdr>
        <w:top w:val="none" w:sz="0" w:space="0" w:color="auto"/>
        <w:left w:val="none" w:sz="0" w:space="0" w:color="auto"/>
        <w:bottom w:val="none" w:sz="0" w:space="0" w:color="auto"/>
        <w:right w:val="none" w:sz="0" w:space="0" w:color="auto"/>
      </w:divBdr>
    </w:div>
    <w:div w:id="1502962795">
      <w:bodyDiv w:val="1"/>
      <w:marLeft w:val="0"/>
      <w:marRight w:val="0"/>
      <w:marTop w:val="0"/>
      <w:marBottom w:val="0"/>
      <w:divBdr>
        <w:top w:val="none" w:sz="0" w:space="0" w:color="auto"/>
        <w:left w:val="none" w:sz="0" w:space="0" w:color="auto"/>
        <w:bottom w:val="none" w:sz="0" w:space="0" w:color="auto"/>
        <w:right w:val="none" w:sz="0" w:space="0" w:color="auto"/>
      </w:divBdr>
    </w:div>
    <w:div w:id="1587956469">
      <w:bodyDiv w:val="1"/>
      <w:marLeft w:val="0"/>
      <w:marRight w:val="0"/>
      <w:marTop w:val="0"/>
      <w:marBottom w:val="0"/>
      <w:divBdr>
        <w:top w:val="none" w:sz="0" w:space="0" w:color="auto"/>
        <w:left w:val="none" w:sz="0" w:space="0" w:color="auto"/>
        <w:bottom w:val="none" w:sz="0" w:space="0" w:color="auto"/>
        <w:right w:val="none" w:sz="0" w:space="0" w:color="auto"/>
      </w:divBdr>
    </w:div>
    <w:div w:id="1612466999">
      <w:bodyDiv w:val="1"/>
      <w:marLeft w:val="0"/>
      <w:marRight w:val="0"/>
      <w:marTop w:val="0"/>
      <w:marBottom w:val="0"/>
      <w:divBdr>
        <w:top w:val="none" w:sz="0" w:space="0" w:color="auto"/>
        <w:left w:val="none" w:sz="0" w:space="0" w:color="auto"/>
        <w:bottom w:val="none" w:sz="0" w:space="0" w:color="auto"/>
        <w:right w:val="none" w:sz="0" w:space="0" w:color="auto"/>
      </w:divBdr>
    </w:div>
    <w:div w:id="1633362461">
      <w:bodyDiv w:val="1"/>
      <w:marLeft w:val="0"/>
      <w:marRight w:val="0"/>
      <w:marTop w:val="0"/>
      <w:marBottom w:val="0"/>
      <w:divBdr>
        <w:top w:val="none" w:sz="0" w:space="0" w:color="auto"/>
        <w:left w:val="none" w:sz="0" w:space="0" w:color="auto"/>
        <w:bottom w:val="none" w:sz="0" w:space="0" w:color="auto"/>
        <w:right w:val="none" w:sz="0" w:space="0" w:color="auto"/>
      </w:divBdr>
    </w:div>
    <w:div w:id="1648167223">
      <w:bodyDiv w:val="1"/>
      <w:marLeft w:val="0"/>
      <w:marRight w:val="0"/>
      <w:marTop w:val="0"/>
      <w:marBottom w:val="0"/>
      <w:divBdr>
        <w:top w:val="none" w:sz="0" w:space="0" w:color="auto"/>
        <w:left w:val="none" w:sz="0" w:space="0" w:color="auto"/>
        <w:bottom w:val="none" w:sz="0" w:space="0" w:color="auto"/>
        <w:right w:val="none" w:sz="0" w:space="0" w:color="auto"/>
      </w:divBdr>
    </w:div>
    <w:div w:id="1651985799">
      <w:bodyDiv w:val="1"/>
      <w:marLeft w:val="0"/>
      <w:marRight w:val="0"/>
      <w:marTop w:val="0"/>
      <w:marBottom w:val="0"/>
      <w:divBdr>
        <w:top w:val="none" w:sz="0" w:space="0" w:color="auto"/>
        <w:left w:val="none" w:sz="0" w:space="0" w:color="auto"/>
        <w:bottom w:val="none" w:sz="0" w:space="0" w:color="auto"/>
        <w:right w:val="none" w:sz="0" w:space="0" w:color="auto"/>
      </w:divBdr>
    </w:div>
    <w:div w:id="1723865814">
      <w:bodyDiv w:val="1"/>
      <w:marLeft w:val="0"/>
      <w:marRight w:val="0"/>
      <w:marTop w:val="0"/>
      <w:marBottom w:val="0"/>
      <w:divBdr>
        <w:top w:val="none" w:sz="0" w:space="0" w:color="auto"/>
        <w:left w:val="none" w:sz="0" w:space="0" w:color="auto"/>
        <w:bottom w:val="none" w:sz="0" w:space="0" w:color="auto"/>
        <w:right w:val="none" w:sz="0" w:space="0" w:color="auto"/>
      </w:divBdr>
    </w:div>
    <w:div w:id="1727492502">
      <w:bodyDiv w:val="1"/>
      <w:marLeft w:val="0"/>
      <w:marRight w:val="0"/>
      <w:marTop w:val="0"/>
      <w:marBottom w:val="0"/>
      <w:divBdr>
        <w:top w:val="none" w:sz="0" w:space="0" w:color="auto"/>
        <w:left w:val="none" w:sz="0" w:space="0" w:color="auto"/>
        <w:bottom w:val="none" w:sz="0" w:space="0" w:color="auto"/>
        <w:right w:val="none" w:sz="0" w:space="0" w:color="auto"/>
      </w:divBdr>
    </w:div>
    <w:div w:id="1739326972">
      <w:bodyDiv w:val="1"/>
      <w:marLeft w:val="0"/>
      <w:marRight w:val="0"/>
      <w:marTop w:val="0"/>
      <w:marBottom w:val="0"/>
      <w:divBdr>
        <w:top w:val="none" w:sz="0" w:space="0" w:color="auto"/>
        <w:left w:val="none" w:sz="0" w:space="0" w:color="auto"/>
        <w:bottom w:val="none" w:sz="0" w:space="0" w:color="auto"/>
        <w:right w:val="none" w:sz="0" w:space="0" w:color="auto"/>
      </w:divBdr>
    </w:div>
    <w:div w:id="1779258497">
      <w:bodyDiv w:val="1"/>
      <w:marLeft w:val="0"/>
      <w:marRight w:val="0"/>
      <w:marTop w:val="0"/>
      <w:marBottom w:val="0"/>
      <w:divBdr>
        <w:top w:val="none" w:sz="0" w:space="0" w:color="auto"/>
        <w:left w:val="none" w:sz="0" w:space="0" w:color="auto"/>
        <w:bottom w:val="none" w:sz="0" w:space="0" w:color="auto"/>
        <w:right w:val="none" w:sz="0" w:space="0" w:color="auto"/>
      </w:divBdr>
    </w:div>
    <w:div w:id="1779906183">
      <w:bodyDiv w:val="1"/>
      <w:marLeft w:val="0"/>
      <w:marRight w:val="0"/>
      <w:marTop w:val="0"/>
      <w:marBottom w:val="0"/>
      <w:divBdr>
        <w:top w:val="none" w:sz="0" w:space="0" w:color="auto"/>
        <w:left w:val="none" w:sz="0" w:space="0" w:color="auto"/>
        <w:bottom w:val="none" w:sz="0" w:space="0" w:color="auto"/>
        <w:right w:val="none" w:sz="0" w:space="0" w:color="auto"/>
      </w:divBdr>
    </w:div>
    <w:div w:id="1790011752">
      <w:bodyDiv w:val="1"/>
      <w:marLeft w:val="0"/>
      <w:marRight w:val="0"/>
      <w:marTop w:val="0"/>
      <w:marBottom w:val="0"/>
      <w:divBdr>
        <w:top w:val="none" w:sz="0" w:space="0" w:color="auto"/>
        <w:left w:val="none" w:sz="0" w:space="0" w:color="auto"/>
        <w:bottom w:val="none" w:sz="0" w:space="0" w:color="auto"/>
        <w:right w:val="none" w:sz="0" w:space="0" w:color="auto"/>
      </w:divBdr>
    </w:div>
    <w:div w:id="1832064310">
      <w:bodyDiv w:val="1"/>
      <w:marLeft w:val="0"/>
      <w:marRight w:val="0"/>
      <w:marTop w:val="0"/>
      <w:marBottom w:val="0"/>
      <w:divBdr>
        <w:top w:val="none" w:sz="0" w:space="0" w:color="auto"/>
        <w:left w:val="none" w:sz="0" w:space="0" w:color="auto"/>
        <w:bottom w:val="none" w:sz="0" w:space="0" w:color="auto"/>
        <w:right w:val="none" w:sz="0" w:space="0" w:color="auto"/>
      </w:divBdr>
    </w:div>
    <w:div w:id="1832866318">
      <w:bodyDiv w:val="1"/>
      <w:marLeft w:val="0"/>
      <w:marRight w:val="0"/>
      <w:marTop w:val="0"/>
      <w:marBottom w:val="0"/>
      <w:divBdr>
        <w:top w:val="none" w:sz="0" w:space="0" w:color="auto"/>
        <w:left w:val="none" w:sz="0" w:space="0" w:color="auto"/>
        <w:bottom w:val="none" w:sz="0" w:space="0" w:color="auto"/>
        <w:right w:val="none" w:sz="0" w:space="0" w:color="auto"/>
      </w:divBdr>
    </w:div>
    <w:div w:id="1841002359">
      <w:bodyDiv w:val="1"/>
      <w:marLeft w:val="0"/>
      <w:marRight w:val="0"/>
      <w:marTop w:val="0"/>
      <w:marBottom w:val="0"/>
      <w:divBdr>
        <w:top w:val="none" w:sz="0" w:space="0" w:color="auto"/>
        <w:left w:val="none" w:sz="0" w:space="0" w:color="auto"/>
        <w:bottom w:val="none" w:sz="0" w:space="0" w:color="auto"/>
        <w:right w:val="none" w:sz="0" w:space="0" w:color="auto"/>
      </w:divBdr>
    </w:div>
    <w:div w:id="1848472945">
      <w:bodyDiv w:val="1"/>
      <w:marLeft w:val="0"/>
      <w:marRight w:val="0"/>
      <w:marTop w:val="0"/>
      <w:marBottom w:val="0"/>
      <w:divBdr>
        <w:top w:val="none" w:sz="0" w:space="0" w:color="auto"/>
        <w:left w:val="none" w:sz="0" w:space="0" w:color="auto"/>
        <w:bottom w:val="none" w:sz="0" w:space="0" w:color="auto"/>
        <w:right w:val="none" w:sz="0" w:space="0" w:color="auto"/>
      </w:divBdr>
      <w:divsChild>
        <w:div w:id="151676825">
          <w:marLeft w:val="0"/>
          <w:marRight w:val="0"/>
          <w:marTop w:val="0"/>
          <w:marBottom w:val="0"/>
          <w:divBdr>
            <w:top w:val="none" w:sz="0" w:space="0" w:color="auto"/>
            <w:left w:val="none" w:sz="0" w:space="0" w:color="auto"/>
            <w:bottom w:val="none" w:sz="0" w:space="0" w:color="auto"/>
            <w:right w:val="none" w:sz="0" w:space="0" w:color="auto"/>
          </w:divBdr>
        </w:div>
      </w:divsChild>
    </w:div>
    <w:div w:id="1851213638">
      <w:bodyDiv w:val="1"/>
      <w:marLeft w:val="0"/>
      <w:marRight w:val="0"/>
      <w:marTop w:val="0"/>
      <w:marBottom w:val="0"/>
      <w:divBdr>
        <w:top w:val="none" w:sz="0" w:space="0" w:color="auto"/>
        <w:left w:val="none" w:sz="0" w:space="0" w:color="auto"/>
        <w:bottom w:val="none" w:sz="0" w:space="0" w:color="auto"/>
        <w:right w:val="none" w:sz="0" w:space="0" w:color="auto"/>
      </w:divBdr>
    </w:div>
    <w:div w:id="1853227170">
      <w:bodyDiv w:val="1"/>
      <w:marLeft w:val="0"/>
      <w:marRight w:val="0"/>
      <w:marTop w:val="0"/>
      <w:marBottom w:val="0"/>
      <w:divBdr>
        <w:top w:val="none" w:sz="0" w:space="0" w:color="auto"/>
        <w:left w:val="none" w:sz="0" w:space="0" w:color="auto"/>
        <w:bottom w:val="none" w:sz="0" w:space="0" w:color="auto"/>
        <w:right w:val="none" w:sz="0" w:space="0" w:color="auto"/>
      </w:divBdr>
    </w:div>
    <w:div w:id="1873222558">
      <w:bodyDiv w:val="1"/>
      <w:marLeft w:val="0"/>
      <w:marRight w:val="0"/>
      <w:marTop w:val="0"/>
      <w:marBottom w:val="0"/>
      <w:divBdr>
        <w:top w:val="none" w:sz="0" w:space="0" w:color="auto"/>
        <w:left w:val="none" w:sz="0" w:space="0" w:color="auto"/>
        <w:bottom w:val="none" w:sz="0" w:space="0" w:color="auto"/>
        <w:right w:val="none" w:sz="0" w:space="0" w:color="auto"/>
      </w:divBdr>
      <w:divsChild>
        <w:div w:id="2047292259">
          <w:marLeft w:val="0"/>
          <w:marRight w:val="0"/>
          <w:marTop w:val="0"/>
          <w:marBottom w:val="0"/>
          <w:divBdr>
            <w:top w:val="none" w:sz="0" w:space="0" w:color="auto"/>
            <w:left w:val="none" w:sz="0" w:space="0" w:color="auto"/>
            <w:bottom w:val="none" w:sz="0" w:space="0" w:color="auto"/>
            <w:right w:val="none" w:sz="0" w:space="0" w:color="auto"/>
          </w:divBdr>
        </w:div>
      </w:divsChild>
    </w:div>
    <w:div w:id="1876456089">
      <w:bodyDiv w:val="1"/>
      <w:marLeft w:val="0"/>
      <w:marRight w:val="0"/>
      <w:marTop w:val="0"/>
      <w:marBottom w:val="0"/>
      <w:divBdr>
        <w:top w:val="none" w:sz="0" w:space="0" w:color="auto"/>
        <w:left w:val="none" w:sz="0" w:space="0" w:color="auto"/>
        <w:bottom w:val="none" w:sz="0" w:space="0" w:color="auto"/>
        <w:right w:val="none" w:sz="0" w:space="0" w:color="auto"/>
      </w:divBdr>
    </w:div>
    <w:div w:id="1895582918">
      <w:bodyDiv w:val="1"/>
      <w:marLeft w:val="0"/>
      <w:marRight w:val="0"/>
      <w:marTop w:val="0"/>
      <w:marBottom w:val="0"/>
      <w:divBdr>
        <w:top w:val="none" w:sz="0" w:space="0" w:color="auto"/>
        <w:left w:val="none" w:sz="0" w:space="0" w:color="auto"/>
        <w:bottom w:val="none" w:sz="0" w:space="0" w:color="auto"/>
        <w:right w:val="none" w:sz="0" w:space="0" w:color="auto"/>
      </w:divBdr>
    </w:div>
    <w:div w:id="1926069165">
      <w:bodyDiv w:val="1"/>
      <w:marLeft w:val="0"/>
      <w:marRight w:val="0"/>
      <w:marTop w:val="0"/>
      <w:marBottom w:val="0"/>
      <w:divBdr>
        <w:top w:val="none" w:sz="0" w:space="0" w:color="auto"/>
        <w:left w:val="none" w:sz="0" w:space="0" w:color="auto"/>
        <w:bottom w:val="none" w:sz="0" w:space="0" w:color="auto"/>
        <w:right w:val="none" w:sz="0" w:space="0" w:color="auto"/>
      </w:divBdr>
    </w:div>
    <w:div w:id="1953593098">
      <w:bodyDiv w:val="1"/>
      <w:marLeft w:val="0"/>
      <w:marRight w:val="0"/>
      <w:marTop w:val="0"/>
      <w:marBottom w:val="0"/>
      <w:divBdr>
        <w:top w:val="none" w:sz="0" w:space="0" w:color="auto"/>
        <w:left w:val="none" w:sz="0" w:space="0" w:color="auto"/>
        <w:bottom w:val="none" w:sz="0" w:space="0" w:color="auto"/>
        <w:right w:val="none" w:sz="0" w:space="0" w:color="auto"/>
      </w:divBdr>
    </w:div>
    <w:div w:id="1985507417">
      <w:bodyDiv w:val="1"/>
      <w:marLeft w:val="0"/>
      <w:marRight w:val="0"/>
      <w:marTop w:val="0"/>
      <w:marBottom w:val="0"/>
      <w:divBdr>
        <w:top w:val="none" w:sz="0" w:space="0" w:color="auto"/>
        <w:left w:val="none" w:sz="0" w:space="0" w:color="auto"/>
        <w:bottom w:val="none" w:sz="0" w:space="0" w:color="auto"/>
        <w:right w:val="none" w:sz="0" w:space="0" w:color="auto"/>
      </w:divBdr>
    </w:div>
    <w:div w:id="2055883426">
      <w:bodyDiv w:val="1"/>
      <w:marLeft w:val="0"/>
      <w:marRight w:val="0"/>
      <w:marTop w:val="0"/>
      <w:marBottom w:val="0"/>
      <w:divBdr>
        <w:top w:val="none" w:sz="0" w:space="0" w:color="auto"/>
        <w:left w:val="none" w:sz="0" w:space="0" w:color="auto"/>
        <w:bottom w:val="none" w:sz="0" w:space="0" w:color="auto"/>
        <w:right w:val="none" w:sz="0" w:space="0" w:color="auto"/>
      </w:divBdr>
      <w:divsChild>
        <w:div w:id="844517528">
          <w:marLeft w:val="0"/>
          <w:marRight w:val="0"/>
          <w:marTop w:val="0"/>
          <w:marBottom w:val="0"/>
          <w:divBdr>
            <w:top w:val="none" w:sz="0" w:space="0" w:color="auto"/>
            <w:left w:val="none" w:sz="0" w:space="0" w:color="auto"/>
            <w:bottom w:val="none" w:sz="0" w:space="0" w:color="auto"/>
            <w:right w:val="none" w:sz="0" w:space="0" w:color="auto"/>
          </w:divBdr>
        </w:div>
      </w:divsChild>
    </w:div>
    <w:div w:id="2067683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4.xml"/><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chart" Target="charts/chart6.xml"/><Relationship Id="rId10" Type="http://schemas.openxmlformats.org/officeDocument/2006/relationships/chart" Target="charts/chart2.xm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5.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rcot.com\SASShare\sasdata01\lfa\data\2024_LTLF_Updatedwith2023\Documents%20For%20Posting\New%20Posting\For_Calculations_Not_Posting\historical%20annual%20energy.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rcot.com\departments\Load%20Forecasting%20and%20Analysis\ASimon\SAWG_DATA\WINTER\ERCOT_NET15_WINTER_PEAK.csv"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rcot.com\SASShare\sasdata01\lfa\data\2024_LTLF_Official_Presented\graphs%20for%20sawg.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ercot.com\SASShare\sasdata01\lfa\data\2024_LTLF_Official_Presented\graphs%20for%20sawg.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Historical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2.5462668816039986E-17"/>
                  <c:y val="8.333333333333324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EE7-4720-8BB5-6AD2A5CA89A8}"/>
                </c:ext>
              </c:extLst>
            </c:dLbl>
            <c:dLbl>
              <c:idx val="21"/>
              <c:layout>
                <c:manualLayout>
                  <c:x val="-0.15"/>
                  <c:y val="-0.12500000000000008"/>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E7-4720-8BB5-6AD2A5CA89A8}"/>
                </c:ext>
              </c:extLst>
            </c:dLbl>
            <c:numFmt formatCode="#,##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Sheet1!$A$2:$A$33</c:f>
              <c:numCache>
                <c:formatCode>General</c:formatCode>
                <c:ptCount val="32"/>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pt idx="23">
                  <c:v>2025</c:v>
                </c:pt>
                <c:pt idx="24">
                  <c:v>2026</c:v>
                </c:pt>
                <c:pt idx="25">
                  <c:v>2027</c:v>
                </c:pt>
                <c:pt idx="26">
                  <c:v>2028</c:v>
                </c:pt>
                <c:pt idx="27">
                  <c:v>2029</c:v>
                </c:pt>
                <c:pt idx="28">
                  <c:v>2030</c:v>
                </c:pt>
                <c:pt idx="29">
                  <c:v>2031</c:v>
                </c:pt>
                <c:pt idx="30">
                  <c:v>2032</c:v>
                </c:pt>
                <c:pt idx="31">
                  <c:v>2033</c:v>
                </c:pt>
              </c:numCache>
            </c:numRef>
          </c:cat>
          <c:val>
            <c:numRef>
              <c:f>Sheet1!$B$2:$B$33</c:f>
              <c:numCache>
                <c:formatCode>General</c:formatCode>
                <c:ptCount val="32"/>
                <c:pt idx="0">
                  <c:v>56068.02</c:v>
                </c:pt>
                <c:pt idx="1">
                  <c:v>60029.66</c:v>
                </c:pt>
                <c:pt idx="2">
                  <c:v>58483.7</c:v>
                </c:pt>
                <c:pt idx="3">
                  <c:v>60212.68</c:v>
                </c:pt>
                <c:pt idx="4">
                  <c:v>62202.8</c:v>
                </c:pt>
                <c:pt idx="5">
                  <c:v>62114.75</c:v>
                </c:pt>
                <c:pt idx="6">
                  <c:v>62102.96</c:v>
                </c:pt>
                <c:pt idx="7">
                  <c:v>63407.19</c:v>
                </c:pt>
                <c:pt idx="8">
                  <c:v>65713.45</c:v>
                </c:pt>
                <c:pt idx="9">
                  <c:v>68317.67</c:v>
                </c:pt>
                <c:pt idx="10">
                  <c:v>66557.78</c:v>
                </c:pt>
                <c:pt idx="11">
                  <c:v>67252.990000000005</c:v>
                </c:pt>
                <c:pt idx="12">
                  <c:v>66464.06</c:v>
                </c:pt>
                <c:pt idx="13">
                  <c:v>69620.41</c:v>
                </c:pt>
                <c:pt idx="14">
                  <c:v>71092.61</c:v>
                </c:pt>
                <c:pt idx="15">
                  <c:v>69496.240000000005</c:v>
                </c:pt>
                <c:pt idx="16">
                  <c:v>73308.149999999994</c:v>
                </c:pt>
                <c:pt idx="17">
                  <c:v>74665.58</c:v>
                </c:pt>
                <c:pt idx="18">
                  <c:v>74327.839999999997</c:v>
                </c:pt>
                <c:pt idx="19">
                  <c:v>73650.570000000007</c:v>
                </c:pt>
                <c:pt idx="20">
                  <c:v>80037.84</c:v>
                </c:pt>
                <c:pt idx="21">
                  <c:v>85464.12</c:v>
                </c:pt>
              </c:numCache>
            </c:numRef>
          </c:val>
          <c:smooth val="0"/>
          <c:extLst>
            <c:ext xmlns:c16="http://schemas.microsoft.com/office/drawing/2014/chart" uri="{C3380CC4-5D6E-409C-BE32-E72D297353CC}">
              <c16:uniqueId val="{00000002-9EE7-4720-8BB5-6AD2A5CA89A8}"/>
            </c:ext>
          </c:extLst>
        </c:ser>
        <c:ser>
          <c:idx val="1"/>
          <c:order val="1"/>
          <c:tx>
            <c:strRef>
              <c:f>Sheet1!$C$1</c:f>
              <c:strCache>
                <c:ptCount val="1"/>
                <c:pt idx="0">
                  <c:v>Forecast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22"/>
              <c:layout>
                <c:manualLayout>
                  <c:x val="-4.7222222222222221E-2"/>
                  <c:y val="9.722222222222214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EE7-4720-8BB5-6AD2A5CA89A8}"/>
                </c:ext>
              </c:extLst>
            </c:dLbl>
            <c:dLbl>
              <c:idx val="31"/>
              <c:layout>
                <c:manualLayout>
                  <c:x val="-2.4621215792951533E-2"/>
                  <c:y val="-7.0751175904992081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EE7-4720-8BB5-6AD2A5CA89A8}"/>
                </c:ext>
              </c:extLst>
            </c:dLbl>
            <c:numFmt formatCode="#,##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Sheet1!$A$2:$A$33</c:f>
              <c:numCache>
                <c:formatCode>General</c:formatCode>
                <c:ptCount val="32"/>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pt idx="23">
                  <c:v>2025</c:v>
                </c:pt>
                <c:pt idx="24">
                  <c:v>2026</c:v>
                </c:pt>
                <c:pt idx="25">
                  <c:v>2027</c:v>
                </c:pt>
                <c:pt idx="26">
                  <c:v>2028</c:v>
                </c:pt>
                <c:pt idx="27">
                  <c:v>2029</c:v>
                </c:pt>
                <c:pt idx="28">
                  <c:v>2030</c:v>
                </c:pt>
                <c:pt idx="29">
                  <c:v>2031</c:v>
                </c:pt>
                <c:pt idx="30">
                  <c:v>2032</c:v>
                </c:pt>
                <c:pt idx="31">
                  <c:v>2033</c:v>
                </c:pt>
              </c:numCache>
            </c:numRef>
          </c:cat>
          <c:val>
            <c:numRef>
              <c:f>Sheet1!$C$2:$C$33</c:f>
              <c:numCache>
                <c:formatCode>General</c:formatCode>
                <c:ptCount val="32"/>
                <c:pt idx="22">
                  <c:v>86017.307971999995</c:v>
                </c:pt>
                <c:pt idx="23">
                  <c:v>90472.012245000005</c:v>
                </c:pt>
                <c:pt idx="24">
                  <c:v>106405.06559</c:v>
                </c:pt>
                <c:pt idx="25">
                  <c:v>121140.3275</c:v>
                </c:pt>
                <c:pt idx="26">
                  <c:v>137318.72375999999</c:v>
                </c:pt>
                <c:pt idx="27">
                  <c:v>140872.3192</c:v>
                </c:pt>
                <c:pt idx="28">
                  <c:v>147976.84208999999</c:v>
                </c:pt>
                <c:pt idx="29">
                  <c:v>149758.15289</c:v>
                </c:pt>
                <c:pt idx="30">
                  <c:v>151510.41680000001</c:v>
                </c:pt>
                <c:pt idx="31">
                  <c:v>153229.84757000001</c:v>
                </c:pt>
              </c:numCache>
            </c:numRef>
          </c:val>
          <c:smooth val="0"/>
          <c:extLst>
            <c:ext xmlns:c16="http://schemas.microsoft.com/office/drawing/2014/chart" uri="{C3380CC4-5D6E-409C-BE32-E72D297353CC}">
              <c16:uniqueId val="{00000005-9EE7-4720-8BB5-6AD2A5CA89A8}"/>
            </c:ext>
          </c:extLst>
        </c:ser>
        <c:dLbls>
          <c:showLegendKey val="0"/>
          <c:showVal val="0"/>
          <c:showCatName val="0"/>
          <c:showSerName val="0"/>
          <c:showPercent val="0"/>
          <c:showBubbleSize val="0"/>
        </c:dLbls>
        <c:marker val="1"/>
        <c:smooth val="0"/>
        <c:axId val="858681487"/>
        <c:axId val="2006286095"/>
      </c:lineChart>
      <c:catAx>
        <c:axId val="8586814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50" b="0" i="0" u="none" strike="noStrike" kern="1200" baseline="0">
                <a:solidFill>
                  <a:sysClr val="windowText" lastClr="000000"/>
                </a:solidFill>
                <a:latin typeface="+mn-lt"/>
                <a:ea typeface="+mn-ea"/>
                <a:cs typeface="+mn-cs"/>
              </a:defRPr>
            </a:pPr>
            <a:endParaRPr lang="en-US"/>
          </a:p>
        </c:txPr>
        <c:crossAx val="2006286095"/>
        <c:crosses val="autoZero"/>
        <c:auto val="1"/>
        <c:lblAlgn val="ctr"/>
        <c:lblOffset val="100"/>
        <c:tickLblSkip val="2"/>
        <c:tickMarkSkip val="2"/>
        <c:noMultiLvlLbl val="0"/>
      </c:catAx>
      <c:valAx>
        <c:axId val="2006286095"/>
        <c:scaling>
          <c:orientation val="minMax"/>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baseline="0">
                    <a:solidFill>
                      <a:sysClr val="windowText" lastClr="000000"/>
                    </a:solidFill>
                  </a:rPr>
                  <a:t>MW</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50" b="0" i="0" u="none" strike="noStrike" kern="1200" baseline="0">
                <a:solidFill>
                  <a:sysClr val="windowText" lastClr="000000"/>
                </a:solidFill>
                <a:latin typeface="+mn-lt"/>
                <a:ea typeface="+mn-ea"/>
                <a:cs typeface="+mn-cs"/>
              </a:defRPr>
            </a:pPr>
            <a:endParaRPr lang="en-US"/>
          </a:p>
        </c:txPr>
        <c:crossAx val="858681487"/>
        <c:crossesAt val="2"/>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90036079783974"/>
          <c:y val="0.13262090056858558"/>
          <c:w val="0.81857012109797511"/>
          <c:h val="0.64590855613887554"/>
        </c:manualLayout>
      </c:layout>
      <c:lineChart>
        <c:grouping val="standard"/>
        <c:varyColors val="0"/>
        <c:ser>
          <c:idx val="1"/>
          <c:order val="1"/>
          <c:tx>
            <c:strRef>
              <c:f>Sheet2!$G$1</c:f>
              <c:strCache>
                <c:ptCount val="1"/>
                <c:pt idx="0">
                  <c:v> Historical Annual Energy </c:v>
                </c:pt>
              </c:strCache>
            </c:strRef>
          </c:tx>
          <c:spPr>
            <a:ln w="28575" cap="rnd">
              <a:solidFill>
                <a:schemeClr val="accent5">
                  <a:lumMod val="60000"/>
                  <a:lumOff val="40000"/>
                </a:schemeClr>
              </a:solidFill>
              <a:round/>
            </a:ln>
            <a:effectLst/>
          </c:spPr>
          <c:marker>
            <c:symbol val="none"/>
          </c:marker>
          <c:dLbls>
            <c:dLbl>
              <c:idx val="0"/>
              <c:layout>
                <c:manualLayout>
                  <c:x val="1.4099102165543428E-2"/>
                  <c:y val="-0.14241264724053515"/>
                </c:manualLayout>
              </c:layout>
              <c:tx>
                <c:rich>
                  <a:bodyPr/>
                  <a:lstStyle/>
                  <a:p>
                    <a:r>
                      <a:rPr lang="en-US"/>
                      <a:t>2002</a:t>
                    </a:r>
                    <a:fld id="{B334168A-23BA-4109-805E-365AE5AD6CC4}" type="CATEGORYNAME">
                      <a:rPr lang="en-US"/>
                      <a:pPr/>
                      <a:t>[CATEGORY NAME]</a:t>
                    </a:fld>
                    <a:r>
                      <a:rPr lang="en-US" baseline="0"/>
                      <a:t>, </a:t>
                    </a:r>
                    <a:fld id="{634B1701-16C3-4C52-800D-89D8E2230D01}" type="VALUE">
                      <a:rPr lang="en-US"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F31C-4574-86FD-D5BA95329E81}"/>
                </c:ext>
              </c:extLst>
            </c:dLbl>
            <c:dLbl>
              <c:idx val="21"/>
              <c:layout>
                <c:manualLayout>
                  <c:x val="-0.13832853025936601"/>
                  <c:y val="-8.0723280594123342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7E-4609-90B9-7DA0ECD8F774}"/>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Sheet2!$F:$F</c:f>
              <c:numCache>
                <c:formatCode>General</c:formatCode>
                <c:ptCount val="1048576"/>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numCache>
            </c:numRef>
          </c:cat>
          <c:val>
            <c:numRef>
              <c:f>Sheet2!$G$2:$G$30</c:f>
              <c:numCache>
                <c:formatCode>_(* #,##0_);_(* \(#,##0\);_(* "-"??_);_(@_)</c:formatCode>
                <c:ptCount val="29"/>
                <c:pt idx="0">
                  <c:v>279859.68707985303</c:v>
                </c:pt>
                <c:pt idx="1">
                  <c:v>284353.90649999998</c:v>
                </c:pt>
                <c:pt idx="2">
                  <c:v>288361.9987</c:v>
                </c:pt>
                <c:pt idx="3">
                  <c:v>298432.47529999999</c:v>
                </c:pt>
                <c:pt idx="4">
                  <c:v>304957.9249240249</c:v>
                </c:pt>
                <c:pt idx="5">
                  <c:v>306569.30899526493</c:v>
                </c:pt>
                <c:pt idx="6">
                  <c:v>310833.73220000003</c:v>
                </c:pt>
                <c:pt idx="7">
                  <c:v>307366.35633113945</c:v>
                </c:pt>
                <c:pt idx="8">
                  <c:v>318268.53254617512</c:v>
                </c:pt>
                <c:pt idx="9">
                  <c:v>333968.61783041753</c:v>
                </c:pt>
                <c:pt idx="10">
                  <c:v>324986.46820685791</c:v>
                </c:pt>
                <c:pt idx="11">
                  <c:v>331715.67967867851</c:v>
                </c:pt>
                <c:pt idx="12">
                  <c:v>340115.32008686021</c:v>
                </c:pt>
                <c:pt idx="13">
                  <c:v>347470.25209999998</c:v>
                </c:pt>
                <c:pt idx="14">
                  <c:v>351344.21178865759</c:v>
                </c:pt>
                <c:pt idx="15">
                  <c:v>357227.08584808465</c:v>
                </c:pt>
                <c:pt idx="16">
                  <c:v>376506.78886176116</c:v>
                </c:pt>
                <c:pt idx="17">
                  <c:v>384318.66800328199</c:v>
                </c:pt>
                <c:pt idx="18">
                  <c:v>382572.91081265599</c:v>
                </c:pt>
                <c:pt idx="19">
                  <c:v>396848.43020052911</c:v>
                </c:pt>
                <c:pt idx="20">
                  <c:v>431665.12888867501</c:v>
                </c:pt>
                <c:pt idx="21">
                  <c:v>444548.95920000062</c:v>
                </c:pt>
              </c:numCache>
            </c:numRef>
          </c:val>
          <c:smooth val="0"/>
          <c:extLst>
            <c:ext xmlns:c16="http://schemas.microsoft.com/office/drawing/2014/chart" uri="{C3380CC4-5D6E-409C-BE32-E72D297353CC}">
              <c16:uniqueId val="{00000001-F31C-4574-86FD-D5BA95329E81}"/>
            </c:ext>
          </c:extLst>
        </c:ser>
        <c:ser>
          <c:idx val="2"/>
          <c:order val="2"/>
          <c:tx>
            <c:strRef>
              <c:f>Sheet2!#REF!</c:f>
              <c:strCache>
                <c:ptCount val="1"/>
                <c:pt idx="0">
                  <c:v>#REF!</c:v>
                </c:pt>
              </c:strCache>
            </c:strRef>
          </c:tx>
          <c:spPr>
            <a:ln w="28575" cap="rnd">
              <a:solidFill>
                <a:schemeClr val="accent3"/>
              </a:solidFill>
              <a:round/>
            </a:ln>
            <a:effectLst/>
          </c:spPr>
          <c:marker>
            <c:symbol val="none"/>
          </c:marker>
          <c:cat>
            <c:numRef>
              <c:f>Sheet2!$F:$F</c:f>
              <c:numCache>
                <c:formatCode>General</c:formatCode>
                <c:ptCount val="1048576"/>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numCache>
            </c:numRef>
          </c:cat>
          <c:val>
            <c:numRef>
              <c:f>Sheet2!#REF!</c:f>
              <c:numCache>
                <c:formatCode>General</c:formatCode>
                <c:ptCount val="1"/>
                <c:pt idx="0">
                  <c:v>1</c:v>
                </c:pt>
              </c:numCache>
            </c:numRef>
          </c:val>
          <c:smooth val="0"/>
          <c:extLst>
            <c:ext xmlns:c16="http://schemas.microsoft.com/office/drawing/2014/chart" uri="{C3380CC4-5D6E-409C-BE32-E72D297353CC}">
              <c16:uniqueId val="{00000002-F31C-4574-86FD-D5BA95329E81}"/>
            </c:ext>
          </c:extLst>
        </c:ser>
        <c:ser>
          <c:idx val="3"/>
          <c:order val="3"/>
          <c:tx>
            <c:strRef>
              <c:f>Sheet2!$H$1</c:f>
              <c:strCache>
                <c:ptCount val="1"/>
                <c:pt idx="0">
                  <c:v> Forecast </c:v>
                </c:pt>
              </c:strCache>
            </c:strRef>
          </c:tx>
          <c:spPr>
            <a:ln w="28575" cap="rnd">
              <a:solidFill>
                <a:schemeClr val="accent1">
                  <a:lumMod val="75000"/>
                </a:schemeClr>
              </a:solidFill>
              <a:round/>
            </a:ln>
            <a:effectLst/>
          </c:spPr>
          <c:marker>
            <c:symbol val="none"/>
          </c:marker>
          <c:dPt>
            <c:idx val="24"/>
            <c:marker>
              <c:symbol val="none"/>
            </c:marker>
            <c:bubble3D val="0"/>
            <c:extLst>
              <c:ext xmlns:c16="http://schemas.microsoft.com/office/drawing/2014/chart" uri="{C3380CC4-5D6E-409C-BE32-E72D297353CC}">
                <c16:uniqueId val="{00000003-F31C-4574-86FD-D5BA95329E81}"/>
              </c:ext>
            </c:extLst>
          </c:dPt>
          <c:dLbls>
            <c:dLbl>
              <c:idx val="22"/>
              <c:layout>
                <c:manualLayout>
                  <c:x val="2.4975984630163303E-2"/>
                  <c:y val="8.3952211817888159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47E-4609-90B9-7DA0ECD8F774}"/>
                </c:ext>
              </c:extLst>
            </c:dLbl>
            <c:dLbl>
              <c:idx val="28"/>
              <c:layout>
                <c:manualLayout>
                  <c:x val="-4.004004004004004E-3"/>
                  <c:y val="-6.4461425193223981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31C-4574-86FD-D5BA95329E81}"/>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Sheet2!$F:$F</c:f>
              <c:numCache>
                <c:formatCode>General</c:formatCode>
                <c:ptCount val="1048576"/>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numCache>
            </c:numRef>
          </c:cat>
          <c:val>
            <c:numRef>
              <c:f>Sheet2!$H$2:$H$30</c:f>
              <c:numCache>
                <c:formatCode>General</c:formatCode>
                <c:ptCount val="29"/>
                <c:pt idx="22" formatCode="_(* #,##0_);_(* \(#,##0\);_(* &quot;-&quot;??_);_(@_)">
                  <c:v>497475.19036000001</c:v>
                </c:pt>
                <c:pt idx="23" formatCode="_(* #,##0_);_(* \(#,##0\);_(* &quot;-&quot;??_);_(@_)">
                  <c:v>546630.48450000002</c:v>
                </c:pt>
                <c:pt idx="24" formatCode="_(* #,##0_);_(* \(#,##0\);_(* &quot;-&quot;??_);_(@_)">
                  <c:v>653243.59569999995</c:v>
                </c:pt>
                <c:pt idx="25" formatCode="_(* #,##0_);_(* \(#,##0\);_(* &quot;-&quot;??_);_(@_)">
                  <c:v>790796.15206999995</c:v>
                </c:pt>
                <c:pt idx="26" formatCode="_(* #,##0_);_(* \(#,##0\);_(* &quot;-&quot;??_);_(@_)">
                  <c:v>931750.46253000002</c:v>
                </c:pt>
                <c:pt idx="27" formatCode="_(* #,##0_);_(* \(#,##0\);_(* &quot;-&quot;??_);_(@_)">
                  <c:v>1005746.4408</c:v>
                </c:pt>
                <c:pt idx="28" formatCode="_(* #,##0_);_(* \(#,##0\);_(* &quot;-&quot;??_);_(@_)">
                  <c:v>1058085.6364</c:v>
                </c:pt>
              </c:numCache>
            </c:numRef>
          </c:val>
          <c:smooth val="0"/>
          <c:extLst>
            <c:ext xmlns:c16="http://schemas.microsoft.com/office/drawing/2014/chart" uri="{C3380CC4-5D6E-409C-BE32-E72D297353CC}">
              <c16:uniqueId val="{00000005-F31C-4574-86FD-D5BA95329E81}"/>
            </c:ext>
          </c:extLst>
        </c:ser>
        <c:dLbls>
          <c:showLegendKey val="0"/>
          <c:showVal val="0"/>
          <c:showCatName val="0"/>
          <c:showSerName val="0"/>
          <c:showPercent val="0"/>
          <c:showBubbleSize val="0"/>
        </c:dLbls>
        <c:smooth val="0"/>
        <c:axId val="2053874976"/>
        <c:axId val="2011636160"/>
        <c:extLst>
          <c:ext xmlns:c15="http://schemas.microsoft.com/office/drawing/2012/chart" uri="{02D57815-91ED-43cb-92C2-25804820EDAC}">
            <c15:filteredLineSeries>
              <c15:ser>
                <c:idx val="0"/>
                <c:order val="0"/>
                <c:tx>
                  <c:strRef>
                    <c:extLst>
                      <c:ext uri="{02D57815-91ED-43cb-92C2-25804820EDAC}">
                        <c15:formulaRef>
                          <c15:sqref>Sheet2!$F$1</c15:sqref>
                        </c15:formulaRef>
                      </c:ext>
                    </c:extLst>
                    <c:strCache>
                      <c:ptCount val="1"/>
                    </c:strCache>
                  </c:strRef>
                </c:tx>
                <c:spPr>
                  <a:ln w="28575" cap="rnd">
                    <a:solidFill>
                      <a:schemeClr val="accent1"/>
                    </a:solidFill>
                    <a:round/>
                  </a:ln>
                  <a:effectLst/>
                </c:spPr>
                <c:marker>
                  <c:symbol val="none"/>
                </c:marker>
                <c:cat>
                  <c:numRef>
                    <c:extLst>
                      <c:ext uri="{02D57815-91ED-43cb-92C2-25804820EDAC}">
                        <c15:formulaRef>
                          <c15:sqref>Sheet2!$F:$F</c15:sqref>
                        </c15:formulaRef>
                      </c:ext>
                    </c:extLst>
                    <c:numCache>
                      <c:formatCode>General</c:formatCode>
                      <c:ptCount val="1048576"/>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pt idx="25">
                        <c:v>2026</c:v>
                      </c:pt>
                      <c:pt idx="26">
                        <c:v>2027</c:v>
                      </c:pt>
                      <c:pt idx="27">
                        <c:v>2028</c:v>
                      </c:pt>
                      <c:pt idx="28">
                        <c:v>2029</c:v>
                      </c:pt>
                      <c:pt idx="29">
                        <c:v>2030</c:v>
                      </c:pt>
                    </c:numCache>
                  </c:numRef>
                </c:cat>
                <c:val>
                  <c:numRef>
                    <c:extLst>
                      <c:ext uri="{02D57815-91ED-43cb-92C2-25804820EDAC}">
                        <c15:formulaRef>
                          <c15:sqref>Sheet2!$F$2:$F$30</c15:sqref>
                        </c15:formulaRef>
                      </c:ext>
                    </c:extLst>
                    <c:numCache>
                      <c:formatCode>General</c:formatCode>
                      <c:ptCount val="29"/>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pt idx="23">
                        <c:v>2025</c:v>
                      </c:pt>
                      <c:pt idx="24">
                        <c:v>2026</c:v>
                      </c:pt>
                      <c:pt idx="25">
                        <c:v>2027</c:v>
                      </c:pt>
                      <c:pt idx="26">
                        <c:v>2028</c:v>
                      </c:pt>
                      <c:pt idx="27">
                        <c:v>2029</c:v>
                      </c:pt>
                      <c:pt idx="28">
                        <c:v>2030</c:v>
                      </c:pt>
                    </c:numCache>
                  </c:numRef>
                </c:val>
                <c:smooth val="0"/>
                <c:extLst>
                  <c:ext xmlns:c16="http://schemas.microsoft.com/office/drawing/2014/chart" uri="{C3380CC4-5D6E-409C-BE32-E72D297353CC}">
                    <c16:uniqueId val="{00000006-F31C-4574-86FD-D5BA95329E81}"/>
                  </c:ext>
                </c:extLst>
              </c15:ser>
            </c15:filteredLineSeries>
          </c:ext>
        </c:extLst>
      </c:lineChart>
      <c:catAx>
        <c:axId val="205387497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baseline="0">
                    <a:solidFill>
                      <a:sysClr val="windowText" lastClr="000000"/>
                    </a:solidFill>
                  </a:rPr>
                  <a:t>Year</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50" b="0" i="0" u="none" strike="noStrike" kern="1200" baseline="0">
                <a:solidFill>
                  <a:sysClr val="windowText" lastClr="000000"/>
                </a:solidFill>
                <a:latin typeface="+mn-lt"/>
                <a:ea typeface="+mn-ea"/>
                <a:cs typeface="+mn-cs"/>
              </a:defRPr>
            </a:pPr>
            <a:endParaRPr lang="en-US"/>
          </a:p>
        </c:txPr>
        <c:crossAx val="2011636160"/>
        <c:crosses val="autoZero"/>
        <c:auto val="1"/>
        <c:lblAlgn val="ctr"/>
        <c:lblOffset val="100"/>
        <c:tickLblSkip val="2"/>
        <c:noMultiLvlLbl val="0"/>
      </c:catAx>
      <c:valAx>
        <c:axId val="2011636160"/>
        <c:scaling>
          <c:orientation val="minMax"/>
          <c:min val="20000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baseline="0">
                    <a:solidFill>
                      <a:sysClr val="windowText" lastClr="000000"/>
                    </a:solidFill>
                  </a:rPr>
                  <a:t> GWh</a:t>
                </a:r>
              </a:p>
            </c:rich>
          </c:tx>
          <c:layout>
            <c:manualLayout>
              <c:xMode val="edge"/>
              <c:yMode val="edge"/>
              <c:x val="6.8453258904596576E-3"/>
              <c:y val="0.376696015193773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1150" b="0" i="0" u="none" strike="noStrike" kern="1200" baseline="0">
                <a:solidFill>
                  <a:sysClr val="windowText" lastClr="000000"/>
                </a:solidFill>
                <a:latin typeface="+mn-lt"/>
                <a:ea typeface="+mn-ea"/>
                <a:cs typeface="+mn-cs"/>
              </a:defRPr>
            </a:pPr>
            <a:endParaRPr lang="en-US"/>
          </a:p>
        </c:txPr>
        <c:crossAx val="2053874976"/>
        <c:crossesAt val="2"/>
        <c:crossBetween val="between"/>
        <c:minorUnit val="20000"/>
      </c:valAx>
      <c:spPr>
        <a:noFill/>
        <a:ln>
          <a:noFill/>
        </a:ln>
        <a:effectLst/>
      </c:spPr>
    </c:plotArea>
    <c:legend>
      <c:legendPos val="b"/>
      <c:legendEntry>
        <c:idx val="1"/>
        <c:delete val="1"/>
      </c:legendEntry>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09237517750963"/>
          <c:y val="3.6441941361603447E-2"/>
          <c:w val="0.86040055118987369"/>
          <c:h val="0.57611735505067829"/>
        </c:manualLayout>
      </c:layout>
      <c:barChart>
        <c:barDir val="col"/>
        <c:grouping val="clustered"/>
        <c:varyColors val="0"/>
        <c:ser>
          <c:idx val="0"/>
          <c:order val="0"/>
          <c:tx>
            <c:strRef>
              <c:f>ERCOT_NET15_WINTER_PEAK!$D$1</c:f>
              <c:strCache>
                <c:ptCount val="1"/>
                <c:pt idx="0">
                  <c:v>Base</c:v>
                </c:pt>
              </c:strCache>
            </c:strRef>
          </c:tx>
          <c:spPr>
            <a:solidFill>
              <a:schemeClr val="tx2">
                <a:lumMod val="40000"/>
                <a:lumOff val="60000"/>
              </a:schemeClr>
            </a:solidFill>
            <a:ln>
              <a:noFill/>
            </a:ln>
            <a:effectLst/>
          </c:spPr>
          <c:invertIfNegative val="0"/>
          <c:cat>
            <c:strRef>
              <c:f>ERCOT_NET15_WINTER_PEAK!$C$2:$C$9</c:f>
              <c:strCache>
                <c:ptCount val="8"/>
                <c:pt idx="0">
                  <c:v>2024-2025</c:v>
                </c:pt>
                <c:pt idx="1">
                  <c:v>2025-2026</c:v>
                </c:pt>
                <c:pt idx="2">
                  <c:v>2026-2027</c:v>
                </c:pt>
                <c:pt idx="3">
                  <c:v>2027-2028</c:v>
                </c:pt>
                <c:pt idx="4">
                  <c:v>2028-2029</c:v>
                </c:pt>
                <c:pt idx="5">
                  <c:v>2029-2030</c:v>
                </c:pt>
                <c:pt idx="6">
                  <c:v>2030-2031</c:v>
                </c:pt>
                <c:pt idx="7">
                  <c:v>2031-2032</c:v>
                </c:pt>
              </c:strCache>
            </c:strRef>
          </c:cat>
          <c:val>
            <c:numRef>
              <c:f>ERCOT_NET15_WINTER_PEAK!$D$2:$D$9</c:f>
              <c:numCache>
                <c:formatCode>General</c:formatCode>
                <c:ptCount val="8"/>
                <c:pt idx="0">
                  <c:v>68263.872964738403</c:v>
                </c:pt>
                <c:pt idx="1">
                  <c:v>69523.344554101204</c:v>
                </c:pt>
                <c:pt idx="2">
                  <c:v>70733.204397681897</c:v>
                </c:pt>
                <c:pt idx="3">
                  <c:v>71773.880879351796</c:v>
                </c:pt>
                <c:pt idx="4">
                  <c:v>72669.934301436806</c:v>
                </c:pt>
                <c:pt idx="5">
                  <c:v>73567.252893408993</c:v>
                </c:pt>
                <c:pt idx="6">
                  <c:v>74435.635140421902</c:v>
                </c:pt>
                <c:pt idx="7">
                  <c:v>70039.743957557701</c:v>
                </c:pt>
              </c:numCache>
            </c:numRef>
          </c:val>
          <c:extLst>
            <c:ext xmlns:c16="http://schemas.microsoft.com/office/drawing/2014/chart" uri="{C3380CC4-5D6E-409C-BE32-E72D297353CC}">
              <c16:uniqueId val="{00000000-281A-46D0-99F1-525DA5687772}"/>
            </c:ext>
          </c:extLst>
        </c:ser>
        <c:ser>
          <c:idx val="1"/>
          <c:order val="1"/>
          <c:tx>
            <c:strRef>
              <c:f>ERCOT_NET15_WINTER_PEAK!$E$1</c:f>
              <c:strCache>
                <c:ptCount val="1"/>
                <c:pt idx="0">
                  <c:v>Base + EV</c:v>
                </c:pt>
              </c:strCache>
            </c:strRef>
          </c:tx>
          <c:spPr>
            <a:solidFill>
              <a:schemeClr val="accent5">
                <a:lumMod val="75000"/>
              </a:schemeClr>
            </a:solidFill>
            <a:ln>
              <a:noFill/>
            </a:ln>
            <a:effectLst/>
          </c:spPr>
          <c:invertIfNegative val="0"/>
          <c:cat>
            <c:strRef>
              <c:f>ERCOT_NET15_WINTER_PEAK!$C$2:$C$9</c:f>
              <c:strCache>
                <c:ptCount val="8"/>
                <c:pt idx="0">
                  <c:v>2024-2025</c:v>
                </c:pt>
                <c:pt idx="1">
                  <c:v>2025-2026</c:v>
                </c:pt>
                <c:pt idx="2">
                  <c:v>2026-2027</c:v>
                </c:pt>
                <c:pt idx="3">
                  <c:v>2027-2028</c:v>
                </c:pt>
                <c:pt idx="4">
                  <c:v>2028-2029</c:v>
                </c:pt>
                <c:pt idx="5">
                  <c:v>2029-2030</c:v>
                </c:pt>
                <c:pt idx="6">
                  <c:v>2030-2031</c:v>
                </c:pt>
                <c:pt idx="7">
                  <c:v>2031-2032</c:v>
                </c:pt>
              </c:strCache>
            </c:strRef>
          </c:cat>
          <c:val>
            <c:numRef>
              <c:f>ERCOT_NET15_WINTER_PEAK!$E$2:$E$9</c:f>
              <c:numCache>
                <c:formatCode>General</c:formatCode>
                <c:ptCount val="8"/>
                <c:pt idx="0">
                  <c:v>68293.130607090206</c:v>
                </c:pt>
                <c:pt idx="1">
                  <c:v>69565.013355458694</c:v>
                </c:pt>
                <c:pt idx="2">
                  <c:v>70892.913006055605</c:v>
                </c:pt>
                <c:pt idx="3">
                  <c:v>71993.869831166798</c:v>
                </c:pt>
                <c:pt idx="4">
                  <c:v>72969.429268366395</c:v>
                </c:pt>
                <c:pt idx="5">
                  <c:v>73920.647989210906</c:v>
                </c:pt>
                <c:pt idx="6">
                  <c:v>74886.1143537959</c:v>
                </c:pt>
                <c:pt idx="7">
                  <c:v>71458.492102729797</c:v>
                </c:pt>
              </c:numCache>
            </c:numRef>
          </c:val>
          <c:extLst>
            <c:ext xmlns:c16="http://schemas.microsoft.com/office/drawing/2014/chart" uri="{C3380CC4-5D6E-409C-BE32-E72D297353CC}">
              <c16:uniqueId val="{00000001-281A-46D0-99F1-525DA5687772}"/>
            </c:ext>
          </c:extLst>
        </c:ser>
        <c:ser>
          <c:idx val="2"/>
          <c:order val="2"/>
          <c:tx>
            <c:strRef>
              <c:f>ERCOT_NET15_WINTER_PEAK!$F$1</c:f>
              <c:strCache>
                <c:ptCount val="1"/>
                <c:pt idx="0">
                  <c:v>Base + EV + LFL 15% </c:v>
                </c:pt>
              </c:strCache>
            </c:strRef>
          </c:tx>
          <c:spPr>
            <a:solidFill>
              <a:schemeClr val="bg1">
                <a:lumMod val="75000"/>
              </a:schemeClr>
            </a:solidFill>
            <a:ln>
              <a:noFill/>
            </a:ln>
            <a:effectLst/>
          </c:spPr>
          <c:invertIfNegative val="0"/>
          <c:cat>
            <c:strRef>
              <c:f>ERCOT_NET15_WINTER_PEAK!$C$2:$C$9</c:f>
              <c:strCache>
                <c:ptCount val="8"/>
                <c:pt idx="0">
                  <c:v>2024-2025</c:v>
                </c:pt>
                <c:pt idx="1">
                  <c:v>2025-2026</c:v>
                </c:pt>
                <c:pt idx="2">
                  <c:v>2026-2027</c:v>
                </c:pt>
                <c:pt idx="3">
                  <c:v>2027-2028</c:v>
                </c:pt>
                <c:pt idx="4">
                  <c:v>2028-2029</c:v>
                </c:pt>
                <c:pt idx="5">
                  <c:v>2029-2030</c:v>
                </c:pt>
                <c:pt idx="6">
                  <c:v>2030-2031</c:v>
                </c:pt>
                <c:pt idx="7">
                  <c:v>2031-2032</c:v>
                </c:pt>
              </c:strCache>
            </c:strRef>
          </c:cat>
          <c:val>
            <c:numRef>
              <c:f>ERCOT_NET15_WINTER_PEAK!$F$2:$F$9</c:f>
              <c:numCache>
                <c:formatCode>General</c:formatCode>
                <c:ptCount val="8"/>
                <c:pt idx="0">
                  <c:v>71607.830849430204</c:v>
                </c:pt>
                <c:pt idx="1">
                  <c:v>73709.996753388696</c:v>
                </c:pt>
                <c:pt idx="2">
                  <c:v>75868.179560565593</c:v>
                </c:pt>
                <c:pt idx="3">
                  <c:v>77799.419541656796</c:v>
                </c:pt>
                <c:pt idx="4">
                  <c:v>79605.262134866396</c:v>
                </c:pt>
                <c:pt idx="5">
                  <c:v>81386.764011710897</c:v>
                </c:pt>
                <c:pt idx="6">
                  <c:v>83182.513532295896</c:v>
                </c:pt>
                <c:pt idx="7">
                  <c:v>79746.3981028298</c:v>
                </c:pt>
              </c:numCache>
            </c:numRef>
          </c:val>
          <c:extLst>
            <c:ext xmlns:c16="http://schemas.microsoft.com/office/drawing/2014/chart" uri="{C3380CC4-5D6E-409C-BE32-E72D297353CC}">
              <c16:uniqueId val="{00000002-281A-46D0-99F1-525DA5687772}"/>
            </c:ext>
          </c:extLst>
        </c:ser>
        <c:ser>
          <c:idx val="3"/>
          <c:order val="3"/>
          <c:tx>
            <c:strRef>
              <c:f>ERCOT_NET15_WINTER_PEAK!$G$1</c:f>
              <c:strCache>
                <c:ptCount val="1"/>
                <c:pt idx="0">
                  <c:v>Base + EV + LFL 15% - PV</c:v>
                </c:pt>
              </c:strCache>
            </c:strRef>
          </c:tx>
          <c:spPr>
            <a:solidFill>
              <a:schemeClr val="accent5"/>
            </a:solidFill>
            <a:ln>
              <a:noFill/>
            </a:ln>
            <a:effectLst/>
          </c:spPr>
          <c:invertIfNegative val="0"/>
          <c:cat>
            <c:strRef>
              <c:f>ERCOT_NET15_WINTER_PEAK!$C$2:$C$9</c:f>
              <c:strCache>
                <c:ptCount val="8"/>
                <c:pt idx="0">
                  <c:v>2024-2025</c:v>
                </c:pt>
                <c:pt idx="1">
                  <c:v>2025-2026</c:v>
                </c:pt>
                <c:pt idx="2">
                  <c:v>2026-2027</c:v>
                </c:pt>
                <c:pt idx="3">
                  <c:v>2027-2028</c:v>
                </c:pt>
                <c:pt idx="4">
                  <c:v>2028-2029</c:v>
                </c:pt>
                <c:pt idx="5">
                  <c:v>2029-2030</c:v>
                </c:pt>
                <c:pt idx="6">
                  <c:v>2030-2031</c:v>
                </c:pt>
                <c:pt idx="7">
                  <c:v>2031-2032</c:v>
                </c:pt>
              </c:strCache>
            </c:strRef>
          </c:cat>
          <c:val>
            <c:numRef>
              <c:f>ERCOT_NET15_WINTER_PEAK!$G$2:$G$9</c:f>
              <c:numCache>
                <c:formatCode>General</c:formatCode>
                <c:ptCount val="8"/>
                <c:pt idx="0">
                  <c:v>71573.593070434596</c:v>
                </c:pt>
                <c:pt idx="1">
                  <c:v>73663.071582210803</c:v>
                </c:pt>
                <c:pt idx="2">
                  <c:v>75805.0213148451</c:v>
                </c:pt>
                <c:pt idx="3">
                  <c:v>77716.051034196396</c:v>
                </c:pt>
                <c:pt idx="4">
                  <c:v>79497.364613163998</c:v>
                </c:pt>
                <c:pt idx="5">
                  <c:v>81250.139854754496</c:v>
                </c:pt>
                <c:pt idx="6">
                  <c:v>83013.295375981194</c:v>
                </c:pt>
                <c:pt idx="7">
                  <c:v>79695.892388028398</c:v>
                </c:pt>
              </c:numCache>
            </c:numRef>
          </c:val>
          <c:extLst>
            <c:ext xmlns:c16="http://schemas.microsoft.com/office/drawing/2014/chart" uri="{C3380CC4-5D6E-409C-BE32-E72D297353CC}">
              <c16:uniqueId val="{00000003-281A-46D0-99F1-525DA5687772}"/>
            </c:ext>
          </c:extLst>
        </c:ser>
        <c:ser>
          <c:idx val="4"/>
          <c:order val="4"/>
          <c:tx>
            <c:strRef>
              <c:f>ERCOT_NET15_WINTER_PEAK!$H$1</c:f>
              <c:strCache>
                <c:ptCount val="1"/>
                <c:pt idx="0">
                  <c:v>Base + EV + LFL 15% - PV + Contracted Loads</c:v>
                </c:pt>
              </c:strCache>
            </c:strRef>
          </c:tx>
          <c:spPr>
            <a:solidFill>
              <a:schemeClr val="accent5">
                <a:lumMod val="75000"/>
              </a:schemeClr>
            </a:solidFill>
            <a:ln>
              <a:noFill/>
            </a:ln>
            <a:effectLst/>
          </c:spPr>
          <c:invertIfNegative val="0"/>
          <c:dPt>
            <c:idx val="0"/>
            <c:invertIfNegative val="0"/>
            <c:bubble3D val="0"/>
            <c:spPr>
              <a:solidFill>
                <a:schemeClr val="accent5">
                  <a:lumMod val="75000"/>
                </a:schemeClr>
              </a:solidFill>
              <a:ln>
                <a:noFill/>
              </a:ln>
              <a:effectLst/>
            </c:spPr>
            <c:extLst>
              <c:ext xmlns:c16="http://schemas.microsoft.com/office/drawing/2014/chart" uri="{C3380CC4-5D6E-409C-BE32-E72D297353CC}">
                <c16:uniqueId val="{00000006-281A-46D0-99F1-525DA5687772}"/>
              </c:ext>
            </c:extLst>
          </c:dPt>
          <c:cat>
            <c:strRef>
              <c:f>ERCOT_NET15_WINTER_PEAK!$C$2:$C$9</c:f>
              <c:strCache>
                <c:ptCount val="8"/>
                <c:pt idx="0">
                  <c:v>2024-2025</c:v>
                </c:pt>
                <c:pt idx="1">
                  <c:v>2025-2026</c:v>
                </c:pt>
                <c:pt idx="2">
                  <c:v>2026-2027</c:v>
                </c:pt>
                <c:pt idx="3">
                  <c:v>2027-2028</c:v>
                </c:pt>
                <c:pt idx="4">
                  <c:v>2028-2029</c:v>
                </c:pt>
                <c:pt idx="5">
                  <c:v>2029-2030</c:v>
                </c:pt>
                <c:pt idx="6">
                  <c:v>2030-2031</c:v>
                </c:pt>
                <c:pt idx="7">
                  <c:v>2031-2032</c:v>
                </c:pt>
              </c:strCache>
            </c:strRef>
          </c:cat>
          <c:val>
            <c:numRef>
              <c:f>ERCOT_NET15_WINTER_PEAK!$H$2:$H$9</c:f>
              <c:numCache>
                <c:formatCode>General</c:formatCode>
                <c:ptCount val="8"/>
                <c:pt idx="0">
                  <c:v>75606.593070434596</c:v>
                </c:pt>
                <c:pt idx="1">
                  <c:v>79316.971582210797</c:v>
                </c:pt>
                <c:pt idx="2">
                  <c:v>87353.696314845103</c:v>
                </c:pt>
                <c:pt idx="3">
                  <c:v>94159.718034196398</c:v>
                </c:pt>
                <c:pt idx="4">
                  <c:v>99583.197613163997</c:v>
                </c:pt>
                <c:pt idx="5">
                  <c:v>102731.07285475401</c:v>
                </c:pt>
                <c:pt idx="6">
                  <c:v>104511.828375981</c:v>
                </c:pt>
                <c:pt idx="7">
                  <c:v>101196.425388028</c:v>
                </c:pt>
              </c:numCache>
            </c:numRef>
          </c:val>
          <c:extLst>
            <c:ext xmlns:c16="http://schemas.microsoft.com/office/drawing/2014/chart" uri="{C3380CC4-5D6E-409C-BE32-E72D297353CC}">
              <c16:uniqueId val="{00000004-281A-46D0-99F1-525DA5687772}"/>
            </c:ext>
          </c:extLst>
        </c:ser>
        <c:ser>
          <c:idx val="5"/>
          <c:order val="5"/>
          <c:tx>
            <c:strRef>
              <c:f>ERCOT_NET15_WINTER_PEAK!$I$1</c:f>
              <c:strCache>
                <c:ptCount val="1"/>
                <c:pt idx="0">
                  <c:v>Base + EV + LFL 15% - PV + Contracted Loads + Officer Letter Loads</c:v>
                </c:pt>
              </c:strCache>
            </c:strRef>
          </c:tx>
          <c:spPr>
            <a:solidFill>
              <a:srgbClr val="92D050"/>
            </a:solidFill>
            <a:ln>
              <a:noFill/>
            </a:ln>
            <a:effectLst/>
          </c:spPr>
          <c:invertIfNegative val="0"/>
          <c:cat>
            <c:strRef>
              <c:f>ERCOT_NET15_WINTER_PEAK!$C$2:$C$9</c:f>
              <c:strCache>
                <c:ptCount val="8"/>
                <c:pt idx="0">
                  <c:v>2024-2025</c:v>
                </c:pt>
                <c:pt idx="1">
                  <c:v>2025-2026</c:v>
                </c:pt>
                <c:pt idx="2">
                  <c:v>2026-2027</c:v>
                </c:pt>
                <c:pt idx="3">
                  <c:v>2027-2028</c:v>
                </c:pt>
                <c:pt idx="4">
                  <c:v>2028-2029</c:v>
                </c:pt>
                <c:pt idx="5">
                  <c:v>2029-2030</c:v>
                </c:pt>
                <c:pt idx="6">
                  <c:v>2030-2031</c:v>
                </c:pt>
                <c:pt idx="7">
                  <c:v>2031-2032</c:v>
                </c:pt>
              </c:strCache>
            </c:strRef>
          </c:cat>
          <c:val>
            <c:numRef>
              <c:f>ERCOT_NET15_WINTER_PEAK!$I$2:$I$9</c:f>
              <c:numCache>
                <c:formatCode>General</c:formatCode>
                <c:ptCount val="8"/>
                <c:pt idx="0">
                  <c:v>77156.093070434596</c:v>
                </c:pt>
                <c:pt idx="1">
                  <c:v>82923.637582210795</c:v>
                </c:pt>
                <c:pt idx="2">
                  <c:v>98744.172314845098</c:v>
                </c:pt>
                <c:pt idx="3">
                  <c:v>114475.898034196</c:v>
                </c:pt>
                <c:pt idx="4">
                  <c:v>130677.67761316401</c:v>
                </c:pt>
                <c:pt idx="5">
                  <c:v>136391.25285475401</c:v>
                </c:pt>
                <c:pt idx="6">
                  <c:v>140682.00837598101</c:v>
                </c:pt>
                <c:pt idx="7">
                  <c:v>137366.60538802799</c:v>
                </c:pt>
              </c:numCache>
            </c:numRef>
          </c:val>
          <c:extLst>
            <c:ext xmlns:c16="http://schemas.microsoft.com/office/drawing/2014/chart" uri="{C3380CC4-5D6E-409C-BE32-E72D297353CC}">
              <c16:uniqueId val="{00000005-281A-46D0-99F1-525DA5687772}"/>
            </c:ext>
          </c:extLst>
        </c:ser>
        <c:dLbls>
          <c:showLegendKey val="0"/>
          <c:showVal val="0"/>
          <c:showCatName val="0"/>
          <c:showSerName val="0"/>
          <c:showPercent val="0"/>
          <c:showBubbleSize val="0"/>
        </c:dLbls>
        <c:gapWidth val="219"/>
        <c:overlap val="-27"/>
        <c:axId val="1177665840"/>
        <c:axId val="134143424"/>
      </c:barChart>
      <c:catAx>
        <c:axId val="1177665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143424"/>
        <c:crosses val="autoZero"/>
        <c:auto val="1"/>
        <c:lblAlgn val="ctr"/>
        <c:lblOffset val="100"/>
        <c:noMultiLvlLbl val="0"/>
      </c:catAx>
      <c:valAx>
        <c:axId val="1341434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MWh</a:t>
                </a:r>
              </a:p>
            </c:rich>
          </c:tx>
          <c:layout>
            <c:manualLayout>
              <c:xMode val="edge"/>
              <c:yMode val="edge"/>
              <c:x val="0"/>
              <c:y val="0.2285835771273994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7665840"/>
        <c:crosses val="autoZero"/>
        <c:crossBetween val="between"/>
      </c:valAx>
      <c:spPr>
        <a:noFill/>
        <a:ln>
          <a:noFill/>
        </a:ln>
        <a:effectLst/>
      </c:spPr>
    </c:plotArea>
    <c:legend>
      <c:legendPos val="b"/>
      <c:layout>
        <c:manualLayout>
          <c:xMode val="edge"/>
          <c:yMode val="edge"/>
          <c:x val="0"/>
          <c:y val="0.65962335138603878"/>
          <c:w val="1"/>
          <c:h val="0.330437741453859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344972176162657E-2"/>
          <c:y val="3.1241124680488497E-2"/>
          <c:w val="0.91244187089623718"/>
          <c:h val="0.59436496879241985"/>
        </c:manualLayout>
      </c:layout>
      <c:barChart>
        <c:barDir val="col"/>
        <c:grouping val="clustered"/>
        <c:varyColors val="0"/>
        <c:ser>
          <c:idx val="0"/>
          <c:order val="0"/>
          <c:tx>
            <c:strRef>
              <c:f>NCENT!$B$12</c:f>
              <c:strCache>
                <c:ptCount val="1"/>
                <c:pt idx="0">
                  <c:v>Base</c:v>
                </c:pt>
              </c:strCache>
            </c:strRef>
          </c:tx>
          <c:spPr>
            <a:solidFill>
              <a:schemeClr val="tx2">
                <a:lumMod val="40000"/>
                <a:lumOff val="60000"/>
              </a:schemeClr>
            </a:solidFill>
            <a:ln>
              <a:noFill/>
            </a:ln>
            <a:effectLst/>
          </c:spPr>
          <c:invertIfNegative val="0"/>
          <c:cat>
            <c:numRef>
              <c:f>NCENT!$A$13:$A$18</c:f>
              <c:numCache>
                <c:formatCode>General</c:formatCode>
                <c:ptCount val="6"/>
                <c:pt idx="0">
                  <c:v>2024</c:v>
                </c:pt>
                <c:pt idx="1">
                  <c:v>2025</c:v>
                </c:pt>
                <c:pt idx="2">
                  <c:v>2026</c:v>
                </c:pt>
                <c:pt idx="3">
                  <c:v>2027</c:v>
                </c:pt>
                <c:pt idx="4">
                  <c:v>2028</c:v>
                </c:pt>
                <c:pt idx="5">
                  <c:v>2029</c:v>
                </c:pt>
              </c:numCache>
            </c:numRef>
          </c:cat>
          <c:val>
            <c:numRef>
              <c:f>NCENT!$B$13:$B$18</c:f>
              <c:numCache>
                <c:formatCode>General</c:formatCode>
                <c:ptCount val="6"/>
                <c:pt idx="0">
                  <c:v>26934.390617000001</c:v>
                </c:pt>
                <c:pt idx="1">
                  <c:v>27073.357596000002</c:v>
                </c:pt>
                <c:pt idx="2">
                  <c:v>27229.997947</c:v>
                </c:pt>
                <c:pt idx="3">
                  <c:v>27393.616522</c:v>
                </c:pt>
                <c:pt idx="4">
                  <c:v>27556.447747999999</c:v>
                </c:pt>
                <c:pt idx="5">
                  <c:v>27716.251480999999</c:v>
                </c:pt>
              </c:numCache>
            </c:numRef>
          </c:val>
          <c:extLst>
            <c:ext xmlns:c16="http://schemas.microsoft.com/office/drawing/2014/chart" uri="{C3380CC4-5D6E-409C-BE32-E72D297353CC}">
              <c16:uniqueId val="{00000000-2BEA-4F78-AD03-0DCF9035DBFF}"/>
            </c:ext>
          </c:extLst>
        </c:ser>
        <c:ser>
          <c:idx val="1"/>
          <c:order val="1"/>
          <c:tx>
            <c:strRef>
              <c:f>NCENT!$C$12</c:f>
              <c:strCache>
                <c:ptCount val="1"/>
                <c:pt idx="0">
                  <c:v>Base + EV</c:v>
                </c:pt>
              </c:strCache>
            </c:strRef>
          </c:tx>
          <c:spPr>
            <a:solidFill>
              <a:schemeClr val="accent5">
                <a:lumMod val="75000"/>
              </a:schemeClr>
            </a:solidFill>
            <a:ln>
              <a:noFill/>
            </a:ln>
            <a:effectLst/>
          </c:spPr>
          <c:invertIfNegative val="0"/>
          <c:cat>
            <c:numRef>
              <c:f>NCENT!$A$13:$A$18</c:f>
              <c:numCache>
                <c:formatCode>General</c:formatCode>
                <c:ptCount val="6"/>
                <c:pt idx="0">
                  <c:v>2024</c:v>
                </c:pt>
                <c:pt idx="1">
                  <c:v>2025</c:v>
                </c:pt>
                <c:pt idx="2">
                  <c:v>2026</c:v>
                </c:pt>
                <c:pt idx="3">
                  <c:v>2027</c:v>
                </c:pt>
                <c:pt idx="4">
                  <c:v>2028</c:v>
                </c:pt>
                <c:pt idx="5">
                  <c:v>2029</c:v>
                </c:pt>
              </c:numCache>
            </c:numRef>
          </c:cat>
          <c:val>
            <c:numRef>
              <c:f>NCENT!$C$13:$C$18</c:f>
              <c:numCache>
                <c:formatCode>General</c:formatCode>
                <c:ptCount val="6"/>
                <c:pt idx="0">
                  <c:v>26974.591530476002</c:v>
                </c:pt>
                <c:pt idx="1">
                  <c:v>27159.695078347002</c:v>
                </c:pt>
                <c:pt idx="2">
                  <c:v>27352.081834919998</c:v>
                </c:pt>
                <c:pt idx="3">
                  <c:v>27564.554082499999</c:v>
                </c:pt>
                <c:pt idx="4">
                  <c:v>27793.411167399998</c:v>
                </c:pt>
                <c:pt idx="5">
                  <c:v>27918.84797468</c:v>
                </c:pt>
              </c:numCache>
            </c:numRef>
          </c:val>
          <c:extLst>
            <c:ext xmlns:c16="http://schemas.microsoft.com/office/drawing/2014/chart" uri="{C3380CC4-5D6E-409C-BE32-E72D297353CC}">
              <c16:uniqueId val="{00000001-2BEA-4F78-AD03-0DCF9035DBFF}"/>
            </c:ext>
          </c:extLst>
        </c:ser>
        <c:ser>
          <c:idx val="2"/>
          <c:order val="2"/>
          <c:tx>
            <c:strRef>
              <c:f>NCENT!$D$12</c:f>
              <c:strCache>
                <c:ptCount val="1"/>
                <c:pt idx="0">
                  <c:v>Base + EV + LFL 15% </c:v>
                </c:pt>
              </c:strCache>
            </c:strRef>
          </c:tx>
          <c:spPr>
            <a:solidFill>
              <a:schemeClr val="bg1">
                <a:lumMod val="75000"/>
              </a:schemeClr>
            </a:solidFill>
            <a:ln>
              <a:noFill/>
            </a:ln>
            <a:effectLst/>
          </c:spPr>
          <c:invertIfNegative val="0"/>
          <c:cat>
            <c:numRef>
              <c:f>NCENT!$A$13:$A$18</c:f>
              <c:numCache>
                <c:formatCode>General</c:formatCode>
                <c:ptCount val="6"/>
                <c:pt idx="0">
                  <c:v>2024</c:v>
                </c:pt>
                <c:pt idx="1">
                  <c:v>2025</c:v>
                </c:pt>
                <c:pt idx="2">
                  <c:v>2026</c:v>
                </c:pt>
                <c:pt idx="3">
                  <c:v>2027</c:v>
                </c:pt>
                <c:pt idx="4">
                  <c:v>2028</c:v>
                </c:pt>
                <c:pt idx="5">
                  <c:v>2029</c:v>
                </c:pt>
              </c:numCache>
            </c:numRef>
          </c:cat>
          <c:val>
            <c:numRef>
              <c:f>NCENT!$D$13:$D$18</c:f>
              <c:numCache>
                <c:formatCode>General</c:formatCode>
                <c:ptCount val="6"/>
                <c:pt idx="0">
                  <c:v>27064.686785986003</c:v>
                </c:pt>
                <c:pt idx="1">
                  <c:v>27281.441116447</c:v>
                </c:pt>
                <c:pt idx="2">
                  <c:v>27505.478655719999</c:v>
                </c:pt>
                <c:pt idx="3">
                  <c:v>27749.601685899997</c:v>
                </c:pt>
                <c:pt idx="4">
                  <c:v>28010.109553499999</c:v>
                </c:pt>
                <c:pt idx="5">
                  <c:v>28167.19714348</c:v>
                </c:pt>
              </c:numCache>
            </c:numRef>
          </c:val>
          <c:extLst>
            <c:ext xmlns:c16="http://schemas.microsoft.com/office/drawing/2014/chart" uri="{C3380CC4-5D6E-409C-BE32-E72D297353CC}">
              <c16:uniqueId val="{00000002-2BEA-4F78-AD03-0DCF9035DBFF}"/>
            </c:ext>
          </c:extLst>
        </c:ser>
        <c:ser>
          <c:idx val="3"/>
          <c:order val="3"/>
          <c:tx>
            <c:strRef>
              <c:f>NCENT!$E$12</c:f>
              <c:strCache>
                <c:ptCount val="1"/>
                <c:pt idx="0">
                  <c:v>Base + EV + LFL 15% - PV </c:v>
                </c:pt>
              </c:strCache>
            </c:strRef>
          </c:tx>
          <c:spPr>
            <a:solidFill>
              <a:schemeClr val="accent5"/>
            </a:solidFill>
            <a:ln>
              <a:noFill/>
            </a:ln>
            <a:effectLst/>
          </c:spPr>
          <c:invertIfNegative val="0"/>
          <c:cat>
            <c:numRef>
              <c:f>NCENT!$A$13:$A$18</c:f>
              <c:numCache>
                <c:formatCode>General</c:formatCode>
                <c:ptCount val="6"/>
                <c:pt idx="0">
                  <c:v>2024</c:v>
                </c:pt>
                <c:pt idx="1">
                  <c:v>2025</c:v>
                </c:pt>
                <c:pt idx="2">
                  <c:v>2026</c:v>
                </c:pt>
                <c:pt idx="3">
                  <c:v>2027</c:v>
                </c:pt>
                <c:pt idx="4">
                  <c:v>2028</c:v>
                </c:pt>
                <c:pt idx="5">
                  <c:v>2029</c:v>
                </c:pt>
              </c:numCache>
            </c:numRef>
          </c:cat>
          <c:val>
            <c:numRef>
              <c:f>NCENT!$E$13:$E$18</c:f>
              <c:numCache>
                <c:formatCode>General</c:formatCode>
                <c:ptCount val="6"/>
                <c:pt idx="0">
                  <c:v>26652.529048086002</c:v>
                </c:pt>
                <c:pt idx="1">
                  <c:v>26714.598333047001</c:v>
                </c:pt>
                <c:pt idx="2">
                  <c:v>26737.914283919999</c:v>
                </c:pt>
                <c:pt idx="3">
                  <c:v>26728.450524899996</c:v>
                </c:pt>
                <c:pt idx="4">
                  <c:v>26677.7930165</c:v>
                </c:pt>
                <c:pt idx="5">
                  <c:v>26464.704577479999</c:v>
                </c:pt>
              </c:numCache>
            </c:numRef>
          </c:val>
          <c:extLst>
            <c:ext xmlns:c16="http://schemas.microsoft.com/office/drawing/2014/chart" uri="{C3380CC4-5D6E-409C-BE32-E72D297353CC}">
              <c16:uniqueId val="{00000003-2BEA-4F78-AD03-0DCF9035DBFF}"/>
            </c:ext>
          </c:extLst>
        </c:ser>
        <c:ser>
          <c:idx val="4"/>
          <c:order val="4"/>
          <c:tx>
            <c:strRef>
              <c:f>NCENT!$F$12</c:f>
              <c:strCache>
                <c:ptCount val="1"/>
                <c:pt idx="0">
                  <c:v>Base + EV + LFL 15% - PV + Contracted Loads </c:v>
                </c:pt>
              </c:strCache>
            </c:strRef>
          </c:tx>
          <c:spPr>
            <a:solidFill>
              <a:schemeClr val="bg2">
                <a:lumMod val="10000"/>
              </a:schemeClr>
            </a:solidFill>
            <a:ln>
              <a:noFill/>
            </a:ln>
            <a:effectLst/>
          </c:spPr>
          <c:invertIfNegative val="0"/>
          <c:cat>
            <c:numRef>
              <c:f>NCENT!$A$13:$A$18</c:f>
              <c:numCache>
                <c:formatCode>General</c:formatCode>
                <c:ptCount val="6"/>
                <c:pt idx="0">
                  <c:v>2024</c:v>
                </c:pt>
                <c:pt idx="1">
                  <c:v>2025</c:v>
                </c:pt>
                <c:pt idx="2">
                  <c:v>2026</c:v>
                </c:pt>
                <c:pt idx="3">
                  <c:v>2027</c:v>
                </c:pt>
                <c:pt idx="4">
                  <c:v>2028</c:v>
                </c:pt>
                <c:pt idx="5">
                  <c:v>2029</c:v>
                </c:pt>
              </c:numCache>
            </c:numRef>
          </c:cat>
          <c:val>
            <c:numRef>
              <c:f>NCENT!$F$13:$F$18</c:f>
              <c:numCache>
                <c:formatCode>General</c:formatCode>
                <c:ptCount val="6"/>
                <c:pt idx="0">
                  <c:v>26652.529048086002</c:v>
                </c:pt>
                <c:pt idx="1">
                  <c:v>26714.598333047001</c:v>
                </c:pt>
                <c:pt idx="2">
                  <c:v>27999.289283919999</c:v>
                </c:pt>
                <c:pt idx="3">
                  <c:v>28935.450524899996</c:v>
                </c:pt>
                <c:pt idx="4">
                  <c:v>30115.7930165</c:v>
                </c:pt>
                <c:pt idx="5">
                  <c:v>29902.704577479999</c:v>
                </c:pt>
              </c:numCache>
            </c:numRef>
          </c:val>
          <c:extLst>
            <c:ext xmlns:c16="http://schemas.microsoft.com/office/drawing/2014/chart" uri="{C3380CC4-5D6E-409C-BE32-E72D297353CC}">
              <c16:uniqueId val="{00000004-2BEA-4F78-AD03-0DCF9035DBFF}"/>
            </c:ext>
          </c:extLst>
        </c:ser>
        <c:ser>
          <c:idx val="5"/>
          <c:order val="5"/>
          <c:tx>
            <c:strRef>
              <c:f>NCENT!$G$12</c:f>
              <c:strCache>
                <c:ptCount val="1"/>
                <c:pt idx="0">
                  <c:v>Base + EV + LFL 15% - PV + Contracted Loads + Officer Letter Loads</c:v>
                </c:pt>
              </c:strCache>
            </c:strRef>
          </c:tx>
          <c:spPr>
            <a:solidFill>
              <a:srgbClr val="92D050"/>
            </a:solidFill>
            <a:ln>
              <a:noFill/>
            </a:ln>
            <a:effectLst/>
          </c:spPr>
          <c:invertIfNegative val="0"/>
          <c:cat>
            <c:numRef>
              <c:f>NCENT!$A$13:$A$18</c:f>
              <c:numCache>
                <c:formatCode>General</c:formatCode>
                <c:ptCount val="6"/>
                <c:pt idx="0">
                  <c:v>2024</c:v>
                </c:pt>
                <c:pt idx="1">
                  <c:v>2025</c:v>
                </c:pt>
                <c:pt idx="2">
                  <c:v>2026</c:v>
                </c:pt>
                <c:pt idx="3">
                  <c:v>2027</c:v>
                </c:pt>
                <c:pt idx="4">
                  <c:v>2028</c:v>
                </c:pt>
                <c:pt idx="5">
                  <c:v>2029</c:v>
                </c:pt>
              </c:numCache>
            </c:numRef>
          </c:cat>
          <c:val>
            <c:numRef>
              <c:f>NCENT!$G$13:$G$18</c:f>
              <c:numCache>
                <c:formatCode>General</c:formatCode>
                <c:ptCount val="6"/>
                <c:pt idx="0">
                  <c:v>26652.529048086002</c:v>
                </c:pt>
                <c:pt idx="1">
                  <c:v>26714.598333047001</c:v>
                </c:pt>
                <c:pt idx="2">
                  <c:v>30470.289283919999</c:v>
                </c:pt>
                <c:pt idx="3">
                  <c:v>34011.450524899992</c:v>
                </c:pt>
                <c:pt idx="4">
                  <c:v>39348.7930165</c:v>
                </c:pt>
                <c:pt idx="5">
                  <c:v>39135.704577479999</c:v>
                </c:pt>
              </c:numCache>
            </c:numRef>
          </c:val>
          <c:extLst>
            <c:ext xmlns:c16="http://schemas.microsoft.com/office/drawing/2014/chart" uri="{C3380CC4-5D6E-409C-BE32-E72D297353CC}">
              <c16:uniqueId val="{00000005-2BEA-4F78-AD03-0DCF9035DBFF}"/>
            </c:ext>
          </c:extLst>
        </c:ser>
        <c:ser>
          <c:idx val="6"/>
          <c:order val="6"/>
          <c:tx>
            <c:strRef>
              <c:f>NCENT!$H$12</c:f>
              <c:strCache>
                <c:ptCount val="1"/>
                <c:pt idx="0">
                  <c:v>Hour Ending 19</c:v>
                </c:pt>
              </c:strCache>
            </c:strRef>
          </c:tx>
          <c:spPr>
            <a:solidFill>
              <a:srgbClr val="FF0000"/>
            </a:solidFill>
            <a:ln>
              <a:noFill/>
            </a:ln>
            <a:effectLst/>
          </c:spPr>
          <c:invertIfNegative val="0"/>
          <c:cat>
            <c:numRef>
              <c:f>NCENT!$A$13:$A$18</c:f>
              <c:numCache>
                <c:formatCode>General</c:formatCode>
                <c:ptCount val="6"/>
                <c:pt idx="0">
                  <c:v>2024</c:v>
                </c:pt>
                <c:pt idx="1">
                  <c:v>2025</c:v>
                </c:pt>
                <c:pt idx="2">
                  <c:v>2026</c:v>
                </c:pt>
                <c:pt idx="3">
                  <c:v>2027</c:v>
                </c:pt>
                <c:pt idx="4">
                  <c:v>2028</c:v>
                </c:pt>
                <c:pt idx="5">
                  <c:v>2029</c:v>
                </c:pt>
              </c:numCache>
            </c:numRef>
          </c:cat>
          <c:val>
            <c:numRef>
              <c:f>NCENT!$H$13:$H$18</c:f>
              <c:numCache>
                <c:formatCode>General</c:formatCode>
                <c:ptCount val="6"/>
                <c:pt idx="4">
                  <c:v>39527.633646999995</c:v>
                </c:pt>
                <c:pt idx="5">
                  <c:v>39379.474002999996</c:v>
                </c:pt>
              </c:numCache>
            </c:numRef>
          </c:val>
          <c:extLst>
            <c:ext xmlns:c16="http://schemas.microsoft.com/office/drawing/2014/chart" uri="{C3380CC4-5D6E-409C-BE32-E72D297353CC}">
              <c16:uniqueId val="{00000006-2BEA-4F78-AD03-0DCF9035DBFF}"/>
            </c:ext>
          </c:extLst>
        </c:ser>
        <c:dLbls>
          <c:showLegendKey val="0"/>
          <c:showVal val="0"/>
          <c:showCatName val="0"/>
          <c:showSerName val="0"/>
          <c:showPercent val="0"/>
          <c:showBubbleSize val="0"/>
        </c:dLbls>
        <c:gapWidth val="219"/>
        <c:overlap val="-27"/>
        <c:axId val="2030065199"/>
        <c:axId val="2020573055"/>
      </c:barChart>
      <c:catAx>
        <c:axId val="20300651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0573055"/>
        <c:crosses val="autoZero"/>
        <c:auto val="1"/>
        <c:lblAlgn val="ctr"/>
        <c:lblOffset val="100"/>
        <c:noMultiLvlLbl val="0"/>
      </c:catAx>
      <c:valAx>
        <c:axId val="2020573055"/>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0065199"/>
        <c:crosses val="autoZero"/>
        <c:crossBetween val="between"/>
      </c:valAx>
      <c:spPr>
        <a:noFill/>
        <a:ln>
          <a:noFill/>
        </a:ln>
        <a:effectLst/>
      </c:spPr>
    </c:plotArea>
    <c:legend>
      <c:legendPos val="b"/>
      <c:layout>
        <c:manualLayout>
          <c:xMode val="edge"/>
          <c:yMode val="edge"/>
          <c:x val="5.8709743696591397E-2"/>
          <c:y val="0.65386622894802171"/>
          <c:w val="0.93440376202974618"/>
          <c:h val="0.3454044921417253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905803441236507E-2"/>
          <c:y val="3.6363636363636362E-2"/>
          <c:w val="0.92183493729950428"/>
          <c:h val="0.59396993557623468"/>
        </c:manualLayout>
      </c:layout>
      <c:barChart>
        <c:barDir val="col"/>
        <c:grouping val="clustered"/>
        <c:varyColors val="0"/>
        <c:ser>
          <c:idx val="0"/>
          <c:order val="0"/>
          <c:tx>
            <c:strRef>
              <c:f>ERCOT!$B$12</c:f>
              <c:strCache>
                <c:ptCount val="1"/>
                <c:pt idx="0">
                  <c:v>Base</c:v>
                </c:pt>
              </c:strCache>
            </c:strRef>
          </c:tx>
          <c:spPr>
            <a:solidFill>
              <a:schemeClr val="accent1">
                <a:lumMod val="40000"/>
                <a:lumOff val="60000"/>
              </a:schemeClr>
            </a:solidFill>
            <a:ln>
              <a:noFill/>
            </a:ln>
            <a:effectLst/>
          </c:spPr>
          <c:invertIfNegative val="0"/>
          <c:cat>
            <c:numRef>
              <c:f>ERCOT!$A$13:$A$18</c:f>
              <c:numCache>
                <c:formatCode>General</c:formatCode>
                <c:ptCount val="6"/>
                <c:pt idx="0">
                  <c:v>2024</c:v>
                </c:pt>
                <c:pt idx="1">
                  <c:v>2025</c:v>
                </c:pt>
                <c:pt idx="2">
                  <c:v>2026</c:v>
                </c:pt>
                <c:pt idx="3">
                  <c:v>2027</c:v>
                </c:pt>
                <c:pt idx="4">
                  <c:v>2028</c:v>
                </c:pt>
                <c:pt idx="5">
                  <c:v>2029</c:v>
                </c:pt>
              </c:numCache>
            </c:numRef>
          </c:cat>
          <c:val>
            <c:numRef>
              <c:f>ERCOT!$B$13:$B$18</c:f>
              <c:numCache>
                <c:formatCode>General</c:formatCode>
                <c:ptCount val="6"/>
                <c:pt idx="0">
                  <c:v>82775.985847000004</c:v>
                </c:pt>
                <c:pt idx="1">
                  <c:v>84000.214945</c:v>
                </c:pt>
                <c:pt idx="2">
                  <c:v>85196.896909999996</c:v>
                </c:pt>
                <c:pt idx="3">
                  <c:v>86409.577405000004</c:v>
                </c:pt>
                <c:pt idx="4">
                  <c:v>87326.692286999998</c:v>
                </c:pt>
                <c:pt idx="5">
                  <c:v>88237.938412999996</c:v>
                </c:pt>
              </c:numCache>
            </c:numRef>
          </c:val>
          <c:extLst>
            <c:ext xmlns:c16="http://schemas.microsoft.com/office/drawing/2014/chart" uri="{C3380CC4-5D6E-409C-BE32-E72D297353CC}">
              <c16:uniqueId val="{00000000-4B86-4284-8D87-EBF2378FEF45}"/>
            </c:ext>
          </c:extLst>
        </c:ser>
        <c:ser>
          <c:idx val="1"/>
          <c:order val="1"/>
          <c:tx>
            <c:strRef>
              <c:f>ERCOT!$C$12</c:f>
              <c:strCache>
                <c:ptCount val="1"/>
                <c:pt idx="0">
                  <c:v>Base + EV</c:v>
                </c:pt>
              </c:strCache>
            </c:strRef>
          </c:tx>
          <c:spPr>
            <a:solidFill>
              <a:schemeClr val="accent5">
                <a:lumMod val="75000"/>
              </a:schemeClr>
            </a:solidFill>
            <a:ln>
              <a:noFill/>
            </a:ln>
            <a:effectLst/>
          </c:spPr>
          <c:invertIfNegative val="0"/>
          <c:cat>
            <c:numRef>
              <c:f>ERCOT!$A$13:$A$18</c:f>
              <c:numCache>
                <c:formatCode>General</c:formatCode>
                <c:ptCount val="6"/>
                <c:pt idx="0">
                  <c:v>2024</c:v>
                </c:pt>
                <c:pt idx="1">
                  <c:v>2025</c:v>
                </c:pt>
                <c:pt idx="2">
                  <c:v>2026</c:v>
                </c:pt>
                <c:pt idx="3">
                  <c:v>2027</c:v>
                </c:pt>
                <c:pt idx="4">
                  <c:v>2028</c:v>
                </c:pt>
                <c:pt idx="5">
                  <c:v>2029</c:v>
                </c:pt>
              </c:numCache>
            </c:numRef>
          </c:cat>
          <c:val>
            <c:numRef>
              <c:f>ERCOT!$C$13:$C$18</c:f>
              <c:numCache>
                <c:formatCode>General</c:formatCode>
                <c:ptCount val="6"/>
                <c:pt idx="0">
                  <c:v>82866.674540929002</c:v>
                </c:pt>
                <c:pt idx="1">
                  <c:v>84195.367673960005</c:v>
                </c:pt>
                <c:pt idx="2">
                  <c:v>85474.778311239992</c:v>
                </c:pt>
                <c:pt idx="3">
                  <c:v>86802.672415000008</c:v>
                </c:pt>
                <c:pt idx="4">
                  <c:v>87871.332013599997</c:v>
                </c:pt>
                <c:pt idx="5">
                  <c:v>88707.39332196</c:v>
                </c:pt>
              </c:numCache>
            </c:numRef>
          </c:val>
          <c:extLst>
            <c:ext xmlns:c16="http://schemas.microsoft.com/office/drawing/2014/chart" uri="{C3380CC4-5D6E-409C-BE32-E72D297353CC}">
              <c16:uniqueId val="{00000001-4B86-4284-8D87-EBF2378FEF45}"/>
            </c:ext>
          </c:extLst>
        </c:ser>
        <c:ser>
          <c:idx val="2"/>
          <c:order val="2"/>
          <c:tx>
            <c:strRef>
              <c:f>ERCOT!$D$12</c:f>
              <c:strCache>
                <c:ptCount val="1"/>
                <c:pt idx="0">
                  <c:v>Base + EV + LFL 15%</c:v>
                </c:pt>
              </c:strCache>
            </c:strRef>
          </c:tx>
          <c:spPr>
            <a:solidFill>
              <a:schemeClr val="bg1">
                <a:lumMod val="75000"/>
              </a:schemeClr>
            </a:solidFill>
            <a:ln>
              <a:noFill/>
            </a:ln>
            <a:effectLst/>
          </c:spPr>
          <c:invertIfNegative val="0"/>
          <c:cat>
            <c:numRef>
              <c:f>ERCOT!$A$13:$A$18</c:f>
              <c:numCache>
                <c:formatCode>General</c:formatCode>
                <c:ptCount val="6"/>
                <c:pt idx="0">
                  <c:v>2024</c:v>
                </c:pt>
                <c:pt idx="1">
                  <c:v>2025</c:v>
                </c:pt>
                <c:pt idx="2">
                  <c:v>2026</c:v>
                </c:pt>
                <c:pt idx="3">
                  <c:v>2027</c:v>
                </c:pt>
                <c:pt idx="4">
                  <c:v>2028</c:v>
                </c:pt>
                <c:pt idx="5">
                  <c:v>2029</c:v>
                </c:pt>
              </c:numCache>
            </c:numRef>
          </c:cat>
          <c:val>
            <c:numRef>
              <c:f>ERCOT!$D$13:$D$18</c:f>
              <c:numCache>
                <c:formatCode>General</c:formatCode>
                <c:ptCount val="6"/>
                <c:pt idx="0">
                  <c:v>83300.355345871008</c:v>
                </c:pt>
                <c:pt idx="1">
                  <c:v>84753.745211004003</c:v>
                </c:pt>
                <c:pt idx="2">
                  <c:v>86157.852580489998</c:v>
                </c:pt>
                <c:pt idx="3">
                  <c:v>87610.443416260008</c:v>
                </c:pt>
                <c:pt idx="4">
                  <c:v>88803.799747169993</c:v>
                </c:pt>
                <c:pt idx="5">
                  <c:v>89764.557787529993</c:v>
                </c:pt>
              </c:numCache>
            </c:numRef>
          </c:val>
          <c:extLst>
            <c:ext xmlns:c16="http://schemas.microsoft.com/office/drawing/2014/chart" uri="{C3380CC4-5D6E-409C-BE32-E72D297353CC}">
              <c16:uniqueId val="{00000002-4B86-4284-8D87-EBF2378FEF45}"/>
            </c:ext>
          </c:extLst>
        </c:ser>
        <c:ser>
          <c:idx val="3"/>
          <c:order val="3"/>
          <c:tx>
            <c:strRef>
              <c:f>ERCOT!$E$12</c:f>
              <c:strCache>
                <c:ptCount val="1"/>
                <c:pt idx="0">
                  <c:v>Base + EV + LFL 15% - PV</c:v>
                </c:pt>
              </c:strCache>
            </c:strRef>
          </c:tx>
          <c:spPr>
            <a:solidFill>
              <a:schemeClr val="accent5"/>
            </a:solidFill>
            <a:ln>
              <a:noFill/>
            </a:ln>
            <a:effectLst/>
          </c:spPr>
          <c:invertIfNegative val="0"/>
          <c:cat>
            <c:numRef>
              <c:f>ERCOT!$A$13:$A$18</c:f>
              <c:numCache>
                <c:formatCode>General</c:formatCode>
                <c:ptCount val="6"/>
                <c:pt idx="0">
                  <c:v>2024</c:v>
                </c:pt>
                <c:pt idx="1">
                  <c:v>2025</c:v>
                </c:pt>
                <c:pt idx="2">
                  <c:v>2026</c:v>
                </c:pt>
                <c:pt idx="3">
                  <c:v>2027</c:v>
                </c:pt>
                <c:pt idx="4">
                  <c:v>2028</c:v>
                </c:pt>
                <c:pt idx="5">
                  <c:v>2029</c:v>
                </c:pt>
              </c:numCache>
            </c:numRef>
          </c:cat>
          <c:val>
            <c:numRef>
              <c:f>ERCOT!$E$13:$E$18</c:f>
              <c:numCache>
                <c:formatCode>General</c:formatCode>
                <c:ptCount val="6"/>
                <c:pt idx="0">
                  <c:v>82239.007971871004</c:v>
                </c:pt>
                <c:pt idx="1">
                  <c:v>83290.512245004007</c:v>
                </c:pt>
                <c:pt idx="2">
                  <c:v>84171.734585490005</c:v>
                </c:pt>
                <c:pt idx="3">
                  <c:v>84961.884499260006</c:v>
                </c:pt>
                <c:pt idx="4">
                  <c:v>85340.062621169986</c:v>
                </c:pt>
                <c:pt idx="5">
                  <c:v>85328.249264529994</c:v>
                </c:pt>
              </c:numCache>
            </c:numRef>
          </c:val>
          <c:extLst>
            <c:ext xmlns:c16="http://schemas.microsoft.com/office/drawing/2014/chart" uri="{C3380CC4-5D6E-409C-BE32-E72D297353CC}">
              <c16:uniqueId val="{00000003-4B86-4284-8D87-EBF2378FEF45}"/>
            </c:ext>
          </c:extLst>
        </c:ser>
        <c:ser>
          <c:idx val="4"/>
          <c:order val="4"/>
          <c:tx>
            <c:strRef>
              <c:f>ERCOT!$F$12</c:f>
              <c:strCache>
                <c:ptCount val="1"/>
                <c:pt idx="0">
                  <c:v>Base + EV + LFL 15% - PV + Contracted Loads</c:v>
                </c:pt>
              </c:strCache>
            </c:strRef>
          </c:tx>
          <c:spPr>
            <a:solidFill>
              <a:schemeClr val="tx1">
                <a:lumMod val="95000"/>
                <a:lumOff val="5000"/>
              </a:schemeClr>
            </a:solidFill>
            <a:ln>
              <a:noFill/>
            </a:ln>
            <a:effectLst/>
          </c:spPr>
          <c:invertIfNegative val="0"/>
          <c:cat>
            <c:numRef>
              <c:f>ERCOT!$A$13:$A$18</c:f>
              <c:numCache>
                <c:formatCode>General</c:formatCode>
                <c:ptCount val="6"/>
                <c:pt idx="0">
                  <c:v>2024</c:v>
                </c:pt>
                <c:pt idx="1">
                  <c:v>2025</c:v>
                </c:pt>
                <c:pt idx="2">
                  <c:v>2026</c:v>
                </c:pt>
                <c:pt idx="3">
                  <c:v>2027</c:v>
                </c:pt>
                <c:pt idx="4">
                  <c:v>2028</c:v>
                </c:pt>
                <c:pt idx="5">
                  <c:v>2029</c:v>
                </c:pt>
              </c:numCache>
            </c:numRef>
          </c:cat>
          <c:val>
            <c:numRef>
              <c:f>ERCOT!$F$13:$F$18</c:f>
              <c:numCache>
                <c:formatCode>General</c:formatCode>
                <c:ptCount val="6"/>
                <c:pt idx="0">
                  <c:v>84827.807971871007</c:v>
                </c:pt>
                <c:pt idx="1">
                  <c:v>88872.512245004007</c:v>
                </c:pt>
                <c:pt idx="2">
                  <c:v>95720.409585490008</c:v>
                </c:pt>
                <c:pt idx="3">
                  <c:v>101405.55149926001</c:v>
                </c:pt>
                <c:pt idx="4">
                  <c:v>105415.89562116998</c:v>
                </c:pt>
                <c:pt idx="5">
                  <c:v>106364.68226453</c:v>
                </c:pt>
              </c:numCache>
            </c:numRef>
          </c:val>
          <c:extLst>
            <c:ext xmlns:c16="http://schemas.microsoft.com/office/drawing/2014/chart" uri="{C3380CC4-5D6E-409C-BE32-E72D297353CC}">
              <c16:uniqueId val="{00000004-4B86-4284-8D87-EBF2378FEF45}"/>
            </c:ext>
          </c:extLst>
        </c:ser>
        <c:ser>
          <c:idx val="5"/>
          <c:order val="5"/>
          <c:tx>
            <c:strRef>
              <c:f>ERCOT!$G$12</c:f>
              <c:strCache>
                <c:ptCount val="1"/>
                <c:pt idx="0">
                  <c:v>Base + EV + LFL 15% - PV + Contracted Loads + Officer Letter Loads</c:v>
                </c:pt>
              </c:strCache>
            </c:strRef>
          </c:tx>
          <c:spPr>
            <a:solidFill>
              <a:srgbClr val="92D050"/>
            </a:solidFill>
            <a:ln>
              <a:noFill/>
            </a:ln>
            <a:effectLst/>
          </c:spPr>
          <c:invertIfNegative val="0"/>
          <c:cat>
            <c:numRef>
              <c:f>ERCOT!$A$13:$A$18</c:f>
              <c:numCache>
                <c:formatCode>General</c:formatCode>
                <c:ptCount val="6"/>
                <c:pt idx="0">
                  <c:v>2024</c:v>
                </c:pt>
                <c:pt idx="1">
                  <c:v>2025</c:v>
                </c:pt>
                <c:pt idx="2">
                  <c:v>2026</c:v>
                </c:pt>
                <c:pt idx="3">
                  <c:v>2027</c:v>
                </c:pt>
                <c:pt idx="4">
                  <c:v>2028</c:v>
                </c:pt>
                <c:pt idx="5">
                  <c:v>2029</c:v>
                </c:pt>
              </c:numCache>
            </c:numRef>
          </c:cat>
          <c:val>
            <c:numRef>
              <c:f>ERCOT!$G$13:$G$18</c:f>
              <c:numCache>
                <c:formatCode>General</c:formatCode>
                <c:ptCount val="6"/>
                <c:pt idx="0">
                  <c:v>86017.307971871007</c:v>
                </c:pt>
                <c:pt idx="1">
                  <c:v>90472.012245004007</c:v>
                </c:pt>
                <c:pt idx="2">
                  <c:v>106405.06558549001</c:v>
                </c:pt>
                <c:pt idx="3">
                  <c:v>121140.32749926001</c:v>
                </c:pt>
                <c:pt idx="4">
                  <c:v>136035.37562116998</c:v>
                </c:pt>
                <c:pt idx="5">
                  <c:v>138059.16226452999</c:v>
                </c:pt>
              </c:numCache>
            </c:numRef>
          </c:val>
          <c:extLst>
            <c:ext xmlns:c16="http://schemas.microsoft.com/office/drawing/2014/chart" uri="{C3380CC4-5D6E-409C-BE32-E72D297353CC}">
              <c16:uniqueId val="{00000005-4B86-4284-8D87-EBF2378FEF45}"/>
            </c:ext>
          </c:extLst>
        </c:ser>
        <c:ser>
          <c:idx val="6"/>
          <c:order val="6"/>
          <c:tx>
            <c:strRef>
              <c:f>ERCOT!$H$12</c:f>
              <c:strCache>
                <c:ptCount val="1"/>
                <c:pt idx="0">
                  <c:v>Hour Ending 22</c:v>
                </c:pt>
              </c:strCache>
            </c:strRef>
          </c:tx>
          <c:spPr>
            <a:solidFill>
              <a:srgbClr val="FF0000"/>
            </a:solidFill>
            <a:ln>
              <a:noFill/>
            </a:ln>
            <a:effectLst/>
          </c:spPr>
          <c:invertIfNegative val="0"/>
          <c:cat>
            <c:numRef>
              <c:f>ERCOT!$A$13:$A$18</c:f>
              <c:numCache>
                <c:formatCode>General</c:formatCode>
                <c:ptCount val="6"/>
                <c:pt idx="0">
                  <c:v>2024</c:v>
                </c:pt>
                <c:pt idx="1">
                  <c:v>2025</c:v>
                </c:pt>
                <c:pt idx="2">
                  <c:v>2026</c:v>
                </c:pt>
                <c:pt idx="3">
                  <c:v>2027</c:v>
                </c:pt>
                <c:pt idx="4">
                  <c:v>2028</c:v>
                </c:pt>
                <c:pt idx="5">
                  <c:v>2029</c:v>
                </c:pt>
              </c:numCache>
            </c:numRef>
          </c:cat>
          <c:val>
            <c:numRef>
              <c:f>ERCOT!$H$13:$H$18</c:f>
              <c:numCache>
                <c:formatCode>General</c:formatCode>
                <c:ptCount val="6"/>
                <c:pt idx="0">
                  <c:v>80511.064473999999</c:v>
                </c:pt>
                <c:pt idx="1">
                  <c:v>87366.926414000001</c:v>
                </c:pt>
                <c:pt idx="2">
                  <c:v>104593.67270400001</c:v>
                </c:pt>
                <c:pt idx="3">
                  <c:v>120786.037447</c:v>
                </c:pt>
                <c:pt idx="4">
                  <c:v>137318.723757</c:v>
                </c:pt>
                <c:pt idx="5">
                  <c:v>140872.31919900002</c:v>
                </c:pt>
              </c:numCache>
            </c:numRef>
          </c:val>
          <c:extLst>
            <c:ext xmlns:c16="http://schemas.microsoft.com/office/drawing/2014/chart" uri="{C3380CC4-5D6E-409C-BE32-E72D297353CC}">
              <c16:uniqueId val="{00000006-4B86-4284-8D87-EBF2378FEF45}"/>
            </c:ext>
          </c:extLst>
        </c:ser>
        <c:dLbls>
          <c:showLegendKey val="0"/>
          <c:showVal val="0"/>
          <c:showCatName val="0"/>
          <c:showSerName val="0"/>
          <c:showPercent val="0"/>
          <c:showBubbleSize val="0"/>
        </c:dLbls>
        <c:gapWidth val="219"/>
        <c:overlap val="-27"/>
        <c:axId val="1390722911"/>
        <c:axId val="1894433775"/>
      </c:barChart>
      <c:catAx>
        <c:axId val="13907229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4433775"/>
        <c:crosses val="autoZero"/>
        <c:auto val="1"/>
        <c:lblAlgn val="ctr"/>
        <c:lblOffset val="100"/>
        <c:noMultiLvlLbl val="0"/>
      </c:catAx>
      <c:valAx>
        <c:axId val="1894433775"/>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0722911"/>
        <c:crosses val="autoZero"/>
        <c:crossBetween val="between"/>
      </c:valAx>
      <c:spPr>
        <a:noFill/>
        <a:ln>
          <a:noFill/>
        </a:ln>
        <a:effectLst/>
      </c:spPr>
    </c:plotArea>
    <c:legend>
      <c:legendPos val="b"/>
      <c:layout>
        <c:manualLayout>
          <c:xMode val="edge"/>
          <c:yMode val="edge"/>
          <c:x val="8.7239720034995548E-3"/>
          <c:y val="0.66735263877139328"/>
          <c:w val="0.99127602799650039"/>
          <c:h val="0.3128126504848051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15"/>
            <c:invertIfNegative val="0"/>
            <c:bubble3D val="0"/>
            <c:spPr>
              <a:solidFill>
                <a:srgbClr val="FF0000"/>
              </a:solidFill>
              <a:ln>
                <a:noFill/>
              </a:ln>
              <a:effectLst/>
            </c:spPr>
            <c:extLst>
              <c:ext xmlns:c16="http://schemas.microsoft.com/office/drawing/2014/chart" uri="{C3380CC4-5D6E-409C-BE32-E72D297353CC}">
                <c16:uniqueId val="{00000001-C56B-4A80-971B-502D8693C86E}"/>
              </c:ext>
            </c:extLst>
          </c:dPt>
          <c:cat>
            <c:strRef>
              <c:f>Sheet2!$A$1:$P$1</c:f>
              <c:strCache>
                <c:ptCount val="16"/>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pt idx="15">
                  <c:v>Forecast (P50)</c:v>
                </c:pt>
              </c:strCache>
            </c:strRef>
          </c:cat>
          <c:val>
            <c:numRef>
              <c:f>Sheet2!$A$2:$P$2</c:f>
              <c:numCache>
                <c:formatCode>General</c:formatCode>
                <c:ptCount val="16"/>
                <c:pt idx="0">
                  <c:v>88644.443958000003</c:v>
                </c:pt>
                <c:pt idx="1">
                  <c:v>85529.931651999999</c:v>
                </c:pt>
                <c:pt idx="2">
                  <c:v>88218.802920000002</c:v>
                </c:pt>
                <c:pt idx="3">
                  <c:v>88784.199191000007</c:v>
                </c:pt>
                <c:pt idx="4">
                  <c:v>87508.218282999995</c:v>
                </c:pt>
                <c:pt idx="5">
                  <c:v>86680.270518999998</c:v>
                </c:pt>
                <c:pt idx="6">
                  <c:v>84501.037188999995</c:v>
                </c:pt>
                <c:pt idx="7">
                  <c:v>87206.697721999997</c:v>
                </c:pt>
                <c:pt idx="8">
                  <c:v>85277.351626000003</c:v>
                </c:pt>
                <c:pt idx="9">
                  <c:v>82861.973647000006</c:v>
                </c:pt>
                <c:pt idx="10">
                  <c:v>86003.622801000005</c:v>
                </c:pt>
                <c:pt idx="11">
                  <c:v>85935.26</c:v>
                </c:pt>
                <c:pt idx="12">
                  <c:v>85760.19</c:v>
                </c:pt>
                <c:pt idx="13">
                  <c:v>82372.33</c:v>
                </c:pt>
                <c:pt idx="14">
                  <c:v>86555.839999999997</c:v>
                </c:pt>
                <c:pt idx="15">
                  <c:v>86016.5</c:v>
                </c:pt>
              </c:numCache>
            </c:numRef>
          </c:val>
          <c:extLst>
            <c:ext xmlns:c16="http://schemas.microsoft.com/office/drawing/2014/chart" uri="{C3380CC4-5D6E-409C-BE32-E72D297353CC}">
              <c16:uniqueId val="{00000002-C56B-4A80-971B-502D8693C86E}"/>
            </c:ext>
          </c:extLst>
        </c:ser>
        <c:dLbls>
          <c:showLegendKey val="0"/>
          <c:showVal val="0"/>
          <c:showCatName val="0"/>
          <c:showSerName val="0"/>
          <c:showPercent val="0"/>
          <c:showBubbleSize val="0"/>
        </c:dLbls>
        <c:gapWidth val="219"/>
        <c:overlap val="-27"/>
        <c:axId val="1345486112"/>
        <c:axId val="1220292032"/>
      </c:barChart>
      <c:catAx>
        <c:axId val="13454861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baseline="0">
                    <a:solidFill>
                      <a:schemeClr val="tx1"/>
                    </a:solidFill>
                  </a:rPr>
                  <a:t>Historical Weather Years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10" b="0" i="0" u="none" strike="noStrike" kern="1200" baseline="0">
                <a:solidFill>
                  <a:schemeClr val="tx1"/>
                </a:solidFill>
                <a:latin typeface="+mn-lt"/>
                <a:ea typeface="+mn-ea"/>
                <a:cs typeface="+mn-cs"/>
              </a:defRPr>
            </a:pPr>
            <a:endParaRPr lang="en-US"/>
          </a:p>
        </c:txPr>
        <c:crossAx val="1220292032"/>
        <c:crosses val="autoZero"/>
        <c:auto val="1"/>
        <c:lblAlgn val="ctr"/>
        <c:lblOffset val="100"/>
        <c:noMultiLvlLbl val="0"/>
      </c:catAx>
      <c:valAx>
        <c:axId val="12202920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3454861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Sheet3!$B$1</c:f>
              <c:strCache>
                <c:ptCount val="1"/>
                <c:pt idx="0">
                  <c:v>Extreme Weather (2011)</c:v>
                </c:pt>
              </c:strCache>
            </c:strRef>
          </c:tx>
          <c:spPr>
            <a:ln w="28575" cap="rnd">
              <a:solidFill>
                <a:schemeClr val="accent1"/>
              </a:solidFill>
              <a:round/>
            </a:ln>
            <a:effectLst/>
          </c:spPr>
          <c:marker>
            <c:symbol val="none"/>
          </c:marker>
          <c:dPt>
            <c:idx val="0"/>
            <c:marker>
              <c:symbol val="circ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8-4900-4750-B4C8-9BD81AD8B7EE}"/>
              </c:ext>
            </c:extLst>
          </c:dPt>
          <c:dPt>
            <c:idx val="1"/>
            <c:marker>
              <c:symbol val="circ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7-4900-4750-B4C8-9BD81AD8B7EE}"/>
              </c:ext>
            </c:extLst>
          </c:dPt>
          <c:dPt>
            <c:idx val="2"/>
            <c:marker>
              <c:symbol val="circ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6-4900-4750-B4C8-9BD81AD8B7EE}"/>
              </c:ext>
            </c:extLst>
          </c:dPt>
          <c:dPt>
            <c:idx val="3"/>
            <c:marker>
              <c:symbol val="circ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5-4900-4750-B4C8-9BD81AD8B7EE}"/>
              </c:ext>
            </c:extLst>
          </c:dPt>
          <c:dPt>
            <c:idx val="4"/>
            <c:marker>
              <c:symbol val="circ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3-4900-4750-B4C8-9BD81AD8B7EE}"/>
              </c:ext>
            </c:extLst>
          </c:dPt>
          <c:dPt>
            <c:idx val="5"/>
            <c:marker>
              <c:symbol val="circ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4-4900-4750-B4C8-9BD81AD8B7EE}"/>
              </c:ext>
            </c:extLst>
          </c:dPt>
          <c:dLbls>
            <c:dLbl>
              <c:idx val="0"/>
              <c:layout>
                <c:manualLayout>
                  <c:x val="-9.3447293447293453E-2"/>
                  <c:y val="-7.1428571428571494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900-4750-B4C8-9BD81AD8B7EE}"/>
                </c:ext>
              </c:extLst>
            </c:dLbl>
            <c:dLbl>
              <c:idx val="5"/>
              <c:layout>
                <c:manualLayout>
                  <c:x val="-4.5584045584045581E-3"/>
                  <c:y val="-7.482993197278914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900-4750-B4C8-9BD81AD8B7EE}"/>
                </c:ext>
              </c:extLst>
            </c:dLbl>
            <c:numFmt formatCode="#,##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Sheet3!$A$2:$A$7</c:f>
              <c:numCache>
                <c:formatCode>General</c:formatCode>
                <c:ptCount val="6"/>
                <c:pt idx="0">
                  <c:v>2024</c:v>
                </c:pt>
                <c:pt idx="1">
                  <c:v>2025</c:v>
                </c:pt>
                <c:pt idx="2">
                  <c:v>2026</c:v>
                </c:pt>
                <c:pt idx="3">
                  <c:v>2027</c:v>
                </c:pt>
                <c:pt idx="4">
                  <c:v>2028</c:v>
                </c:pt>
                <c:pt idx="5">
                  <c:v>2029</c:v>
                </c:pt>
              </c:numCache>
            </c:numRef>
          </c:cat>
          <c:val>
            <c:numRef>
              <c:f>Sheet3!$B$2:$B$7</c:f>
              <c:numCache>
                <c:formatCode>General</c:formatCode>
                <c:ptCount val="6"/>
                <c:pt idx="0">
                  <c:v>88784.199191000007</c:v>
                </c:pt>
                <c:pt idx="1">
                  <c:v>93157.891730000003</c:v>
                </c:pt>
                <c:pt idx="2">
                  <c:v>109347.79989900001</c:v>
                </c:pt>
                <c:pt idx="3">
                  <c:v>124547.162822</c:v>
                </c:pt>
                <c:pt idx="4">
                  <c:v>139894.13750499999</c:v>
                </c:pt>
                <c:pt idx="5">
                  <c:v>142731.458281</c:v>
                </c:pt>
              </c:numCache>
            </c:numRef>
          </c:val>
          <c:smooth val="0"/>
          <c:extLst>
            <c:ext xmlns:c16="http://schemas.microsoft.com/office/drawing/2014/chart" uri="{C3380CC4-5D6E-409C-BE32-E72D297353CC}">
              <c16:uniqueId val="{00000000-4900-4750-B4C8-9BD81AD8B7EE}"/>
            </c:ext>
          </c:extLst>
        </c:ser>
        <c:ser>
          <c:idx val="1"/>
          <c:order val="1"/>
          <c:tx>
            <c:strRef>
              <c:f>Sheet3!$C$1</c:f>
              <c:strCache>
                <c:ptCount val="1"/>
                <c:pt idx="0">
                  <c:v>Mild Weather (2021)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7.9138868325220033E-2"/>
                  <c:y val="5.0110963852290621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900-4750-B4C8-9BD81AD8B7EE}"/>
                </c:ext>
              </c:extLst>
            </c:dLbl>
            <c:dLbl>
              <c:idx val="5"/>
              <c:layout>
                <c:manualLayout>
                  <c:x val="0"/>
                  <c:y val="8.250825082508250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900-4750-B4C8-9BD81AD8B7EE}"/>
                </c:ext>
              </c:extLst>
            </c:dLbl>
            <c:numFmt formatCode="#,##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Sheet3!$A$2:$A$7</c:f>
              <c:numCache>
                <c:formatCode>General</c:formatCode>
                <c:ptCount val="6"/>
                <c:pt idx="0">
                  <c:v>2024</c:v>
                </c:pt>
                <c:pt idx="1">
                  <c:v>2025</c:v>
                </c:pt>
                <c:pt idx="2">
                  <c:v>2026</c:v>
                </c:pt>
                <c:pt idx="3">
                  <c:v>2027</c:v>
                </c:pt>
                <c:pt idx="4">
                  <c:v>2028</c:v>
                </c:pt>
                <c:pt idx="5">
                  <c:v>2029</c:v>
                </c:pt>
              </c:numCache>
            </c:numRef>
          </c:cat>
          <c:val>
            <c:numRef>
              <c:f>Sheet3!$C$2:$C$7</c:f>
              <c:numCache>
                <c:formatCode>General</c:formatCode>
                <c:ptCount val="6"/>
                <c:pt idx="0">
                  <c:v>82372.325372000007</c:v>
                </c:pt>
                <c:pt idx="1">
                  <c:v>86970.552645000003</c:v>
                </c:pt>
                <c:pt idx="2">
                  <c:v>103345.62878100001</c:v>
                </c:pt>
                <c:pt idx="3">
                  <c:v>118505.276619</c:v>
                </c:pt>
                <c:pt idx="4">
                  <c:v>133927.35867300001</c:v>
                </c:pt>
                <c:pt idx="5">
                  <c:v>136856.84233000001</c:v>
                </c:pt>
              </c:numCache>
            </c:numRef>
          </c:val>
          <c:smooth val="0"/>
          <c:extLst>
            <c:ext xmlns:c16="http://schemas.microsoft.com/office/drawing/2014/chart" uri="{C3380CC4-5D6E-409C-BE32-E72D297353CC}">
              <c16:uniqueId val="{00000001-4900-4750-B4C8-9BD81AD8B7EE}"/>
            </c:ext>
          </c:extLst>
        </c:ser>
        <c:ser>
          <c:idx val="2"/>
          <c:order val="2"/>
          <c:tx>
            <c:strRef>
              <c:f>Sheet3!$D$1</c:f>
              <c:strCache>
                <c:ptCount val="1"/>
                <c:pt idx="0">
                  <c:v>Forecast</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0.13105413105413105"/>
                  <c:y val="-1.34034978300979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900-4750-B4C8-9BD81AD8B7EE}"/>
                </c:ext>
              </c:extLst>
            </c:dLbl>
            <c:dLbl>
              <c:idx val="5"/>
              <c:layout>
                <c:manualLayout>
                  <c:x val="0"/>
                  <c:y val="4.761904761904761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900-4750-B4C8-9BD81AD8B7EE}"/>
                </c:ext>
              </c:extLst>
            </c:dLbl>
            <c:numFmt formatCode="#,##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Sheet3!$A$2:$A$7</c:f>
              <c:numCache>
                <c:formatCode>General</c:formatCode>
                <c:ptCount val="6"/>
                <c:pt idx="0">
                  <c:v>2024</c:v>
                </c:pt>
                <c:pt idx="1">
                  <c:v>2025</c:v>
                </c:pt>
                <c:pt idx="2">
                  <c:v>2026</c:v>
                </c:pt>
                <c:pt idx="3">
                  <c:v>2027</c:v>
                </c:pt>
                <c:pt idx="4">
                  <c:v>2028</c:v>
                </c:pt>
                <c:pt idx="5">
                  <c:v>2029</c:v>
                </c:pt>
              </c:numCache>
            </c:numRef>
          </c:cat>
          <c:val>
            <c:numRef>
              <c:f>Sheet3!$D$2:$D$7</c:f>
              <c:numCache>
                <c:formatCode>General</c:formatCode>
                <c:ptCount val="6"/>
                <c:pt idx="0">
                  <c:v>86016.507972000007</c:v>
                </c:pt>
                <c:pt idx="1">
                  <c:v>90471.512245000005</c:v>
                </c:pt>
                <c:pt idx="2">
                  <c:v>106405.134586</c:v>
                </c:pt>
                <c:pt idx="3">
                  <c:v>121138.88449900001</c:v>
                </c:pt>
                <c:pt idx="4">
                  <c:v>137318.723757</c:v>
                </c:pt>
                <c:pt idx="5">
                  <c:v>140872.31919900002</c:v>
                </c:pt>
              </c:numCache>
            </c:numRef>
          </c:val>
          <c:smooth val="0"/>
          <c:extLst>
            <c:ext xmlns:c16="http://schemas.microsoft.com/office/drawing/2014/chart" uri="{C3380CC4-5D6E-409C-BE32-E72D297353CC}">
              <c16:uniqueId val="{00000002-4900-4750-B4C8-9BD81AD8B7EE}"/>
            </c:ext>
          </c:extLst>
        </c:ser>
        <c:dLbls>
          <c:showLegendKey val="0"/>
          <c:showVal val="0"/>
          <c:showCatName val="0"/>
          <c:showSerName val="0"/>
          <c:showPercent val="0"/>
          <c:showBubbleSize val="0"/>
        </c:dLbls>
        <c:smooth val="0"/>
        <c:axId val="1229071008"/>
        <c:axId val="1346443504"/>
      </c:lineChart>
      <c:catAx>
        <c:axId val="1229071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346443504"/>
        <c:crosses val="autoZero"/>
        <c:auto val="1"/>
        <c:lblAlgn val="ctr"/>
        <c:lblOffset val="100"/>
        <c:noMultiLvlLbl val="0"/>
      </c:catAx>
      <c:valAx>
        <c:axId val="1346443504"/>
        <c:scaling>
          <c:orientation val="minMax"/>
          <c:max val="160000"/>
          <c:min val="7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baseline="0">
                    <a:solidFill>
                      <a:schemeClr val="tx1"/>
                    </a:solidFill>
                  </a:rPr>
                  <a:t>MW</a:t>
                </a:r>
              </a:p>
            </c:rich>
          </c:tx>
          <c:layout>
            <c:manualLayout>
              <c:xMode val="edge"/>
              <c:yMode val="edge"/>
              <c:x val="2.0892687559354226E-2"/>
              <c:y val="0.3686123021750993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1229071008"/>
        <c:crosses val="autoZero"/>
        <c:crossBetween val="between"/>
      </c:valAx>
      <c:spPr>
        <a:noFill/>
        <a:ln>
          <a:noFill/>
        </a:ln>
        <a:effectLst/>
      </c:spPr>
    </c:plotArea>
    <c:legend>
      <c:legendPos val="b"/>
      <c:layout>
        <c:manualLayout>
          <c:xMode val="edge"/>
          <c:yMode val="edge"/>
          <c:x val="3.425922187077042E-2"/>
          <c:y val="0.90133910241417858"/>
          <c:w val="0.9"/>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9EB915-237F-41EC-9FAA-E3EFDF07C8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5102</Words>
  <Characters>27485</Characters>
  <Application>Microsoft Office Word</Application>
  <DocSecurity>0</DocSecurity>
  <Lines>229</Lines>
  <Paragraphs>65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32522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cp:lastPrinted>2009-05-01T19:08:00Z</cp:lastPrinted>
  <dcterms:created xsi:type="dcterms:W3CDTF">2023-01-04T14:12:00Z</dcterms:created>
  <dcterms:modified xsi:type="dcterms:W3CDTF">2024-07-26T13:28:00Z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084cbda-52b8-46fb-a7b7-cb5bd465ed85_Enabled">
    <vt:lpwstr>true</vt:lpwstr>
  </property>
  <property fmtid="{D5CDD505-2E9C-101B-9397-08002B2CF9AE}" pid="3" name="MSIP_Label_7084cbda-52b8-46fb-a7b7-cb5bd465ed85_SetDate">
    <vt:lpwstr>2023-11-30T15:59:18Z</vt:lpwstr>
  </property>
  <property fmtid="{D5CDD505-2E9C-101B-9397-08002B2CF9AE}" pid="4" name="MSIP_Label_7084cbda-52b8-46fb-a7b7-cb5bd465ed85_Method">
    <vt:lpwstr>Standard</vt:lpwstr>
  </property>
  <property fmtid="{D5CDD505-2E9C-101B-9397-08002B2CF9AE}" pid="5" name="MSIP_Label_7084cbda-52b8-46fb-a7b7-cb5bd465ed85_Name">
    <vt:lpwstr>Internal</vt:lpwstr>
  </property>
  <property fmtid="{D5CDD505-2E9C-101B-9397-08002B2CF9AE}" pid="6" name="MSIP_Label_7084cbda-52b8-46fb-a7b7-cb5bd465ed85_SiteId">
    <vt:lpwstr>0afb747d-bff7-4596-a9fc-950ef9e0ec45</vt:lpwstr>
  </property>
  <property fmtid="{D5CDD505-2E9C-101B-9397-08002B2CF9AE}" pid="7" name="MSIP_Label_7084cbda-52b8-46fb-a7b7-cb5bd465ed85_ActionId">
    <vt:lpwstr>f3834ae0-bf9c-4bd9-9e8c-b6b1dc7381e8</vt:lpwstr>
  </property>
  <property fmtid="{D5CDD505-2E9C-101B-9397-08002B2CF9AE}" pid="8" name="MSIP_Label_7084cbda-52b8-46fb-a7b7-cb5bd465ed85_ContentBits">
    <vt:lpwstr>0</vt:lpwstr>
  </property>
</Properties>
</file>