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19146" w14:textId="77777777" w:rsidR="000B17E9" w:rsidRDefault="000B17E9" w:rsidP="00D55287">
      <w:pPr>
        <w:pStyle w:val="PlainText"/>
        <w:spacing w:line="276" w:lineRule="auto"/>
        <w:rPr>
          <w:b/>
          <w:bCs/>
        </w:rPr>
      </w:pPr>
    </w:p>
    <w:p w14:paraId="0F691EF0" w14:textId="0C8CAD14" w:rsidR="000B17E9" w:rsidRDefault="00D55287" w:rsidP="00D55287">
      <w:pPr>
        <w:pStyle w:val="PlainText"/>
        <w:spacing w:line="276" w:lineRule="auto"/>
        <w:rPr>
          <w:b/>
          <w:bCs/>
        </w:rPr>
      </w:pPr>
      <w:r>
        <w:rPr>
          <w:b/>
          <w:bCs/>
        </w:rPr>
        <w:t>Planning Working Group (PLWG)</w:t>
      </w:r>
      <w:r w:rsidR="000B17E9">
        <w:rPr>
          <w:b/>
          <w:bCs/>
        </w:rPr>
        <w:t xml:space="preserve"> </w:t>
      </w:r>
    </w:p>
    <w:p w14:paraId="0BD88839" w14:textId="4FB67FDA" w:rsidR="000B17E9" w:rsidRDefault="000B17E9" w:rsidP="00D55287">
      <w:pPr>
        <w:pStyle w:val="PlainText"/>
        <w:spacing w:line="276" w:lineRule="auto"/>
        <w:rPr>
          <w:b/>
          <w:bCs/>
        </w:rPr>
      </w:pPr>
      <w:r>
        <w:rPr>
          <w:b/>
          <w:bCs/>
        </w:rPr>
        <w:t>Meeting Notes</w:t>
      </w:r>
    </w:p>
    <w:p w14:paraId="2F568E95" w14:textId="3863D865" w:rsidR="00D55287" w:rsidRDefault="006C651E" w:rsidP="00D55287">
      <w:pPr>
        <w:pStyle w:val="PlainText"/>
        <w:spacing w:line="276" w:lineRule="auto"/>
        <w:rPr>
          <w:b/>
          <w:bCs/>
        </w:rPr>
      </w:pPr>
      <w:r>
        <w:rPr>
          <w:b/>
          <w:bCs/>
        </w:rPr>
        <w:t>Dec</w:t>
      </w:r>
      <w:r w:rsidR="00632A5A">
        <w:rPr>
          <w:b/>
          <w:bCs/>
        </w:rPr>
        <w:t>em</w:t>
      </w:r>
      <w:r w:rsidR="00675532">
        <w:rPr>
          <w:b/>
          <w:bCs/>
        </w:rPr>
        <w:t>ber 1</w:t>
      </w:r>
      <w:r>
        <w:rPr>
          <w:b/>
          <w:bCs/>
        </w:rPr>
        <w:t>3</w:t>
      </w:r>
      <w:r w:rsidR="000B17E9">
        <w:rPr>
          <w:b/>
          <w:bCs/>
        </w:rPr>
        <w:t>, 2023</w:t>
      </w:r>
    </w:p>
    <w:p w14:paraId="07A52EDE" w14:textId="345C719B" w:rsidR="000B17E9" w:rsidRDefault="000B17E9" w:rsidP="00D55287">
      <w:pPr>
        <w:pStyle w:val="PlainText"/>
        <w:spacing w:line="276" w:lineRule="auto"/>
        <w:rPr>
          <w:b/>
          <w:bCs/>
        </w:rPr>
      </w:pPr>
      <w:r>
        <w:rPr>
          <w:b/>
          <w:bCs/>
        </w:rPr>
        <w:t>WebEx</w:t>
      </w:r>
      <w:r w:rsidR="006C651E">
        <w:rPr>
          <w:b/>
          <w:bCs/>
        </w:rPr>
        <w:t xml:space="preserve"> Only</w:t>
      </w:r>
    </w:p>
    <w:p w14:paraId="26A8C3E5" w14:textId="77777777" w:rsidR="00D55287" w:rsidRDefault="00D55287" w:rsidP="00D55287">
      <w:pPr>
        <w:pStyle w:val="PlainText"/>
        <w:numPr>
          <w:ilvl w:val="0"/>
          <w:numId w:val="1"/>
        </w:numPr>
        <w:spacing w:line="276" w:lineRule="auto"/>
        <w:rPr>
          <w:rFonts w:eastAsia="Times New Roman"/>
          <w:b/>
          <w:bCs/>
        </w:rPr>
      </w:pPr>
      <w:r>
        <w:rPr>
          <w:rFonts w:eastAsia="Times New Roman"/>
          <w:b/>
          <w:bCs/>
        </w:rPr>
        <w:t>Antitrust Admonition</w:t>
      </w:r>
    </w:p>
    <w:p w14:paraId="336FF2E5" w14:textId="77777777" w:rsidR="00D55287" w:rsidRDefault="00D55287" w:rsidP="00D55287">
      <w:pPr>
        <w:pStyle w:val="PlainText"/>
        <w:numPr>
          <w:ilvl w:val="0"/>
          <w:numId w:val="1"/>
        </w:numPr>
        <w:spacing w:line="276" w:lineRule="auto"/>
        <w:rPr>
          <w:rFonts w:eastAsia="Times New Roman"/>
          <w:b/>
          <w:bCs/>
        </w:rPr>
      </w:pPr>
      <w:r>
        <w:rPr>
          <w:rFonts w:eastAsia="Times New Roman"/>
          <w:b/>
          <w:bCs/>
        </w:rPr>
        <w:t>Agenda Review</w:t>
      </w:r>
    </w:p>
    <w:p w14:paraId="68C618B3" w14:textId="4785AAE0" w:rsidR="00D55287" w:rsidRDefault="00D55287" w:rsidP="00D55287">
      <w:pPr>
        <w:pStyle w:val="PlainText"/>
        <w:numPr>
          <w:ilvl w:val="0"/>
          <w:numId w:val="1"/>
        </w:numPr>
        <w:spacing w:line="276" w:lineRule="auto"/>
        <w:rPr>
          <w:rFonts w:eastAsia="Times New Roman"/>
          <w:b/>
          <w:bCs/>
        </w:rPr>
      </w:pPr>
      <w:r>
        <w:rPr>
          <w:rFonts w:eastAsia="Times New Roman"/>
          <w:b/>
          <w:bCs/>
        </w:rPr>
        <w:t xml:space="preserve">Review of PLWG Meeting Minutes from </w:t>
      </w:r>
      <w:r w:rsidR="006C651E">
        <w:rPr>
          <w:rFonts w:eastAsia="Times New Roman"/>
          <w:b/>
          <w:bCs/>
        </w:rPr>
        <w:t>Novem</w:t>
      </w:r>
      <w:r w:rsidR="0090049D">
        <w:rPr>
          <w:rFonts w:eastAsia="Times New Roman"/>
          <w:b/>
          <w:bCs/>
        </w:rPr>
        <w:t>ber 1</w:t>
      </w:r>
      <w:r w:rsidR="006C651E">
        <w:rPr>
          <w:rFonts w:eastAsia="Times New Roman"/>
          <w:b/>
          <w:bCs/>
        </w:rPr>
        <w:t>4</w:t>
      </w:r>
      <w:r>
        <w:rPr>
          <w:rFonts w:eastAsia="Times New Roman"/>
          <w:b/>
          <w:bCs/>
        </w:rPr>
        <w:t>, 2023</w:t>
      </w:r>
    </w:p>
    <w:p w14:paraId="722B3DBD" w14:textId="1046291E" w:rsidR="000B17E9" w:rsidRDefault="000B17E9" w:rsidP="000B17E9">
      <w:pPr>
        <w:pStyle w:val="PlainText"/>
        <w:numPr>
          <w:ilvl w:val="1"/>
          <w:numId w:val="1"/>
        </w:numPr>
        <w:spacing w:line="276" w:lineRule="auto"/>
        <w:rPr>
          <w:rFonts w:eastAsia="Times New Roman"/>
          <w:b/>
          <w:bCs/>
        </w:rPr>
      </w:pPr>
      <w:r>
        <w:rPr>
          <w:rFonts w:eastAsia="Times New Roman"/>
        </w:rPr>
        <w:t xml:space="preserve">No changes were made to the meeting </w:t>
      </w:r>
      <w:proofErr w:type="gramStart"/>
      <w:r>
        <w:rPr>
          <w:rFonts w:eastAsia="Times New Roman"/>
        </w:rPr>
        <w:t>notes</w:t>
      </w:r>
      <w:proofErr w:type="gramEnd"/>
    </w:p>
    <w:p w14:paraId="744E4766" w14:textId="77777777" w:rsidR="00675532" w:rsidRDefault="00675532" w:rsidP="00675532">
      <w:pPr>
        <w:pStyle w:val="PlainText"/>
        <w:numPr>
          <w:ilvl w:val="0"/>
          <w:numId w:val="1"/>
        </w:numPr>
        <w:spacing w:line="276" w:lineRule="auto"/>
        <w:rPr>
          <w:rFonts w:eastAsia="Times New Roman"/>
        </w:rPr>
      </w:pPr>
      <w:r>
        <w:rPr>
          <w:rFonts w:eastAsia="Times New Roman"/>
          <w:b/>
          <w:bCs/>
        </w:rPr>
        <w:t>General Update</w:t>
      </w:r>
    </w:p>
    <w:p w14:paraId="39BAA022" w14:textId="77777777" w:rsidR="006C651E" w:rsidRDefault="006C651E" w:rsidP="006C651E">
      <w:pPr>
        <w:pStyle w:val="PlainText"/>
        <w:numPr>
          <w:ilvl w:val="1"/>
          <w:numId w:val="1"/>
        </w:numPr>
        <w:spacing w:line="276" w:lineRule="auto"/>
        <w:rPr>
          <w:rFonts w:eastAsia="Times New Roman"/>
        </w:rPr>
      </w:pPr>
      <w:r>
        <w:rPr>
          <w:rFonts w:eastAsia="Times New Roman"/>
        </w:rPr>
        <w:t>Alexandra Miller (EDF Renewables) nominated Dylan Preas (LCRA TSC), the current vice-chair, to serve as chair in 2024.</w:t>
      </w:r>
    </w:p>
    <w:p w14:paraId="479DFF29" w14:textId="77777777" w:rsidR="006C651E" w:rsidRDefault="006C651E" w:rsidP="006C651E">
      <w:pPr>
        <w:pStyle w:val="PlainText"/>
        <w:numPr>
          <w:ilvl w:val="1"/>
          <w:numId w:val="1"/>
        </w:numPr>
        <w:spacing w:line="276" w:lineRule="auto"/>
        <w:rPr>
          <w:rFonts w:eastAsia="Times New Roman"/>
        </w:rPr>
      </w:pPr>
      <w:r>
        <w:rPr>
          <w:rFonts w:eastAsia="Times New Roman"/>
        </w:rPr>
        <w:t>Harsh Naik (Oncor) nominated Mina Turner (AEP) to serve as vice-chair in 2024.</w:t>
      </w:r>
    </w:p>
    <w:p w14:paraId="710E2DC7" w14:textId="13529453" w:rsidR="0090049D" w:rsidRDefault="006C651E" w:rsidP="006C651E">
      <w:pPr>
        <w:pStyle w:val="PlainText"/>
        <w:numPr>
          <w:ilvl w:val="1"/>
          <w:numId w:val="1"/>
        </w:numPr>
        <w:spacing w:line="276" w:lineRule="auto"/>
        <w:rPr>
          <w:rFonts w:eastAsia="Times New Roman"/>
        </w:rPr>
      </w:pPr>
      <w:r>
        <w:rPr>
          <w:rFonts w:eastAsia="Times New Roman"/>
        </w:rPr>
        <w:t>There were no other nominations for chair and vice-chair, so Dylan Preas and Mina Turner would be proposed to ROS as unopposed candidates for chair and vice-chair.</w:t>
      </w:r>
    </w:p>
    <w:p w14:paraId="18E2B917" w14:textId="77777777" w:rsidR="006C651E" w:rsidRDefault="006C651E" w:rsidP="006C651E">
      <w:pPr>
        <w:pStyle w:val="PlainText"/>
        <w:numPr>
          <w:ilvl w:val="0"/>
          <w:numId w:val="1"/>
        </w:numPr>
        <w:spacing w:line="276" w:lineRule="auto"/>
        <w:rPr>
          <w:rFonts w:eastAsia="Times New Roman"/>
          <w:b/>
          <w:bCs/>
        </w:rPr>
      </w:pPr>
      <w:hyperlink r:id="rId5" w:history="1">
        <w:r>
          <w:rPr>
            <w:rStyle w:val="Hyperlink"/>
            <w:rFonts w:eastAsia="Times New Roman"/>
            <w:b/>
            <w:bCs/>
          </w:rPr>
          <w:t>PGRR 112</w:t>
        </w:r>
      </w:hyperlink>
      <w:r>
        <w:rPr>
          <w:rFonts w:eastAsia="Times New Roman"/>
          <w:b/>
          <w:bCs/>
        </w:rPr>
        <w:t xml:space="preserve"> Dynamic Data Model and Full Interconnection Study (FIS) Deadline for Quarterly Stability Assessment (Jenifer Fernandes, ERCOT)</w:t>
      </w:r>
    </w:p>
    <w:p w14:paraId="4CE35A3B" w14:textId="48A77A78" w:rsidR="006C651E" w:rsidRDefault="006C651E" w:rsidP="006C651E">
      <w:pPr>
        <w:pStyle w:val="PlainText"/>
        <w:numPr>
          <w:ilvl w:val="1"/>
          <w:numId w:val="1"/>
        </w:numPr>
        <w:spacing w:line="276" w:lineRule="auto"/>
        <w:rPr>
          <w:rFonts w:eastAsia="Times New Roman"/>
        </w:rPr>
      </w:pPr>
      <w:r>
        <w:rPr>
          <w:rFonts w:eastAsia="Times New Roman"/>
        </w:rPr>
        <w:t>In November, Jenifer said that ERCOT would submit comments in response to comments submitted by LCRA TSC. Jenifer said that the ERCOT comments are currently undergoing legal review.</w:t>
      </w:r>
    </w:p>
    <w:p w14:paraId="49097016" w14:textId="77777777" w:rsidR="006C651E" w:rsidRDefault="006C651E" w:rsidP="006C651E">
      <w:pPr>
        <w:pStyle w:val="PlainText"/>
        <w:numPr>
          <w:ilvl w:val="1"/>
          <w:numId w:val="1"/>
        </w:numPr>
        <w:spacing w:line="276" w:lineRule="auto"/>
        <w:rPr>
          <w:rFonts w:eastAsia="Times New Roman"/>
        </w:rPr>
      </w:pPr>
      <w:r>
        <w:rPr>
          <w:rFonts w:eastAsia="Times New Roman"/>
          <w:i/>
          <w:iCs/>
        </w:rPr>
        <w:t>PLWG agreed to table PGRR 112 for further discussion at the January meeting.</w:t>
      </w:r>
    </w:p>
    <w:p w14:paraId="0A1DCFFE" w14:textId="77777777" w:rsidR="006C651E" w:rsidRDefault="006C651E" w:rsidP="006C651E">
      <w:pPr>
        <w:pStyle w:val="PlainText"/>
        <w:numPr>
          <w:ilvl w:val="0"/>
          <w:numId w:val="1"/>
        </w:numPr>
        <w:spacing w:line="276" w:lineRule="auto"/>
        <w:rPr>
          <w:rFonts w:eastAsia="Times New Roman"/>
          <w:b/>
          <w:bCs/>
        </w:rPr>
      </w:pPr>
      <w:hyperlink r:id="rId6" w:history="1">
        <w:r>
          <w:rPr>
            <w:rStyle w:val="Hyperlink"/>
            <w:rFonts w:eastAsia="Times New Roman"/>
            <w:b/>
            <w:bCs/>
          </w:rPr>
          <w:t>PGRR 113</w:t>
        </w:r>
      </w:hyperlink>
      <w:r>
        <w:rPr>
          <w:rFonts w:eastAsia="Times New Roman"/>
          <w:b/>
          <w:bCs/>
        </w:rPr>
        <w:t xml:space="preserve"> Related to NPRR 1198 – Congestion Mitigation Using Topology Reconfigurations (Ping Yan, ERCOT)</w:t>
      </w:r>
    </w:p>
    <w:p w14:paraId="34C0E824" w14:textId="77777777" w:rsidR="006C651E" w:rsidRDefault="006C651E" w:rsidP="006C651E">
      <w:pPr>
        <w:pStyle w:val="PlainText"/>
        <w:numPr>
          <w:ilvl w:val="1"/>
          <w:numId w:val="1"/>
        </w:numPr>
        <w:spacing w:line="276" w:lineRule="auto"/>
        <w:rPr>
          <w:rFonts w:eastAsia="Times New Roman"/>
        </w:rPr>
      </w:pPr>
      <w:r>
        <w:rPr>
          <w:rFonts w:eastAsia="Times New Roman"/>
        </w:rPr>
        <w:t xml:space="preserve">PGRR 113 clarifies that ERCOT will </w:t>
      </w:r>
      <w:r>
        <w:rPr>
          <w:rFonts w:eastAsia="Times New Roman"/>
          <w:u w:val="single"/>
        </w:rPr>
        <w:t>not</w:t>
      </w:r>
      <w:r>
        <w:rPr>
          <w:rFonts w:eastAsia="Times New Roman"/>
        </w:rPr>
        <w:t xml:space="preserve"> use CMPs to resolve performance deficiencies in the RTP unless ERCOT expects that system conditions will change such that the CMP will no longer be needed within the next five years.</w:t>
      </w:r>
    </w:p>
    <w:p w14:paraId="67966EA3" w14:textId="13585138" w:rsidR="006C651E" w:rsidRDefault="006C651E" w:rsidP="006C651E">
      <w:pPr>
        <w:pStyle w:val="PlainText"/>
        <w:numPr>
          <w:ilvl w:val="1"/>
          <w:numId w:val="1"/>
        </w:numPr>
        <w:spacing w:line="276" w:lineRule="auto"/>
        <w:rPr>
          <w:rFonts w:eastAsia="Times New Roman"/>
        </w:rPr>
      </w:pPr>
      <w:r>
        <w:rPr>
          <w:rFonts w:eastAsia="Times New Roman"/>
        </w:rPr>
        <w:t>A participant</w:t>
      </w:r>
      <w:r>
        <w:rPr>
          <w:rFonts w:eastAsia="Times New Roman"/>
        </w:rPr>
        <w:t xml:space="preserve"> commented that EAPs in the network operations model may flow into the SSWG model cases and would need to be reversed. Ping said that temporary settings affected by an EAP would be reverted before being modeled in the SSWG base cases. </w:t>
      </w:r>
      <w:r>
        <w:rPr>
          <w:rFonts w:eastAsia="Times New Roman"/>
        </w:rPr>
        <w:t>The group agreed</w:t>
      </w:r>
      <w:r>
        <w:rPr>
          <w:rFonts w:eastAsia="Times New Roman"/>
        </w:rPr>
        <w:t xml:space="preserve"> that this should be clarified in the SSWG Procedure Manual.</w:t>
      </w:r>
    </w:p>
    <w:p w14:paraId="111F60F3" w14:textId="341F9103" w:rsidR="006C651E" w:rsidRDefault="006C651E" w:rsidP="006C651E">
      <w:pPr>
        <w:pStyle w:val="PlainText"/>
        <w:numPr>
          <w:ilvl w:val="1"/>
          <w:numId w:val="1"/>
        </w:numPr>
        <w:spacing w:line="276" w:lineRule="auto"/>
        <w:rPr>
          <w:rFonts w:eastAsia="Times New Roman"/>
        </w:rPr>
      </w:pPr>
      <w:r>
        <w:rPr>
          <w:rFonts w:eastAsia="Times New Roman"/>
          <w:i/>
          <w:iCs/>
        </w:rPr>
        <w:t xml:space="preserve">PLWG agreed to send PGRR 113 to ROS </w:t>
      </w:r>
      <w:r>
        <w:rPr>
          <w:rFonts w:eastAsia="Times New Roman"/>
          <w:i/>
          <w:iCs/>
        </w:rPr>
        <w:t>for endorsement</w:t>
      </w:r>
      <w:r>
        <w:rPr>
          <w:rFonts w:eastAsia="Times New Roman"/>
          <w:i/>
          <w:iCs/>
        </w:rPr>
        <w:t xml:space="preserve"> along with NPRR 1198 and</w:t>
      </w:r>
      <w:r>
        <w:rPr>
          <w:rFonts w:eastAsia="Times New Roman"/>
          <w:i/>
          <w:iCs/>
        </w:rPr>
        <w:t xml:space="preserve"> suggest that</w:t>
      </w:r>
      <w:r>
        <w:rPr>
          <w:rFonts w:eastAsia="Times New Roman"/>
          <w:i/>
          <w:iCs/>
        </w:rPr>
        <w:t xml:space="preserve"> related updates to the SSWG Procedure Manual</w:t>
      </w:r>
      <w:r>
        <w:rPr>
          <w:rFonts w:eastAsia="Times New Roman"/>
          <w:i/>
          <w:iCs/>
        </w:rPr>
        <w:t xml:space="preserve"> are made in parallel</w:t>
      </w:r>
      <w:r>
        <w:rPr>
          <w:rFonts w:eastAsia="Times New Roman"/>
          <w:i/>
          <w:iCs/>
        </w:rPr>
        <w:t>.</w:t>
      </w:r>
    </w:p>
    <w:p w14:paraId="7BD6F5CF" w14:textId="77777777" w:rsidR="006C651E" w:rsidRDefault="006C651E" w:rsidP="006C651E">
      <w:pPr>
        <w:pStyle w:val="ListParagraph"/>
        <w:numPr>
          <w:ilvl w:val="0"/>
          <w:numId w:val="1"/>
        </w:numPr>
        <w:spacing w:line="276" w:lineRule="auto"/>
        <w:rPr>
          <w:rFonts w:ascii="Arial" w:eastAsia="Times New Roman" w:hAnsi="Arial" w:cs="Arial"/>
          <w:b/>
          <w:bCs/>
        </w:rPr>
      </w:pPr>
      <w:hyperlink r:id="rId7" w:history="1">
        <w:r>
          <w:rPr>
            <w:rStyle w:val="Hyperlink"/>
            <w:rFonts w:ascii="Arial" w:eastAsia="Times New Roman" w:hAnsi="Arial" w:cs="Arial"/>
            <w:b/>
            <w:bCs/>
          </w:rPr>
          <w:t>PGRR 107</w:t>
        </w:r>
      </w:hyperlink>
      <w:r>
        <w:rPr>
          <w:rFonts w:ascii="Arial" w:eastAsia="Times New Roman" w:hAnsi="Arial" w:cs="Arial"/>
          <w:b/>
          <w:bCs/>
        </w:rPr>
        <w:t xml:space="preserve"> (</w:t>
      </w:r>
      <w:hyperlink r:id="rId8" w:history="1">
        <w:r>
          <w:rPr>
            <w:rStyle w:val="Hyperlink"/>
            <w:rFonts w:ascii="Arial" w:eastAsia="Times New Roman" w:hAnsi="Arial" w:cs="Arial"/>
            <w:b/>
            <w:bCs/>
          </w:rPr>
          <w:t>NPRR 1180</w:t>
        </w:r>
      </w:hyperlink>
      <w:r>
        <w:rPr>
          <w:rFonts w:ascii="Arial" w:eastAsia="Times New Roman" w:hAnsi="Arial" w:cs="Arial"/>
          <w:b/>
          <w:bCs/>
        </w:rPr>
        <w:t xml:space="preserve">) – Inclusion of Forecasted Load in Planning Analyses (Nathan </w:t>
      </w:r>
      <w:proofErr w:type="spellStart"/>
      <w:r>
        <w:rPr>
          <w:rFonts w:ascii="Arial" w:eastAsia="Times New Roman" w:hAnsi="Arial" w:cs="Arial"/>
          <w:b/>
          <w:bCs/>
        </w:rPr>
        <w:t>Bigbee</w:t>
      </w:r>
      <w:proofErr w:type="spellEnd"/>
      <w:r>
        <w:rPr>
          <w:rFonts w:ascii="Arial" w:eastAsia="Times New Roman" w:hAnsi="Arial" w:cs="Arial"/>
          <w:b/>
          <w:bCs/>
        </w:rPr>
        <w:t>, ERCOT)</w:t>
      </w:r>
    </w:p>
    <w:p w14:paraId="00A0F47F" w14:textId="77777777" w:rsidR="006C651E" w:rsidRDefault="006C651E" w:rsidP="006C651E">
      <w:pPr>
        <w:pStyle w:val="ListParagraph"/>
        <w:numPr>
          <w:ilvl w:val="1"/>
          <w:numId w:val="1"/>
        </w:numPr>
        <w:spacing w:line="276" w:lineRule="auto"/>
        <w:rPr>
          <w:rFonts w:ascii="Arial" w:eastAsia="Times New Roman" w:hAnsi="Arial" w:cs="Arial"/>
        </w:rPr>
      </w:pPr>
      <w:r>
        <w:rPr>
          <w:rFonts w:ascii="Arial" w:eastAsia="Times New Roman" w:hAnsi="Arial" w:cs="Arial"/>
        </w:rPr>
        <w:t xml:space="preserve">ERCOT submitted </w:t>
      </w:r>
      <w:hyperlink r:id="rId9" w:history="1">
        <w:r>
          <w:rPr>
            <w:rStyle w:val="Hyperlink"/>
            <w:rFonts w:ascii="Arial" w:eastAsia="Times New Roman" w:hAnsi="Arial" w:cs="Arial"/>
          </w:rPr>
          <w:t>reply comments</w:t>
        </w:r>
      </w:hyperlink>
      <w:r>
        <w:rPr>
          <w:rFonts w:ascii="Arial" w:eastAsia="Times New Roman" w:hAnsi="Arial" w:cs="Arial"/>
        </w:rPr>
        <w:t xml:space="preserve"> on December 13. Nathan </w:t>
      </w:r>
      <w:proofErr w:type="spellStart"/>
      <w:r>
        <w:rPr>
          <w:rFonts w:ascii="Arial" w:eastAsia="Times New Roman" w:hAnsi="Arial" w:cs="Arial"/>
        </w:rPr>
        <w:t>Bigbee</w:t>
      </w:r>
      <w:proofErr w:type="spellEnd"/>
      <w:r>
        <w:rPr>
          <w:rFonts w:ascii="Arial" w:eastAsia="Times New Roman" w:hAnsi="Arial" w:cs="Arial"/>
        </w:rPr>
        <w:t xml:space="preserve">, Deputy General Counsel at ERCOT, summarized the comments. ERCOT also submitted </w:t>
      </w:r>
      <w:hyperlink r:id="rId10" w:history="1">
        <w:r>
          <w:rPr>
            <w:rStyle w:val="Hyperlink"/>
            <w:rFonts w:ascii="Arial" w:eastAsia="Times New Roman" w:hAnsi="Arial" w:cs="Arial"/>
          </w:rPr>
          <w:t>reply comments</w:t>
        </w:r>
      </w:hyperlink>
      <w:r>
        <w:rPr>
          <w:rFonts w:ascii="Arial" w:eastAsia="Times New Roman" w:hAnsi="Arial" w:cs="Arial"/>
        </w:rPr>
        <w:t xml:space="preserve"> to NPRR 1180.</w:t>
      </w:r>
    </w:p>
    <w:p w14:paraId="39D06E00" w14:textId="77777777" w:rsidR="006C651E" w:rsidRDefault="006C651E" w:rsidP="006C651E">
      <w:pPr>
        <w:pStyle w:val="ListParagraph"/>
        <w:numPr>
          <w:ilvl w:val="1"/>
          <w:numId w:val="1"/>
        </w:numPr>
        <w:spacing w:line="276" w:lineRule="auto"/>
        <w:rPr>
          <w:rFonts w:ascii="Arial" w:eastAsia="Times New Roman" w:hAnsi="Arial" w:cs="Arial"/>
        </w:rPr>
      </w:pPr>
      <w:r>
        <w:rPr>
          <w:rFonts w:ascii="Arial" w:eastAsia="Times New Roman" w:hAnsi="Arial" w:cs="Arial"/>
        </w:rPr>
        <w:t xml:space="preserve">ERCOT asserts that it is only required to consider – not “accept at face value” as asserted by Oncor – a load forecast provided by a TSP. Instead, ERCOT says that it must assess the TSP load forecast to be “credible” as a condition for using that forecast in its planning analyses; ERCOT believes this “credibility” test </w:t>
      </w:r>
      <w:r>
        <w:rPr>
          <w:rFonts w:ascii="Arial" w:eastAsia="Times New Roman" w:hAnsi="Arial" w:cs="Arial"/>
        </w:rPr>
        <w:lastRenderedPageBreak/>
        <w:t>should be explicitly stated given the potential for TSP load forecast information to affect RTP and EIR analyses.</w:t>
      </w:r>
    </w:p>
    <w:p w14:paraId="0C18C2E2" w14:textId="77777777" w:rsidR="006C651E" w:rsidRDefault="006C651E" w:rsidP="006C651E">
      <w:pPr>
        <w:pStyle w:val="ListParagraph"/>
        <w:numPr>
          <w:ilvl w:val="1"/>
          <w:numId w:val="1"/>
        </w:numPr>
        <w:spacing w:line="276" w:lineRule="auto"/>
        <w:rPr>
          <w:rFonts w:ascii="Arial" w:eastAsia="Times New Roman" w:hAnsi="Arial" w:cs="Arial"/>
        </w:rPr>
      </w:pPr>
      <w:r>
        <w:rPr>
          <w:rFonts w:ascii="Arial" w:eastAsia="Times New Roman" w:hAnsi="Arial" w:cs="Arial"/>
        </w:rPr>
        <w:t xml:space="preserve">ERCOT disagrees that it should be required to endorse a project that is </w:t>
      </w:r>
      <w:r>
        <w:rPr>
          <w:rFonts w:ascii="Arial" w:eastAsia="Times New Roman" w:hAnsi="Arial" w:cs="Arial"/>
          <w:u w:val="single"/>
        </w:rPr>
        <w:t>not</w:t>
      </w:r>
      <w:r>
        <w:rPr>
          <w:rFonts w:ascii="Arial" w:eastAsia="Times New Roman" w:hAnsi="Arial" w:cs="Arial"/>
        </w:rPr>
        <w:t xml:space="preserve"> supported by an interconnection agreement or other credible and quantifiable evidence supporting the TSP load forecast. For Tier 1 and Tier 2 projects requiring a CCN, the EIR will evaluate the proposed project with and without a load that ERCOT has evaluated to be not credible; then, as part of the CCN process, the PUCT would have to authority to adjudicate the credibility of the TSP load forecast and the need for the project.</w:t>
      </w:r>
    </w:p>
    <w:p w14:paraId="2CF8FE9E" w14:textId="3E77E29F" w:rsidR="006C651E" w:rsidRDefault="006C651E" w:rsidP="006C651E">
      <w:pPr>
        <w:pStyle w:val="ListParagraph"/>
        <w:numPr>
          <w:ilvl w:val="1"/>
          <w:numId w:val="1"/>
        </w:numPr>
        <w:spacing w:line="276" w:lineRule="auto"/>
        <w:rPr>
          <w:rFonts w:ascii="Arial" w:eastAsia="Times New Roman" w:hAnsi="Arial" w:cs="Arial"/>
        </w:rPr>
      </w:pPr>
      <w:r>
        <w:rPr>
          <w:rFonts w:ascii="Arial" w:eastAsia="Times New Roman" w:hAnsi="Arial" w:cs="Arial"/>
        </w:rPr>
        <w:t xml:space="preserve">A </w:t>
      </w:r>
      <w:proofErr w:type="spellStart"/>
      <w:r>
        <w:rPr>
          <w:rFonts w:ascii="Arial" w:eastAsia="Times New Roman" w:hAnsi="Arial" w:cs="Arial"/>
        </w:rPr>
        <w:t>partipant</w:t>
      </w:r>
      <w:proofErr w:type="spellEnd"/>
      <w:r>
        <w:rPr>
          <w:rFonts w:ascii="Arial" w:eastAsia="Times New Roman" w:hAnsi="Arial" w:cs="Arial"/>
        </w:rPr>
        <w:t xml:space="preserve"> asked if ERCOT believes the load forecasts in the SSWG cases and if ERCOT will require additional information to justify those load forecasts. Ping Yan (ERCOT) said that ERCOT incorporates SSWG load forecasts into the RTP cases via the RTP load review process.</w:t>
      </w:r>
    </w:p>
    <w:p w14:paraId="674CB4CF" w14:textId="77777777" w:rsidR="006C651E" w:rsidRDefault="006C651E" w:rsidP="006C651E">
      <w:pPr>
        <w:pStyle w:val="ListParagraph"/>
        <w:numPr>
          <w:ilvl w:val="1"/>
          <w:numId w:val="1"/>
        </w:numPr>
        <w:spacing w:line="276" w:lineRule="auto"/>
        <w:rPr>
          <w:rFonts w:ascii="Arial" w:eastAsia="Times New Roman" w:hAnsi="Arial" w:cs="Arial"/>
        </w:rPr>
      </w:pPr>
      <w:r>
        <w:rPr>
          <w:rFonts w:ascii="Arial" w:eastAsia="Times New Roman" w:hAnsi="Arial" w:cs="Arial"/>
        </w:rPr>
        <w:t xml:space="preserve">Martha Henson (Oncor) said that PGRR 107 was not intended to permit the use of speculative load in TSP or ERCOT transmission analyses. Martha asked ERCOT to explain how it evaluates credibility and what quantifiable evidence would sufficiently demonstrate credibility. Nathan said that the ERCOT comments answer this in more detail. Qualitatively, ERCOT would prefer to have a </w:t>
      </w:r>
      <w:proofErr w:type="gramStart"/>
      <w:r>
        <w:rPr>
          <w:rFonts w:ascii="Arial" w:eastAsia="Times New Roman" w:hAnsi="Arial" w:cs="Arial"/>
        </w:rPr>
        <w:t>looser criteria</w:t>
      </w:r>
      <w:proofErr w:type="gramEnd"/>
      <w:r>
        <w:rPr>
          <w:rFonts w:ascii="Arial" w:eastAsia="Times New Roman" w:hAnsi="Arial" w:cs="Arial"/>
        </w:rPr>
        <w:t xml:space="preserve"> with respect to credibility and allow the PUCT to determine credibility in the CCN process according to more stringent criteria.</w:t>
      </w:r>
    </w:p>
    <w:p w14:paraId="7A9F2B4A" w14:textId="04C158FF" w:rsidR="00551E59" w:rsidRPr="00551E59" w:rsidRDefault="006C651E" w:rsidP="006C651E">
      <w:pPr>
        <w:pStyle w:val="PlainText"/>
        <w:numPr>
          <w:ilvl w:val="1"/>
          <w:numId w:val="1"/>
        </w:numPr>
        <w:spacing w:line="276" w:lineRule="auto"/>
        <w:rPr>
          <w:rFonts w:eastAsia="Times New Roman"/>
        </w:rPr>
      </w:pPr>
      <w:r>
        <w:rPr>
          <w:rFonts w:eastAsia="Times New Roman"/>
          <w:i/>
          <w:iCs/>
        </w:rPr>
        <w:t>PLWG agreed to table the revised NPRR 1180 and PGRR 107 for further discussion at the January meeting.</w:t>
      </w:r>
    </w:p>
    <w:p w14:paraId="19BB705F" w14:textId="6554A086" w:rsidR="004152AB" w:rsidRDefault="004152AB" w:rsidP="004152AB">
      <w:pPr>
        <w:pStyle w:val="PlainText"/>
        <w:numPr>
          <w:ilvl w:val="0"/>
          <w:numId w:val="1"/>
        </w:numPr>
        <w:spacing w:line="276" w:lineRule="auto"/>
        <w:rPr>
          <w:rFonts w:eastAsia="Times New Roman"/>
          <w:b/>
          <w:bCs/>
        </w:rPr>
      </w:pPr>
      <w:r>
        <w:rPr>
          <w:rFonts w:eastAsia="Times New Roman"/>
          <w:b/>
          <w:bCs/>
        </w:rPr>
        <w:t>Review Open Action Items</w:t>
      </w:r>
    </w:p>
    <w:p w14:paraId="46D2BBDC" w14:textId="77777777" w:rsidR="004152AB" w:rsidRDefault="004152AB" w:rsidP="004152AB">
      <w:pPr>
        <w:pStyle w:val="ListParagraph"/>
        <w:numPr>
          <w:ilvl w:val="1"/>
          <w:numId w:val="1"/>
        </w:numPr>
        <w:spacing w:line="276" w:lineRule="auto"/>
        <w:rPr>
          <w:rFonts w:ascii="Arial" w:eastAsia="Times New Roman" w:hAnsi="Arial" w:cs="Arial"/>
        </w:rPr>
      </w:pPr>
      <w:r>
        <w:rPr>
          <w:rFonts w:ascii="Arial" w:eastAsia="Times New Roman" w:hAnsi="Arial" w:cs="Arial"/>
          <w:b/>
          <w:bCs/>
        </w:rPr>
        <w:t>FAC-002-4 Qualified Change.</w:t>
      </w:r>
      <w:r>
        <w:rPr>
          <w:rFonts w:ascii="Arial" w:eastAsia="Times New Roman" w:hAnsi="Arial" w:cs="Arial"/>
        </w:rPr>
        <w:t xml:space="preserve"> (No updates)</w:t>
      </w:r>
    </w:p>
    <w:p w14:paraId="1D7DCE7A" w14:textId="7C0A96BB" w:rsidR="004152AB" w:rsidRDefault="004152AB" w:rsidP="004152AB">
      <w:pPr>
        <w:pStyle w:val="ListParagraph"/>
        <w:numPr>
          <w:ilvl w:val="1"/>
          <w:numId w:val="1"/>
        </w:numPr>
        <w:spacing w:line="276" w:lineRule="auto"/>
        <w:rPr>
          <w:rFonts w:ascii="Arial" w:eastAsia="Times New Roman" w:hAnsi="Arial" w:cs="Arial"/>
        </w:rPr>
      </w:pPr>
      <w:r>
        <w:rPr>
          <w:rFonts w:ascii="Arial" w:eastAsia="Times New Roman" w:hAnsi="Arial" w:cs="Arial"/>
          <w:b/>
          <w:bCs/>
        </w:rPr>
        <w:t>ERCOT Congestion Cost Savings Test.</w:t>
      </w:r>
      <w:r>
        <w:rPr>
          <w:rFonts w:ascii="Arial" w:eastAsia="Times New Roman" w:hAnsi="Arial" w:cs="Arial"/>
        </w:rPr>
        <w:t xml:space="preserve"> </w:t>
      </w:r>
      <w:r w:rsidR="006C651E">
        <w:rPr>
          <w:rFonts w:ascii="Arial" w:eastAsia="Times New Roman" w:hAnsi="Arial" w:cs="Arial"/>
        </w:rPr>
        <w:t>(No updates)</w:t>
      </w:r>
    </w:p>
    <w:p w14:paraId="7E66D2D7" w14:textId="3D456C29" w:rsidR="004152AB" w:rsidRDefault="00000000" w:rsidP="004152AB">
      <w:pPr>
        <w:pStyle w:val="ListParagraph"/>
        <w:numPr>
          <w:ilvl w:val="1"/>
          <w:numId w:val="1"/>
        </w:numPr>
        <w:spacing w:line="276" w:lineRule="auto"/>
        <w:rPr>
          <w:rFonts w:ascii="Arial" w:eastAsia="Times New Roman" w:hAnsi="Arial" w:cs="Arial"/>
        </w:rPr>
      </w:pPr>
      <w:hyperlink r:id="rId11" w:history="1">
        <w:r w:rsidR="004152AB">
          <w:rPr>
            <w:rStyle w:val="Hyperlink"/>
            <w:rFonts w:ascii="Arial" w:eastAsia="Times New Roman" w:hAnsi="Arial" w:cs="Arial"/>
            <w:b/>
            <w:bCs/>
          </w:rPr>
          <w:t>NPRR 1070</w:t>
        </w:r>
      </w:hyperlink>
      <w:r w:rsidR="004152AB">
        <w:rPr>
          <w:rFonts w:ascii="Arial" w:eastAsia="Times New Roman" w:hAnsi="Arial" w:cs="Arial"/>
          <w:b/>
          <w:bCs/>
        </w:rPr>
        <w:t xml:space="preserve"> – Planning Criteria for GTC Exit Solutions.</w:t>
      </w:r>
      <w:r w:rsidR="004152AB">
        <w:rPr>
          <w:rFonts w:ascii="Arial" w:eastAsia="Times New Roman" w:hAnsi="Arial" w:cs="Arial"/>
        </w:rPr>
        <w:t xml:space="preserve"> </w:t>
      </w:r>
      <w:r w:rsidR="00E16285">
        <w:rPr>
          <w:rFonts w:ascii="Arial" w:eastAsia="Times New Roman" w:hAnsi="Arial" w:cs="Arial"/>
        </w:rPr>
        <w:t>Remains tabled while alternative revisions are drafted</w:t>
      </w:r>
      <w:r w:rsidR="004152AB">
        <w:rPr>
          <w:rFonts w:ascii="Arial" w:eastAsia="Times New Roman" w:hAnsi="Arial" w:cs="Arial"/>
        </w:rPr>
        <w:t>.</w:t>
      </w:r>
    </w:p>
    <w:p w14:paraId="2B532DD9" w14:textId="225BD40E" w:rsidR="006C651E" w:rsidRDefault="006C651E" w:rsidP="004152AB">
      <w:pPr>
        <w:pStyle w:val="ListParagraph"/>
        <w:numPr>
          <w:ilvl w:val="1"/>
          <w:numId w:val="1"/>
        </w:numPr>
        <w:spacing w:line="276" w:lineRule="auto"/>
        <w:rPr>
          <w:rFonts w:ascii="Arial" w:eastAsia="Times New Roman" w:hAnsi="Arial" w:cs="Arial"/>
        </w:rPr>
      </w:pPr>
      <w:r>
        <w:rPr>
          <w:rFonts w:ascii="Arial" w:eastAsia="Times New Roman" w:hAnsi="Arial" w:cs="Arial"/>
          <w:b/>
          <w:bCs/>
        </w:rPr>
        <w:t>SSWG Modeling Assumptions.</w:t>
      </w:r>
      <w:r>
        <w:rPr>
          <w:rFonts w:ascii="Arial" w:eastAsia="Times New Roman" w:hAnsi="Arial" w:cs="Arial"/>
        </w:rPr>
        <w:t xml:space="preserve"> A small group with SSWG and PLWG representation met in late November to discuss this topic. The discussion is still ongoing.</w:t>
      </w:r>
    </w:p>
    <w:p w14:paraId="41B081C8" w14:textId="77777777" w:rsidR="00675532" w:rsidRDefault="00675532" w:rsidP="00675532">
      <w:pPr>
        <w:pStyle w:val="PlainText"/>
        <w:numPr>
          <w:ilvl w:val="0"/>
          <w:numId w:val="1"/>
        </w:numPr>
        <w:spacing w:line="276" w:lineRule="auto"/>
        <w:rPr>
          <w:rFonts w:eastAsia="Times New Roman"/>
        </w:rPr>
      </w:pPr>
      <w:r>
        <w:rPr>
          <w:rFonts w:eastAsia="Times New Roman"/>
          <w:b/>
          <w:bCs/>
        </w:rPr>
        <w:t>Other Business</w:t>
      </w:r>
    </w:p>
    <w:p w14:paraId="12B95ABB" w14:textId="2A452EFD" w:rsidR="00D55287" w:rsidRPr="00675532" w:rsidRDefault="00675532" w:rsidP="00675532">
      <w:pPr>
        <w:pStyle w:val="PlainText"/>
        <w:numPr>
          <w:ilvl w:val="1"/>
          <w:numId w:val="1"/>
        </w:numPr>
        <w:spacing w:line="276" w:lineRule="auto"/>
        <w:rPr>
          <w:rFonts w:eastAsia="Times New Roman"/>
        </w:rPr>
      </w:pPr>
      <w:r>
        <w:rPr>
          <w:rFonts w:eastAsia="Times New Roman"/>
        </w:rPr>
        <w:t>(None)</w:t>
      </w:r>
    </w:p>
    <w:p w14:paraId="6BDA7599" w14:textId="77777777" w:rsidR="00D55287" w:rsidRDefault="00D55287" w:rsidP="00D55287">
      <w:pPr>
        <w:pStyle w:val="PlainText"/>
        <w:numPr>
          <w:ilvl w:val="0"/>
          <w:numId w:val="1"/>
        </w:numPr>
        <w:spacing w:line="276" w:lineRule="auto"/>
        <w:rPr>
          <w:rFonts w:eastAsia="Times New Roman"/>
          <w:b/>
          <w:bCs/>
        </w:rPr>
      </w:pPr>
      <w:r>
        <w:rPr>
          <w:rFonts w:eastAsia="Times New Roman"/>
          <w:b/>
          <w:bCs/>
        </w:rPr>
        <w:t>Adjourn</w:t>
      </w:r>
    </w:p>
    <w:p w14:paraId="6F1E1E73" w14:textId="59496359" w:rsidR="000B17E9" w:rsidRDefault="000B17E9"/>
    <w:p w14:paraId="6F754524" w14:textId="062A809B" w:rsidR="006C0F0E" w:rsidRPr="006C0F0E" w:rsidRDefault="006C0F0E">
      <w:pPr>
        <w:rPr>
          <w:rFonts w:ascii="Arial" w:hAnsi="Arial" w:cs="Arial"/>
          <w:b/>
          <w:bCs/>
          <w:kern w:val="0"/>
          <w14:ligatures w14:val="none"/>
        </w:rPr>
      </w:pPr>
      <w:r w:rsidRPr="000B17E9">
        <w:rPr>
          <w:rFonts w:ascii="Arial" w:hAnsi="Arial" w:cs="Arial"/>
          <w:b/>
          <w:bCs/>
          <w:kern w:val="0"/>
          <w14:ligatures w14:val="none"/>
        </w:rPr>
        <w:t>Attendees</w:t>
      </w:r>
      <w:r>
        <w:rPr>
          <w:rFonts w:ascii="Arial" w:hAnsi="Arial" w:cs="Arial"/>
          <w:b/>
          <w:bCs/>
          <w:kern w:val="0"/>
          <w14:ligatures w14:val="none"/>
        </w:rPr>
        <w:t xml:space="preserve"> (In-Person)</w:t>
      </w:r>
    </w:p>
    <w:tbl>
      <w:tblPr>
        <w:tblW w:w="9360" w:type="dxa"/>
        <w:tblLook w:val="04A0" w:firstRow="1" w:lastRow="0" w:firstColumn="1" w:lastColumn="0" w:noHBand="0" w:noVBand="1"/>
      </w:tblPr>
      <w:tblGrid>
        <w:gridCol w:w="5700"/>
        <w:gridCol w:w="3660"/>
      </w:tblGrid>
      <w:tr w:rsidR="006C0F0E" w:rsidRPr="006C0F0E" w14:paraId="1AE28F51" w14:textId="77777777" w:rsidTr="00E16285">
        <w:trPr>
          <w:trHeight w:val="300"/>
        </w:trPr>
        <w:tc>
          <w:tcPr>
            <w:tcW w:w="5700" w:type="dxa"/>
            <w:tcBorders>
              <w:top w:val="nil"/>
              <w:left w:val="nil"/>
              <w:bottom w:val="nil"/>
              <w:right w:val="nil"/>
            </w:tcBorders>
            <w:shd w:val="clear" w:color="auto" w:fill="auto"/>
            <w:noWrap/>
            <w:vAlign w:val="bottom"/>
          </w:tcPr>
          <w:p w14:paraId="05E78943" w14:textId="628DD993" w:rsidR="006C0F0E" w:rsidRPr="006C0F0E" w:rsidRDefault="006C651E" w:rsidP="006C0F0E">
            <w:pPr>
              <w:spacing w:after="0" w:line="240" w:lineRule="auto"/>
            </w:pPr>
            <w:r>
              <w:t>n/a</w:t>
            </w:r>
          </w:p>
        </w:tc>
        <w:tc>
          <w:tcPr>
            <w:tcW w:w="3660" w:type="dxa"/>
            <w:tcBorders>
              <w:top w:val="nil"/>
              <w:left w:val="nil"/>
              <w:bottom w:val="nil"/>
              <w:right w:val="nil"/>
            </w:tcBorders>
            <w:shd w:val="clear" w:color="auto" w:fill="auto"/>
            <w:noWrap/>
            <w:vAlign w:val="bottom"/>
          </w:tcPr>
          <w:p w14:paraId="1E89788E" w14:textId="0C9BEEBF" w:rsidR="006C0F0E" w:rsidRPr="006C0F0E" w:rsidRDefault="006C0F0E" w:rsidP="006C0F0E">
            <w:pPr>
              <w:spacing w:after="0" w:line="240" w:lineRule="auto"/>
            </w:pPr>
          </w:p>
        </w:tc>
      </w:tr>
    </w:tbl>
    <w:p w14:paraId="3A953ED6" w14:textId="77777777" w:rsidR="006C0F0E" w:rsidRDefault="006C0F0E"/>
    <w:p w14:paraId="1C7008EA" w14:textId="2086879A" w:rsidR="00FE468F" w:rsidRDefault="000B17E9">
      <w:pPr>
        <w:rPr>
          <w:rFonts w:ascii="Arial" w:hAnsi="Arial" w:cs="Arial"/>
          <w:b/>
          <w:bCs/>
          <w:kern w:val="0"/>
          <w14:ligatures w14:val="none"/>
        </w:rPr>
      </w:pPr>
      <w:r w:rsidRPr="000B17E9">
        <w:rPr>
          <w:rFonts w:ascii="Arial" w:hAnsi="Arial" w:cs="Arial"/>
          <w:b/>
          <w:bCs/>
          <w:kern w:val="0"/>
          <w14:ligatures w14:val="none"/>
        </w:rPr>
        <w:t>Attendees</w:t>
      </w:r>
      <w:r>
        <w:rPr>
          <w:rFonts w:ascii="Arial" w:hAnsi="Arial" w:cs="Arial"/>
          <w:b/>
          <w:bCs/>
          <w:kern w:val="0"/>
          <w14:ligatures w14:val="none"/>
        </w:rPr>
        <w:t xml:space="preserve"> (Webex)</w:t>
      </w:r>
    </w:p>
    <w:tbl>
      <w:tblPr>
        <w:tblW w:w="4268" w:type="dxa"/>
        <w:tblLook w:val="04A0" w:firstRow="1" w:lastRow="0" w:firstColumn="1" w:lastColumn="0" w:noHBand="0" w:noVBand="1"/>
      </w:tblPr>
      <w:tblGrid>
        <w:gridCol w:w="4268"/>
      </w:tblGrid>
      <w:tr w:rsidR="00C55E98" w:rsidRPr="00C55E98" w14:paraId="69D4FAAC" w14:textId="77777777" w:rsidTr="00C55E98">
        <w:trPr>
          <w:trHeight w:val="300"/>
        </w:trPr>
        <w:tc>
          <w:tcPr>
            <w:tcW w:w="4268" w:type="dxa"/>
            <w:tcBorders>
              <w:top w:val="nil"/>
              <w:left w:val="nil"/>
              <w:bottom w:val="nil"/>
              <w:right w:val="nil"/>
            </w:tcBorders>
            <w:shd w:val="clear" w:color="auto" w:fill="auto"/>
            <w:noWrap/>
            <w:vAlign w:val="bottom"/>
            <w:hideMark/>
          </w:tcPr>
          <w:p w14:paraId="7216A56B"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AEP Doug Evans</w:t>
            </w:r>
          </w:p>
        </w:tc>
      </w:tr>
      <w:tr w:rsidR="00C55E98" w:rsidRPr="00C55E98" w14:paraId="10101BCB" w14:textId="77777777" w:rsidTr="00C55E98">
        <w:trPr>
          <w:trHeight w:val="300"/>
        </w:trPr>
        <w:tc>
          <w:tcPr>
            <w:tcW w:w="4268" w:type="dxa"/>
            <w:tcBorders>
              <w:top w:val="nil"/>
              <w:left w:val="nil"/>
              <w:bottom w:val="nil"/>
              <w:right w:val="nil"/>
            </w:tcBorders>
            <w:shd w:val="clear" w:color="auto" w:fill="auto"/>
            <w:noWrap/>
            <w:vAlign w:val="bottom"/>
            <w:hideMark/>
          </w:tcPr>
          <w:p w14:paraId="2AA17B9E" w14:textId="1AC384EF" w:rsidR="00C55E98"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Sirius Ahn - Oncor</w:t>
            </w:r>
          </w:p>
        </w:tc>
      </w:tr>
      <w:tr w:rsidR="00C55E98" w:rsidRPr="00C55E98" w14:paraId="3DBA283E" w14:textId="77777777" w:rsidTr="00C55E98">
        <w:trPr>
          <w:trHeight w:val="300"/>
        </w:trPr>
        <w:tc>
          <w:tcPr>
            <w:tcW w:w="4268" w:type="dxa"/>
            <w:tcBorders>
              <w:top w:val="nil"/>
              <w:left w:val="nil"/>
              <w:bottom w:val="nil"/>
              <w:right w:val="nil"/>
            </w:tcBorders>
            <w:shd w:val="clear" w:color="auto" w:fill="auto"/>
            <w:noWrap/>
            <w:vAlign w:val="bottom"/>
            <w:hideMark/>
          </w:tcPr>
          <w:p w14:paraId="54EA5B37"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Alexandra Miller - EDFR</w:t>
            </w:r>
          </w:p>
        </w:tc>
      </w:tr>
      <w:tr w:rsidR="00C55E98" w:rsidRPr="00C55E98" w14:paraId="7B8DEDAD" w14:textId="77777777" w:rsidTr="00C55E98">
        <w:trPr>
          <w:trHeight w:val="300"/>
        </w:trPr>
        <w:tc>
          <w:tcPr>
            <w:tcW w:w="4268" w:type="dxa"/>
            <w:tcBorders>
              <w:top w:val="nil"/>
              <w:left w:val="nil"/>
              <w:bottom w:val="nil"/>
              <w:right w:val="nil"/>
            </w:tcBorders>
            <w:shd w:val="clear" w:color="auto" w:fill="auto"/>
            <w:noWrap/>
            <w:vAlign w:val="bottom"/>
            <w:hideMark/>
          </w:tcPr>
          <w:p w14:paraId="29A6B581"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Amanda Frazier</w:t>
            </w:r>
          </w:p>
        </w:tc>
      </w:tr>
      <w:tr w:rsidR="00C55E98" w:rsidRPr="00C55E98" w14:paraId="4F7DD0FF" w14:textId="77777777" w:rsidTr="00C55E98">
        <w:trPr>
          <w:trHeight w:val="300"/>
        </w:trPr>
        <w:tc>
          <w:tcPr>
            <w:tcW w:w="4268" w:type="dxa"/>
            <w:tcBorders>
              <w:top w:val="nil"/>
              <w:left w:val="nil"/>
              <w:bottom w:val="nil"/>
              <w:right w:val="nil"/>
            </w:tcBorders>
            <w:shd w:val="clear" w:color="auto" w:fill="auto"/>
            <w:noWrap/>
            <w:vAlign w:val="bottom"/>
            <w:hideMark/>
          </w:tcPr>
          <w:p w14:paraId="4716C484"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lastRenderedPageBreak/>
              <w:t xml:space="preserve">Bob </w:t>
            </w:r>
            <w:proofErr w:type="spellStart"/>
            <w:r w:rsidRPr="00C55E98">
              <w:rPr>
                <w:rFonts w:ascii="Calibri" w:eastAsia="Times New Roman" w:hAnsi="Calibri" w:cs="Calibri"/>
                <w:color w:val="000000"/>
                <w:kern w:val="0"/>
                <w14:ligatures w14:val="none"/>
              </w:rPr>
              <w:t>Wittmeyer</w:t>
            </w:r>
            <w:proofErr w:type="spellEnd"/>
            <w:r w:rsidRPr="00C55E98">
              <w:rPr>
                <w:rFonts w:ascii="Calibri" w:eastAsia="Times New Roman" w:hAnsi="Calibri" w:cs="Calibri"/>
                <w:color w:val="000000"/>
                <w:kern w:val="0"/>
                <w14:ligatures w14:val="none"/>
              </w:rPr>
              <w:t xml:space="preserve"> - Longhorn Power</w:t>
            </w:r>
          </w:p>
        </w:tc>
      </w:tr>
      <w:tr w:rsidR="00C55E98" w:rsidRPr="00C55E98" w14:paraId="0E52CF43" w14:textId="77777777" w:rsidTr="00C55E98">
        <w:trPr>
          <w:trHeight w:val="300"/>
        </w:trPr>
        <w:tc>
          <w:tcPr>
            <w:tcW w:w="4268" w:type="dxa"/>
            <w:tcBorders>
              <w:top w:val="nil"/>
              <w:left w:val="nil"/>
              <w:bottom w:val="nil"/>
              <w:right w:val="nil"/>
            </w:tcBorders>
            <w:shd w:val="clear" w:color="auto" w:fill="auto"/>
            <w:noWrap/>
            <w:vAlign w:val="bottom"/>
            <w:hideMark/>
          </w:tcPr>
          <w:p w14:paraId="28C7A6B2"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Brad Bell, Solar Proponent</w:t>
            </w:r>
          </w:p>
        </w:tc>
      </w:tr>
      <w:tr w:rsidR="00C55E98" w:rsidRPr="00C55E98" w14:paraId="29E16BB5" w14:textId="77777777" w:rsidTr="00C55E98">
        <w:trPr>
          <w:trHeight w:val="300"/>
        </w:trPr>
        <w:tc>
          <w:tcPr>
            <w:tcW w:w="4268" w:type="dxa"/>
            <w:tcBorders>
              <w:top w:val="nil"/>
              <w:left w:val="nil"/>
              <w:bottom w:val="nil"/>
              <w:right w:val="nil"/>
            </w:tcBorders>
            <w:shd w:val="clear" w:color="auto" w:fill="auto"/>
            <w:noWrap/>
            <w:vAlign w:val="bottom"/>
            <w:hideMark/>
          </w:tcPr>
          <w:p w14:paraId="7986225E"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Brian </w:t>
            </w:r>
            <w:proofErr w:type="spellStart"/>
            <w:r w:rsidRPr="00C55E98">
              <w:rPr>
                <w:rFonts w:ascii="Calibri" w:eastAsia="Times New Roman" w:hAnsi="Calibri" w:cs="Calibri"/>
                <w:color w:val="000000"/>
                <w:kern w:val="0"/>
                <w14:ligatures w14:val="none"/>
              </w:rPr>
              <w:t>Hithersay</w:t>
            </w:r>
            <w:proofErr w:type="spellEnd"/>
            <w:r w:rsidRPr="00C55E98">
              <w:rPr>
                <w:rFonts w:ascii="Calibri" w:eastAsia="Times New Roman" w:hAnsi="Calibri" w:cs="Calibri"/>
                <w:color w:val="000000"/>
                <w:kern w:val="0"/>
                <w14:ligatures w14:val="none"/>
              </w:rPr>
              <w:t xml:space="preserve"> - BEPC</w:t>
            </w:r>
          </w:p>
        </w:tc>
      </w:tr>
      <w:tr w:rsidR="00C55E98" w:rsidRPr="00C55E98" w14:paraId="162D6581" w14:textId="77777777" w:rsidTr="00C55E98">
        <w:trPr>
          <w:trHeight w:val="300"/>
        </w:trPr>
        <w:tc>
          <w:tcPr>
            <w:tcW w:w="4268" w:type="dxa"/>
            <w:tcBorders>
              <w:top w:val="nil"/>
              <w:left w:val="nil"/>
              <w:bottom w:val="nil"/>
              <w:right w:val="nil"/>
            </w:tcBorders>
            <w:shd w:val="clear" w:color="auto" w:fill="auto"/>
            <w:noWrap/>
            <w:vAlign w:val="bottom"/>
            <w:hideMark/>
          </w:tcPr>
          <w:p w14:paraId="3B53BAAD"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Brian </w:t>
            </w:r>
            <w:proofErr w:type="spellStart"/>
            <w:r w:rsidRPr="00C55E98">
              <w:rPr>
                <w:rFonts w:ascii="Calibri" w:eastAsia="Times New Roman" w:hAnsi="Calibri" w:cs="Calibri"/>
                <w:color w:val="000000"/>
                <w:kern w:val="0"/>
                <w14:ligatures w14:val="none"/>
              </w:rPr>
              <w:t>Koz</w:t>
            </w:r>
            <w:proofErr w:type="spellEnd"/>
          </w:p>
        </w:tc>
      </w:tr>
      <w:tr w:rsidR="00C55E98" w:rsidRPr="00C55E98" w14:paraId="7E41DA5C" w14:textId="77777777" w:rsidTr="00C55E98">
        <w:trPr>
          <w:trHeight w:val="300"/>
        </w:trPr>
        <w:tc>
          <w:tcPr>
            <w:tcW w:w="4268" w:type="dxa"/>
            <w:tcBorders>
              <w:top w:val="nil"/>
              <w:left w:val="nil"/>
              <w:bottom w:val="nil"/>
              <w:right w:val="nil"/>
            </w:tcBorders>
            <w:shd w:val="clear" w:color="auto" w:fill="auto"/>
            <w:noWrap/>
            <w:vAlign w:val="bottom"/>
            <w:hideMark/>
          </w:tcPr>
          <w:p w14:paraId="669BB37E"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Bridget Headrick - Customized Energy Solutions</w:t>
            </w:r>
          </w:p>
        </w:tc>
      </w:tr>
      <w:tr w:rsidR="006C651E" w:rsidRPr="00C55E98" w14:paraId="192ED7EE" w14:textId="77777777" w:rsidTr="00C55E98">
        <w:trPr>
          <w:trHeight w:val="300"/>
        </w:trPr>
        <w:tc>
          <w:tcPr>
            <w:tcW w:w="4268" w:type="dxa"/>
            <w:tcBorders>
              <w:top w:val="nil"/>
              <w:left w:val="nil"/>
              <w:bottom w:val="nil"/>
              <w:right w:val="nil"/>
            </w:tcBorders>
            <w:shd w:val="clear" w:color="auto" w:fill="auto"/>
            <w:noWrap/>
            <w:vAlign w:val="bottom"/>
          </w:tcPr>
          <w:p w14:paraId="5A87720A" w14:textId="7178D9AD" w:rsidR="006C651E"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2 </w:t>
            </w:r>
            <w:proofErr w:type="gramStart"/>
            <w:r>
              <w:rPr>
                <w:rFonts w:ascii="Calibri" w:eastAsia="Times New Roman" w:hAnsi="Calibri" w:cs="Calibri"/>
                <w:color w:val="000000"/>
                <w:kern w:val="0"/>
                <w14:ligatures w14:val="none"/>
              </w:rPr>
              <w:t>call</w:t>
            </w:r>
            <w:proofErr w:type="gramEnd"/>
            <w:r>
              <w:rPr>
                <w:rFonts w:ascii="Calibri" w:eastAsia="Times New Roman" w:hAnsi="Calibri" w:cs="Calibri"/>
                <w:color w:val="000000"/>
                <w:kern w:val="0"/>
                <w14:ligatures w14:val="none"/>
              </w:rPr>
              <w:t xml:space="preserve"> in users</w:t>
            </w:r>
          </w:p>
        </w:tc>
      </w:tr>
      <w:tr w:rsidR="00C55E98" w:rsidRPr="00C55E98" w14:paraId="5578628F" w14:textId="77777777" w:rsidTr="00C55E98">
        <w:trPr>
          <w:trHeight w:val="300"/>
        </w:trPr>
        <w:tc>
          <w:tcPr>
            <w:tcW w:w="4268" w:type="dxa"/>
            <w:tcBorders>
              <w:top w:val="nil"/>
              <w:left w:val="nil"/>
              <w:bottom w:val="nil"/>
              <w:right w:val="nil"/>
            </w:tcBorders>
            <w:shd w:val="clear" w:color="auto" w:fill="auto"/>
            <w:noWrap/>
            <w:vAlign w:val="bottom"/>
            <w:hideMark/>
          </w:tcPr>
          <w:p w14:paraId="3F6309B6"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Cathey Carter - </w:t>
            </w:r>
            <w:proofErr w:type="spellStart"/>
            <w:r w:rsidRPr="00C55E98">
              <w:rPr>
                <w:rFonts w:ascii="Calibri" w:eastAsia="Times New Roman" w:hAnsi="Calibri" w:cs="Calibri"/>
                <w:color w:val="000000"/>
                <w:kern w:val="0"/>
                <w14:ligatures w14:val="none"/>
              </w:rPr>
              <w:t>GridAxon</w:t>
            </w:r>
            <w:proofErr w:type="spellEnd"/>
          </w:p>
        </w:tc>
      </w:tr>
      <w:tr w:rsidR="00C55E98" w:rsidRPr="00C55E98" w14:paraId="26E275BD" w14:textId="77777777" w:rsidTr="00C55E98">
        <w:trPr>
          <w:trHeight w:val="300"/>
        </w:trPr>
        <w:tc>
          <w:tcPr>
            <w:tcW w:w="4268" w:type="dxa"/>
            <w:tcBorders>
              <w:top w:val="nil"/>
              <w:left w:val="nil"/>
              <w:bottom w:val="nil"/>
              <w:right w:val="nil"/>
            </w:tcBorders>
            <w:shd w:val="clear" w:color="auto" w:fill="auto"/>
            <w:noWrap/>
            <w:vAlign w:val="bottom"/>
            <w:hideMark/>
          </w:tcPr>
          <w:p w14:paraId="0669E0D1"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Charles Aleman Sharyland</w:t>
            </w:r>
          </w:p>
        </w:tc>
      </w:tr>
      <w:tr w:rsidR="00C55E98" w:rsidRPr="00C55E98" w14:paraId="154261EA" w14:textId="77777777" w:rsidTr="00C55E98">
        <w:trPr>
          <w:trHeight w:val="300"/>
        </w:trPr>
        <w:tc>
          <w:tcPr>
            <w:tcW w:w="4268" w:type="dxa"/>
            <w:tcBorders>
              <w:top w:val="nil"/>
              <w:left w:val="nil"/>
              <w:bottom w:val="nil"/>
              <w:right w:val="nil"/>
            </w:tcBorders>
            <w:shd w:val="clear" w:color="auto" w:fill="auto"/>
            <w:noWrap/>
            <w:vAlign w:val="bottom"/>
            <w:hideMark/>
          </w:tcPr>
          <w:p w14:paraId="58CB95E5"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Charles DeWitt - PEC</w:t>
            </w:r>
          </w:p>
        </w:tc>
      </w:tr>
      <w:tr w:rsidR="00C55E98" w:rsidRPr="00C55E98" w14:paraId="23962686" w14:textId="77777777" w:rsidTr="00C55E98">
        <w:trPr>
          <w:trHeight w:val="300"/>
        </w:trPr>
        <w:tc>
          <w:tcPr>
            <w:tcW w:w="4268" w:type="dxa"/>
            <w:tcBorders>
              <w:top w:val="nil"/>
              <w:left w:val="nil"/>
              <w:bottom w:val="nil"/>
              <w:right w:val="nil"/>
            </w:tcBorders>
            <w:shd w:val="clear" w:color="auto" w:fill="auto"/>
            <w:noWrap/>
            <w:vAlign w:val="bottom"/>
            <w:hideMark/>
          </w:tcPr>
          <w:p w14:paraId="6C480FE1"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Cole </w:t>
            </w:r>
            <w:proofErr w:type="spellStart"/>
            <w:r w:rsidRPr="00C55E98">
              <w:rPr>
                <w:rFonts w:ascii="Calibri" w:eastAsia="Times New Roman" w:hAnsi="Calibri" w:cs="Calibri"/>
                <w:color w:val="000000"/>
                <w:kern w:val="0"/>
                <w14:ligatures w14:val="none"/>
              </w:rPr>
              <w:t>Dietert</w:t>
            </w:r>
            <w:proofErr w:type="spellEnd"/>
          </w:p>
        </w:tc>
      </w:tr>
      <w:tr w:rsidR="00C55E98" w:rsidRPr="00C55E98" w14:paraId="7904C98B" w14:textId="77777777" w:rsidTr="00C55E98">
        <w:trPr>
          <w:trHeight w:val="300"/>
        </w:trPr>
        <w:tc>
          <w:tcPr>
            <w:tcW w:w="4268" w:type="dxa"/>
            <w:tcBorders>
              <w:top w:val="nil"/>
              <w:left w:val="nil"/>
              <w:bottom w:val="nil"/>
              <w:right w:val="nil"/>
            </w:tcBorders>
            <w:shd w:val="clear" w:color="auto" w:fill="auto"/>
            <w:noWrap/>
            <w:vAlign w:val="bottom"/>
            <w:hideMark/>
          </w:tcPr>
          <w:p w14:paraId="525098DA"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Connor Anderson - AB Power Advisors</w:t>
            </w:r>
          </w:p>
        </w:tc>
      </w:tr>
      <w:tr w:rsidR="00C55E98" w:rsidRPr="00C55E98" w14:paraId="00C2B1C3" w14:textId="77777777" w:rsidTr="00C55E98">
        <w:trPr>
          <w:trHeight w:val="300"/>
        </w:trPr>
        <w:tc>
          <w:tcPr>
            <w:tcW w:w="4268" w:type="dxa"/>
            <w:tcBorders>
              <w:top w:val="nil"/>
              <w:left w:val="nil"/>
              <w:bottom w:val="nil"/>
              <w:right w:val="nil"/>
            </w:tcBorders>
            <w:shd w:val="clear" w:color="auto" w:fill="auto"/>
            <w:noWrap/>
            <w:vAlign w:val="bottom"/>
            <w:hideMark/>
          </w:tcPr>
          <w:p w14:paraId="47B4DE58" w14:textId="4831D8AC" w:rsidR="00C55E98"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Constance </w:t>
            </w:r>
            <w:proofErr w:type="spellStart"/>
            <w:r>
              <w:rPr>
                <w:rFonts w:ascii="Calibri" w:eastAsia="Times New Roman" w:hAnsi="Calibri" w:cs="Calibri"/>
                <w:color w:val="000000"/>
                <w:kern w:val="0"/>
                <w14:ligatures w14:val="none"/>
              </w:rPr>
              <w:t>McD</w:t>
            </w:r>
            <w:proofErr w:type="spellEnd"/>
            <w:r>
              <w:rPr>
                <w:rFonts w:ascii="Calibri" w:eastAsia="Times New Roman" w:hAnsi="Calibri" w:cs="Calibri"/>
                <w:color w:val="000000"/>
                <w:kern w:val="0"/>
                <w14:ligatures w14:val="none"/>
              </w:rPr>
              <w:t xml:space="preserve"> Wyman</w:t>
            </w:r>
          </w:p>
        </w:tc>
      </w:tr>
      <w:tr w:rsidR="00C55E98" w:rsidRPr="00C55E98" w14:paraId="14142A90" w14:textId="77777777" w:rsidTr="00C55E98">
        <w:trPr>
          <w:trHeight w:val="300"/>
        </w:trPr>
        <w:tc>
          <w:tcPr>
            <w:tcW w:w="4268" w:type="dxa"/>
            <w:tcBorders>
              <w:top w:val="nil"/>
              <w:left w:val="nil"/>
              <w:bottom w:val="nil"/>
              <w:right w:val="nil"/>
            </w:tcBorders>
            <w:shd w:val="clear" w:color="auto" w:fill="auto"/>
            <w:noWrap/>
            <w:vAlign w:val="bottom"/>
            <w:hideMark/>
          </w:tcPr>
          <w:p w14:paraId="482A2682" w14:textId="7075313C" w:rsidR="00C55E98"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David Milner</w:t>
            </w:r>
          </w:p>
        </w:tc>
      </w:tr>
      <w:tr w:rsidR="00C55E98" w:rsidRPr="00C55E98" w14:paraId="0B6FCB81" w14:textId="77777777" w:rsidTr="00C55E98">
        <w:trPr>
          <w:trHeight w:val="300"/>
        </w:trPr>
        <w:tc>
          <w:tcPr>
            <w:tcW w:w="4268" w:type="dxa"/>
            <w:tcBorders>
              <w:top w:val="nil"/>
              <w:left w:val="nil"/>
              <w:bottom w:val="nil"/>
              <w:right w:val="nil"/>
            </w:tcBorders>
            <w:shd w:val="clear" w:color="auto" w:fill="auto"/>
            <w:noWrap/>
            <w:vAlign w:val="bottom"/>
            <w:hideMark/>
          </w:tcPr>
          <w:p w14:paraId="64B19361" w14:textId="3E6D2ED1" w:rsidR="00C55E98"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David Withrow – AEP</w:t>
            </w:r>
          </w:p>
        </w:tc>
      </w:tr>
      <w:tr w:rsidR="00C55E98" w:rsidRPr="00C55E98" w14:paraId="30F0D680" w14:textId="77777777" w:rsidTr="00C55E98">
        <w:trPr>
          <w:trHeight w:val="300"/>
        </w:trPr>
        <w:tc>
          <w:tcPr>
            <w:tcW w:w="4268" w:type="dxa"/>
            <w:tcBorders>
              <w:top w:val="nil"/>
              <w:left w:val="nil"/>
              <w:bottom w:val="nil"/>
              <w:right w:val="nil"/>
            </w:tcBorders>
            <w:shd w:val="clear" w:color="auto" w:fill="auto"/>
            <w:noWrap/>
            <w:vAlign w:val="bottom"/>
            <w:hideMark/>
          </w:tcPr>
          <w:p w14:paraId="5ADED07B" w14:textId="03BB361E" w:rsidR="00C55E98"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Eduardo Martinez – Good Company</w:t>
            </w:r>
          </w:p>
        </w:tc>
      </w:tr>
      <w:tr w:rsidR="00C55E98" w:rsidRPr="00C55E98" w14:paraId="1B56510A" w14:textId="77777777" w:rsidTr="00C55E98">
        <w:trPr>
          <w:trHeight w:val="300"/>
        </w:trPr>
        <w:tc>
          <w:tcPr>
            <w:tcW w:w="4268" w:type="dxa"/>
            <w:tcBorders>
              <w:top w:val="nil"/>
              <w:left w:val="nil"/>
              <w:bottom w:val="nil"/>
              <w:right w:val="nil"/>
            </w:tcBorders>
            <w:shd w:val="clear" w:color="auto" w:fill="auto"/>
            <w:noWrap/>
            <w:vAlign w:val="bottom"/>
            <w:hideMark/>
          </w:tcPr>
          <w:p w14:paraId="2261C1D8" w14:textId="31B0CE1E" w:rsidR="00C55E98"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Edward Lopez – BTU</w:t>
            </w:r>
          </w:p>
        </w:tc>
      </w:tr>
      <w:tr w:rsidR="00C55E98" w:rsidRPr="00C55E98" w14:paraId="6DB2C929" w14:textId="77777777" w:rsidTr="00C55E98">
        <w:trPr>
          <w:trHeight w:val="300"/>
        </w:trPr>
        <w:tc>
          <w:tcPr>
            <w:tcW w:w="4268" w:type="dxa"/>
            <w:tcBorders>
              <w:top w:val="nil"/>
              <w:left w:val="nil"/>
              <w:bottom w:val="nil"/>
              <w:right w:val="nil"/>
            </w:tcBorders>
            <w:shd w:val="clear" w:color="auto" w:fill="auto"/>
            <w:noWrap/>
            <w:vAlign w:val="bottom"/>
            <w:hideMark/>
          </w:tcPr>
          <w:p w14:paraId="19A1C297" w14:textId="48EB5535"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ERCOT </w:t>
            </w:r>
            <w:r w:rsidR="006C651E">
              <w:rPr>
                <w:rFonts w:ascii="Calibri" w:eastAsia="Times New Roman" w:hAnsi="Calibri" w:cs="Calibri"/>
                <w:color w:val="000000"/>
                <w:kern w:val="0"/>
                <w14:ligatures w14:val="none"/>
              </w:rPr>
              <w:t>–</w:t>
            </w:r>
            <w:r w:rsidRPr="00C55E98">
              <w:rPr>
                <w:rFonts w:ascii="Calibri" w:eastAsia="Times New Roman" w:hAnsi="Calibri" w:cs="Calibri"/>
                <w:color w:val="000000"/>
                <w:kern w:val="0"/>
                <w14:ligatures w14:val="none"/>
              </w:rPr>
              <w:t xml:space="preserve"> </w:t>
            </w:r>
            <w:r w:rsidR="006C651E">
              <w:rPr>
                <w:rFonts w:ascii="Calibri" w:eastAsia="Times New Roman" w:hAnsi="Calibri" w:cs="Calibri"/>
                <w:color w:val="000000"/>
                <w:kern w:val="0"/>
                <w14:ligatures w14:val="none"/>
              </w:rPr>
              <w:t xml:space="preserve">Eric </w:t>
            </w:r>
            <w:proofErr w:type="spellStart"/>
            <w:r w:rsidR="006C651E">
              <w:rPr>
                <w:rFonts w:ascii="Calibri" w:eastAsia="Times New Roman" w:hAnsi="Calibri" w:cs="Calibri"/>
                <w:color w:val="000000"/>
                <w:kern w:val="0"/>
                <w14:ligatures w14:val="none"/>
              </w:rPr>
              <w:t>meier</w:t>
            </w:r>
            <w:proofErr w:type="spellEnd"/>
          </w:p>
        </w:tc>
      </w:tr>
      <w:tr w:rsidR="00C55E98" w:rsidRPr="00C55E98" w14:paraId="5AFDC43B" w14:textId="77777777" w:rsidTr="00C55E98">
        <w:trPr>
          <w:trHeight w:val="300"/>
        </w:trPr>
        <w:tc>
          <w:tcPr>
            <w:tcW w:w="4268" w:type="dxa"/>
            <w:tcBorders>
              <w:top w:val="nil"/>
              <w:left w:val="nil"/>
              <w:bottom w:val="nil"/>
              <w:right w:val="nil"/>
            </w:tcBorders>
            <w:shd w:val="clear" w:color="auto" w:fill="auto"/>
            <w:noWrap/>
            <w:vAlign w:val="bottom"/>
            <w:hideMark/>
          </w:tcPr>
          <w:p w14:paraId="7EDC0D79"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ERCOT - Erin Wasik-Gutierrez</w:t>
            </w:r>
          </w:p>
        </w:tc>
      </w:tr>
      <w:tr w:rsidR="00C55E98" w:rsidRPr="00C55E98" w14:paraId="32623265" w14:textId="77777777" w:rsidTr="00C55E98">
        <w:trPr>
          <w:trHeight w:val="300"/>
        </w:trPr>
        <w:tc>
          <w:tcPr>
            <w:tcW w:w="4268" w:type="dxa"/>
            <w:tcBorders>
              <w:top w:val="nil"/>
              <w:left w:val="nil"/>
              <w:bottom w:val="nil"/>
              <w:right w:val="nil"/>
            </w:tcBorders>
            <w:shd w:val="clear" w:color="auto" w:fill="auto"/>
            <w:noWrap/>
            <w:vAlign w:val="bottom"/>
            <w:hideMark/>
          </w:tcPr>
          <w:p w14:paraId="545DED37"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ERCOT - Jay Teixeira</w:t>
            </w:r>
          </w:p>
        </w:tc>
      </w:tr>
      <w:tr w:rsidR="00C55E98" w:rsidRPr="00C55E98" w14:paraId="756C9B75" w14:textId="77777777" w:rsidTr="00C55E98">
        <w:trPr>
          <w:trHeight w:val="300"/>
        </w:trPr>
        <w:tc>
          <w:tcPr>
            <w:tcW w:w="4268" w:type="dxa"/>
            <w:tcBorders>
              <w:top w:val="nil"/>
              <w:left w:val="nil"/>
              <w:bottom w:val="nil"/>
              <w:right w:val="nil"/>
            </w:tcBorders>
            <w:shd w:val="clear" w:color="auto" w:fill="auto"/>
            <w:noWrap/>
            <w:vAlign w:val="bottom"/>
            <w:hideMark/>
          </w:tcPr>
          <w:p w14:paraId="7C34173E"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ERCOT - John </w:t>
            </w:r>
            <w:proofErr w:type="spellStart"/>
            <w:r w:rsidRPr="00C55E98">
              <w:rPr>
                <w:rFonts w:ascii="Calibri" w:eastAsia="Times New Roman" w:hAnsi="Calibri" w:cs="Calibri"/>
                <w:color w:val="000000"/>
                <w:kern w:val="0"/>
                <w14:ligatures w14:val="none"/>
              </w:rPr>
              <w:t>Schmall</w:t>
            </w:r>
            <w:proofErr w:type="spellEnd"/>
          </w:p>
        </w:tc>
      </w:tr>
      <w:tr w:rsidR="00C55E98" w:rsidRPr="00C55E98" w14:paraId="029A12B6" w14:textId="77777777" w:rsidTr="00C55E98">
        <w:trPr>
          <w:trHeight w:val="300"/>
        </w:trPr>
        <w:tc>
          <w:tcPr>
            <w:tcW w:w="4268" w:type="dxa"/>
            <w:tcBorders>
              <w:top w:val="nil"/>
              <w:left w:val="nil"/>
              <w:bottom w:val="nil"/>
              <w:right w:val="nil"/>
            </w:tcBorders>
            <w:shd w:val="clear" w:color="auto" w:fill="auto"/>
            <w:noWrap/>
            <w:vAlign w:val="bottom"/>
            <w:hideMark/>
          </w:tcPr>
          <w:p w14:paraId="6294D41C" w14:textId="12F29BA2"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ERCOT </w:t>
            </w:r>
            <w:r w:rsidR="006C651E">
              <w:rPr>
                <w:rFonts w:ascii="Calibri" w:eastAsia="Times New Roman" w:hAnsi="Calibri" w:cs="Calibri"/>
                <w:color w:val="000000"/>
                <w:kern w:val="0"/>
                <w14:ligatures w14:val="none"/>
              </w:rPr>
              <w:t>–</w:t>
            </w:r>
            <w:r w:rsidRPr="00C55E98">
              <w:rPr>
                <w:rFonts w:ascii="Calibri" w:eastAsia="Times New Roman" w:hAnsi="Calibri" w:cs="Calibri"/>
                <w:color w:val="000000"/>
                <w:kern w:val="0"/>
                <w14:ligatures w14:val="none"/>
              </w:rPr>
              <w:t xml:space="preserve"> </w:t>
            </w:r>
            <w:r w:rsidR="006C651E">
              <w:rPr>
                <w:rFonts w:ascii="Calibri" w:eastAsia="Times New Roman" w:hAnsi="Calibri" w:cs="Calibri"/>
                <w:color w:val="000000"/>
                <w:kern w:val="0"/>
                <w14:ligatures w14:val="none"/>
              </w:rPr>
              <w:t xml:space="preserve">Nathan </w:t>
            </w:r>
            <w:proofErr w:type="spellStart"/>
            <w:r w:rsidR="006C651E">
              <w:rPr>
                <w:rFonts w:ascii="Calibri" w:eastAsia="Times New Roman" w:hAnsi="Calibri" w:cs="Calibri"/>
                <w:color w:val="000000"/>
                <w:kern w:val="0"/>
                <w14:ligatures w14:val="none"/>
              </w:rPr>
              <w:t>Bigbee</w:t>
            </w:r>
            <w:proofErr w:type="spellEnd"/>
          </w:p>
        </w:tc>
      </w:tr>
      <w:tr w:rsidR="00C55E98" w:rsidRPr="00C55E98" w14:paraId="21C13A4C" w14:textId="77777777" w:rsidTr="00C55E98">
        <w:trPr>
          <w:trHeight w:val="300"/>
        </w:trPr>
        <w:tc>
          <w:tcPr>
            <w:tcW w:w="4268" w:type="dxa"/>
            <w:tcBorders>
              <w:top w:val="nil"/>
              <w:left w:val="nil"/>
              <w:bottom w:val="nil"/>
              <w:right w:val="nil"/>
            </w:tcBorders>
            <w:shd w:val="clear" w:color="auto" w:fill="auto"/>
            <w:noWrap/>
            <w:vAlign w:val="bottom"/>
            <w:hideMark/>
          </w:tcPr>
          <w:p w14:paraId="6BCC901B"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ERCOT - Ping Yan</w:t>
            </w:r>
          </w:p>
        </w:tc>
      </w:tr>
      <w:tr w:rsidR="00C55E98" w:rsidRPr="00C55E98" w14:paraId="787D57BA" w14:textId="77777777" w:rsidTr="00C55E98">
        <w:trPr>
          <w:trHeight w:val="300"/>
        </w:trPr>
        <w:tc>
          <w:tcPr>
            <w:tcW w:w="4268" w:type="dxa"/>
            <w:tcBorders>
              <w:top w:val="nil"/>
              <w:left w:val="nil"/>
              <w:bottom w:val="nil"/>
              <w:right w:val="nil"/>
            </w:tcBorders>
            <w:shd w:val="clear" w:color="auto" w:fill="auto"/>
            <w:noWrap/>
            <w:vAlign w:val="bottom"/>
            <w:hideMark/>
          </w:tcPr>
          <w:p w14:paraId="0CE641F7"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ERCOT - Prabhu Gnanam</w:t>
            </w:r>
          </w:p>
        </w:tc>
      </w:tr>
      <w:tr w:rsidR="00C55E98" w:rsidRPr="00C55E98" w14:paraId="2A783513" w14:textId="77777777" w:rsidTr="00C55E98">
        <w:trPr>
          <w:trHeight w:val="300"/>
        </w:trPr>
        <w:tc>
          <w:tcPr>
            <w:tcW w:w="4268" w:type="dxa"/>
            <w:tcBorders>
              <w:top w:val="nil"/>
              <w:left w:val="nil"/>
              <w:bottom w:val="nil"/>
              <w:right w:val="nil"/>
            </w:tcBorders>
            <w:shd w:val="clear" w:color="auto" w:fill="auto"/>
            <w:noWrap/>
            <w:vAlign w:val="bottom"/>
            <w:hideMark/>
          </w:tcPr>
          <w:p w14:paraId="191DE21D"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ERCOT - Robert Golen</w:t>
            </w:r>
          </w:p>
        </w:tc>
      </w:tr>
      <w:tr w:rsidR="00C55E98" w:rsidRPr="00C55E98" w14:paraId="62C0C040" w14:textId="77777777" w:rsidTr="00C55E98">
        <w:trPr>
          <w:trHeight w:val="300"/>
        </w:trPr>
        <w:tc>
          <w:tcPr>
            <w:tcW w:w="4268" w:type="dxa"/>
            <w:tcBorders>
              <w:top w:val="nil"/>
              <w:left w:val="nil"/>
              <w:bottom w:val="nil"/>
              <w:right w:val="nil"/>
            </w:tcBorders>
            <w:shd w:val="clear" w:color="auto" w:fill="auto"/>
            <w:noWrap/>
            <w:vAlign w:val="bottom"/>
            <w:hideMark/>
          </w:tcPr>
          <w:p w14:paraId="6098D8C4" w14:textId="527DF1C8"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ERCOT </w:t>
            </w:r>
            <w:r w:rsidR="006C651E">
              <w:rPr>
                <w:rFonts w:ascii="Calibri" w:eastAsia="Times New Roman" w:hAnsi="Calibri" w:cs="Calibri"/>
                <w:color w:val="000000"/>
                <w:kern w:val="0"/>
                <w14:ligatures w14:val="none"/>
              </w:rPr>
              <w:t>–</w:t>
            </w:r>
            <w:r w:rsidRPr="00C55E98">
              <w:rPr>
                <w:rFonts w:ascii="Calibri" w:eastAsia="Times New Roman" w:hAnsi="Calibri" w:cs="Calibri"/>
                <w:color w:val="000000"/>
                <w:kern w:val="0"/>
                <w14:ligatures w14:val="none"/>
              </w:rPr>
              <w:t xml:space="preserve"> </w:t>
            </w:r>
            <w:r w:rsidR="006C651E">
              <w:rPr>
                <w:rFonts w:ascii="Calibri" w:eastAsia="Times New Roman" w:hAnsi="Calibri" w:cs="Calibri"/>
                <w:color w:val="000000"/>
                <w:kern w:val="0"/>
                <w14:ligatures w14:val="none"/>
              </w:rPr>
              <w:t xml:space="preserve">Sadegh </w:t>
            </w:r>
            <w:proofErr w:type="spellStart"/>
            <w:r w:rsidR="006C651E">
              <w:rPr>
                <w:rFonts w:ascii="Calibri" w:eastAsia="Times New Roman" w:hAnsi="Calibri" w:cs="Calibri"/>
                <w:color w:val="000000"/>
                <w:kern w:val="0"/>
                <w14:ligatures w14:val="none"/>
              </w:rPr>
              <w:t>Modarresi</w:t>
            </w:r>
            <w:proofErr w:type="spellEnd"/>
          </w:p>
        </w:tc>
      </w:tr>
      <w:tr w:rsidR="00C55E98" w:rsidRPr="00C55E98" w14:paraId="61DFA550" w14:textId="77777777" w:rsidTr="00C55E98">
        <w:trPr>
          <w:trHeight w:val="300"/>
        </w:trPr>
        <w:tc>
          <w:tcPr>
            <w:tcW w:w="4268" w:type="dxa"/>
            <w:tcBorders>
              <w:top w:val="nil"/>
              <w:left w:val="nil"/>
              <w:bottom w:val="nil"/>
              <w:right w:val="nil"/>
            </w:tcBorders>
            <w:shd w:val="clear" w:color="auto" w:fill="auto"/>
            <w:noWrap/>
            <w:vAlign w:val="bottom"/>
            <w:hideMark/>
          </w:tcPr>
          <w:p w14:paraId="179C4A6B" w14:textId="5FA62648"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ERCOT </w:t>
            </w:r>
            <w:r w:rsidR="006C651E">
              <w:rPr>
                <w:rFonts w:ascii="Calibri" w:eastAsia="Times New Roman" w:hAnsi="Calibri" w:cs="Calibri"/>
                <w:color w:val="000000"/>
                <w:kern w:val="0"/>
                <w14:ligatures w14:val="none"/>
              </w:rPr>
              <w:t>–</w:t>
            </w:r>
            <w:r w:rsidRPr="00C55E98">
              <w:rPr>
                <w:rFonts w:ascii="Calibri" w:eastAsia="Times New Roman" w:hAnsi="Calibri" w:cs="Calibri"/>
                <w:color w:val="000000"/>
                <w:kern w:val="0"/>
                <w14:ligatures w14:val="none"/>
              </w:rPr>
              <w:t xml:space="preserve"> </w:t>
            </w:r>
            <w:r w:rsidR="006C651E">
              <w:rPr>
                <w:rFonts w:ascii="Calibri" w:eastAsia="Times New Roman" w:hAnsi="Calibri" w:cs="Calibri"/>
                <w:color w:val="000000"/>
                <w:kern w:val="0"/>
                <w14:ligatures w14:val="none"/>
              </w:rPr>
              <w:t>Sun Wook Kang</w:t>
            </w:r>
          </w:p>
        </w:tc>
      </w:tr>
      <w:tr w:rsidR="00C55E98" w:rsidRPr="00C55E98" w14:paraId="52189D4D" w14:textId="77777777" w:rsidTr="00C55E98">
        <w:trPr>
          <w:trHeight w:val="300"/>
        </w:trPr>
        <w:tc>
          <w:tcPr>
            <w:tcW w:w="4268" w:type="dxa"/>
            <w:tcBorders>
              <w:top w:val="nil"/>
              <w:left w:val="nil"/>
              <w:bottom w:val="nil"/>
              <w:right w:val="nil"/>
            </w:tcBorders>
            <w:shd w:val="clear" w:color="auto" w:fill="auto"/>
            <w:noWrap/>
            <w:vAlign w:val="bottom"/>
            <w:hideMark/>
          </w:tcPr>
          <w:p w14:paraId="384F37B3"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ERCOT-Jenifer Fernandes</w:t>
            </w:r>
          </w:p>
        </w:tc>
      </w:tr>
      <w:tr w:rsidR="00C55E98" w:rsidRPr="00C55E98" w14:paraId="369FD907" w14:textId="77777777" w:rsidTr="00C55E98">
        <w:trPr>
          <w:trHeight w:val="300"/>
        </w:trPr>
        <w:tc>
          <w:tcPr>
            <w:tcW w:w="4268" w:type="dxa"/>
            <w:tcBorders>
              <w:top w:val="nil"/>
              <w:left w:val="nil"/>
              <w:bottom w:val="nil"/>
              <w:right w:val="nil"/>
            </w:tcBorders>
            <w:shd w:val="clear" w:color="auto" w:fill="auto"/>
            <w:noWrap/>
            <w:vAlign w:val="bottom"/>
            <w:hideMark/>
          </w:tcPr>
          <w:p w14:paraId="32CE7D0B"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Eric Lotter - </w:t>
            </w:r>
            <w:proofErr w:type="spellStart"/>
            <w:r w:rsidRPr="00C55E98">
              <w:rPr>
                <w:rFonts w:ascii="Calibri" w:eastAsia="Times New Roman" w:hAnsi="Calibri" w:cs="Calibri"/>
                <w:color w:val="000000"/>
                <w:kern w:val="0"/>
                <w14:ligatures w14:val="none"/>
              </w:rPr>
              <w:t>GridMonitor</w:t>
            </w:r>
            <w:proofErr w:type="spellEnd"/>
          </w:p>
        </w:tc>
      </w:tr>
      <w:tr w:rsidR="00C55E98" w:rsidRPr="00C55E98" w14:paraId="53926389" w14:textId="77777777" w:rsidTr="00C55E98">
        <w:trPr>
          <w:trHeight w:val="300"/>
        </w:trPr>
        <w:tc>
          <w:tcPr>
            <w:tcW w:w="4268" w:type="dxa"/>
            <w:tcBorders>
              <w:top w:val="nil"/>
              <w:left w:val="nil"/>
              <w:bottom w:val="nil"/>
              <w:right w:val="nil"/>
            </w:tcBorders>
            <w:shd w:val="clear" w:color="auto" w:fill="auto"/>
            <w:noWrap/>
            <w:vAlign w:val="bottom"/>
            <w:hideMark/>
          </w:tcPr>
          <w:p w14:paraId="39D8F742"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Hudson </w:t>
            </w:r>
            <w:proofErr w:type="spellStart"/>
            <w:r w:rsidRPr="00C55E98">
              <w:rPr>
                <w:rFonts w:ascii="Calibri" w:eastAsia="Times New Roman" w:hAnsi="Calibri" w:cs="Calibri"/>
                <w:color w:val="000000"/>
                <w:kern w:val="0"/>
                <w14:ligatures w14:val="none"/>
              </w:rPr>
              <w:t>Callender</w:t>
            </w:r>
            <w:proofErr w:type="spellEnd"/>
            <w:r w:rsidRPr="00C55E98">
              <w:rPr>
                <w:rFonts w:ascii="Calibri" w:eastAsia="Times New Roman" w:hAnsi="Calibri" w:cs="Calibri"/>
                <w:color w:val="000000"/>
                <w:kern w:val="0"/>
                <w14:ligatures w14:val="none"/>
              </w:rPr>
              <w:t>/ CPS Energy</w:t>
            </w:r>
          </w:p>
        </w:tc>
      </w:tr>
      <w:tr w:rsidR="00C55E98" w:rsidRPr="00C55E98" w14:paraId="09B61B89" w14:textId="77777777" w:rsidTr="00C55E98">
        <w:trPr>
          <w:trHeight w:val="300"/>
        </w:trPr>
        <w:tc>
          <w:tcPr>
            <w:tcW w:w="4268" w:type="dxa"/>
            <w:tcBorders>
              <w:top w:val="nil"/>
              <w:left w:val="nil"/>
              <w:bottom w:val="nil"/>
              <w:right w:val="nil"/>
            </w:tcBorders>
            <w:shd w:val="clear" w:color="auto" w:fill="auto"/>
            <w:noWrap/>
            <w:vAlign w:val="bottom"/>
            <w:hideMark/>
          </w:tcPr>
          <w:p w14:paraId="1E06E619" w14:textId="63AA987E"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Jason</w:t>
            </w:r>
            <w:r w:rsidR="006C651E">
              <w:rPr>
                <w:rFonts w:ascii="Calibri" w:eastAsia="Times New Roman" w:hAnsi="Calibri" w:cs="Calibri"/>
                <w:color w:val="000000"/>
                <w:kern w:val="0"/>
                <w14:ligatures w14:val="none"/>
              </w:rPr>
              <w:t xml:space="preserve"> H</w:t>
            </w:r>
          </w:p>
        </w:tc>
      </w:tr>
      <w:tr w:rsidR="00C55E98" w:rsidRPr="00C55E98" w14:paraId="1CDA78CB" w14:textId="77777777" w:rsidTr="00C55E98">
        <w:trPr>
          <w:trHeight w:val="300"/>
        </w:trPr>
        <w:tc>
          <w:tcPr>
            <w:tcW w:w="4268" w:type="dxa"/>
            <w:tcBorders>
              <w:top w:val="nil"/>
              <w:left w:val="nil"/>
              <w:bottom w:val="nil"/>
              <w:right w:val="nil"/>
            </w:tcBorders>
            <w:shd w:val="clear" w:color="auto" w:fill="auto"/>
            <w:noWrap/>
            <w:vAlign w:val="bottom"/>
            <w:hideMark/>
          </w:tcPr>
          <w:p w14:paraId="2A4B1111" w14:textId="562B7F34"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Jason</w:t>
            </w:r>
          </w:p>
        </w:tc>
      </w:tr>
      <w:tr w:rsidR="00C55E98" w:rsidRPr="00C55E98" w14:paraId="5BB32948" w14:textId="77777777" w:rsidTr="00C55E98">
        <w:trPr>
          <w:trHeight w:val="300"/>
        </w:trPr>
        <w:tc>
          <w:tcPr>
            <w:tcW w:w="4268" w:type="dxa"/>
            <w:tcBorders>
              <w:top w:val="nil"/>
              <w:left w:val="nil"/>
              <w:bottom w:val="nil"/>
              <w:right w:val="nil"/>
            </w:tcBorders>
            <w:shd w:val="clear" w:color="auto" w:fill="auto"/>
            <w:noWrap/>
            <w:vAlign w:val="bottom"/>
            <w:hideMark/>
          </w:tcPr>
          <w:p w14:paraId="0458BF65"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Jeff Ellis AEP</w:t>
            </w:r>
          </w:p>
        </w:tc>
      </w:tr>
      <w:tr w:rsidR="00C55E98" w:rsidRPr="00C55E98" w14:paraId="52867DD0" w14:textId="77777777" w:rsidTr="00C55E98">
        <w:trPr>
          <w:trHeight w:val="300"/>
        </w:trPr>
        <w:tc>
          <w:tcPr>
            <w:tcW w:w="4268" w:type="dxa"/>
            <w:tcBorders>
              <w:top w:val="nil"/>
              <w:left w:val="nil"/>
              <w:bottom w:val="nil"/>
              <w:right w:val="nil"/>
            </w:tcBorders>
            <w:shd w:val="clear" w:color="auto" w:fill="auto"/>
            <w:noWrap/>
            <w:vAlign w:val="bottom"/>
            <w:hideMark/>
          </w:tcPr>
          <w:p w14:paraId="034393B7" w14:textId="644EDB65" w:rsidR="00C55E98"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Jennifer Coffee</w:t>
            </w:r>
          </w:p>
        </w:tc>
      </w:tr>
      <w:tr w:rsidR="00C55E98" w:rsidRPr="00C55E98" w14:paraId="3BEAFDEA" w14:textId="77777777" w:rsidTr="00C55E98">
        <w:trPr>
          <w:trHeight w:val="300"/>
        </w:trPr>
        <w:tc>
          <w:tcPr>
            <w:tcW w:w="4268" w:type="dxa"/>
            <w:tcBorders>
              <w:top w:val="nil"/>
              <w:left w:val="nil"/>
              <w:bottom w:val="nil"/>
              <w:right w:val="nil"/>
            </w:tcBorders>
            <w:shd w:val="clear" w:color="auto" w:fill="auto"/>
            <w:noWrap/>
            <w:vAlign w:val="bottom"/>
            <w:hideMark/>
          </w:tcPr>
          <w:p w14:paraId="34D0737B"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Jim Lee / CenterPoint Energy</w:t>
            </w:r>
          </w:p>
        </w:tc>
      </w:tr>
      <w:tr w:rsidR="00C55E98" w:rsidRPr="00C55E98" w14:paraId="4C953162" w14:textId="77777777" w:rsidTr="00C55E98">
        <w:trPr>
          <w:trHeight w:val="300"/>
        </w:trPr>
        <w:tc>
          <w:tcPr>
            <w:tcW w:w="4268" w:type="dxa"/>
            <w:tcBorders>
              <w:top w:val="nil"/>
              <w:left w:val="nil"/>
              <w:bottom w:val="nil"/>
              <w:right w:val="nil"/>
            </w:tcBorders>
            <w:shd w:val="clear" w:color="auto" w:fill="auto"/>
            <w:noWrap/>
            <w:vAlign w:val="bottom"/>
            <w:hideMark/>
          </w:tcPr>
          <w:p w14:paraId="32499992"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John Childress - </w:t>
            </w:r>
            <w:proofErr w:type="spellStart"/>
            <w:r w:rsidRPr="00C55E98">
              <w:rPr>
                <w:rFonts w:ascii="Calibri" w:eastAsia="Times New Roman" w:hAnsi="Calibri" w:cs="Calibri"/>
                <w:color w:val="000000"/>
                <w:kern w:val="0"/>
                <w14:ligatures w14:val="none"/>
              </w:rPr>
              <w:t>kWantix</w:t>
            </w:r>
            <w:proofErr w:type="spellEnd"/>
          </w:p>
        </w:tc>
      </w:tr>
      <w:tr w:rsidR="00C55E98" w:rsidRPr="00C55E98" w14:paraId="5EF60808" w14:textId="77777777" w:rsidTr="00C55E98">
        <w:trPr>
          <w:trHeight w:val="300"/>
        </w:trPr>
        <w:tc>
          <w:tcPr>
            <w:tcW w:w="4268" w:type="dxa"/>
            <w:tcBorders>
              <w:top w:val="nil"/>
              <w:left w:val="nil"/>
              <w:bottom w:val="nil"/>
              <w:right w:val="nil"/>
            </w:tcBorders>
            <w:shd w:val="clear" w:color="auto" w:fill="auto"/>
            <w:noWrap/>
            <w:vAlign w:val="bottom"/>
            <w:hideMark/>
          </w:tcPr>
          <w:p w14:paraId="1294510D"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John Ritch</w:t>
            </w:r>
          </w:p>
        </w:tc>
      </w:tr>
      <w:tr w:rsidR="00C55E98" w:rsidRPr="00C55E98" w14:paraId="1536265B" w14:textId="77777777" w:rsidTr="00C55E98">
        <w:trPr>
          <w:trHeight w:val="300"/>
        </w:trPr>
        <w:tc>
          <w:tcPr>
            <w:tcW w:w="4268" w:type="dxa"/>
            <w:tcBorders>
              <w:top w:val="nil"/>
              <w:left w:val="nil"/>
              <w:bottom w:val="nil"/>
              <w:right w:val="nil"/>
            </w:tcBorders>
            <w:shd w:val="clear" w:color="auto" w:fill="auto"/>
            <w:noWrap/>
            <w:vAlign w:val="bottom"/>
            <w:hideMark/>
          </w:tcPr>
          <w:p w14:paraId="3B99C562"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Joshua Rivers - PEC</w:t>
            </w:r>
          </w:p>
        </w:tc>
      </w:tr>
      <w:tr w:rsidR="00C55E98" w:rsidRPr="00C55E98" w14:paraId="501F97AB" w14:textId="77777777" w:rsidTr="00C55E98">
        <w:trPr>
          <w:trHeight w:val="300"/>
        </w:trPr>
        <w:tc>
          <w:tcPr>
            <w:tcW w:w="4268" w:type="dxa"/>
            <w:tcBorders>
              <w:top w:val="nil"/>
              <w:left w:val="nil"/>
              <w:bottom w:val="nil"/>
              <w:right w:val="nil"/>
            </w:tcBorders>
            <w:shd w:val="clear" w:color="auto" w:fill="auto"/>
            <w:noWrap/>
            <w:vAlign w:val="bottom"/>
            <w:hideMark/>
          </w:tcPr>
          <w:p w14:paraId="56713588" w14:textId="0CBFE3E9" w:rsidR="00C55E98"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Kristin Cook, Southern Power</w:t>
            </w:r>
          </w:p>
        </w:tc>
      </w:tr>
      <w:tr w:rsidR="00C55E98" w:rsidRPr="00C55E98" w14:paraId="13F40153" w14:textId="77777777" w:rsidTr="00C55E98">
        <w:trPr>
          <w:trHeight w:val="300"/>
        </w:trPr>
        <w:tc>
          <w:tcPr>
            <w:tcW w:w="4268" w:type="dxa"/>
            <w:tcBorders>
              <w:top w:val="nil"/>
              <w:left w:val="nil"/>
              <w:bottom w:val="nil"/>
              <w:right w:val="nil"/>
            </w:tcBorders>
            <w:shd w:val="clear" w:color="auto" w:fill="auto"/>
            <w:noWrap/>
            <w:vAlign w:val="bottom"/>
            <w:hideMark/>
          </w:tcPr>
          <w:p w14:paraId="670A5F39"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Kristy Ashley - CES</w:t>
            </w:r>
          </w:p>
        </w:tc>
      </w:tr>
      <w:tr w:rsidR="00C55E98" w:rsidRPr="00C55E98" w14:paraId="3E5A002F" w14:textId="77777777" w:rsidTr="00C55E98">
        <w:trPr>
          <w:trHeight w:val="300"/>
        </w:trPr>
        <w:tc>
          <w:tcPr>
            <w:tcW w:w="4268" w:type="dxa"/>
            <w:tcBorders>
              <w:top w:val="nil"/>
              <w:left w:val="nil"/>
              <w:bottom w:val="nil"/>
              <w:right w:val="nil"/>
            </w:tcBorders>
            <w:shd w:val="clear" w:color="auto" w:fill="auto"/>
            <w:noWrap/>
            <w:vAlign w:val="bottom"/>
            <w:hideMark/>
          </w:tcPr>
          <w:p w14:paraId="12E38B0C"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LCRA TSC - Andrew Hamann</w:t>
            </w:r>
          </w:p>
        </w:tc>
      </w:tr>
      <w:tr w:rsidR="00C55E98" w:rsidRPr="00C55E98" w14:paraId="4C3F12EE" w14:textId="77777777" w:rsidTr="00C55E98">
        <w:trPr>
          <w:trHeight w:val="300"/>
        </w:trPr>
        <w:tc>
          <w:tcPr>
            <w:tcW w:w="4268" w:type="dxa"/>
            <w:tcBorders>
              <w:top w:val="nil"/>
              <w:left w:val="nil"/>
              <w:bottom w:val="nil"/>
              <w:right w:val="nil"/>
            </w:tcBorders>
            <w:shd w:val="clear" w:color="auto" w:fill="auto"/>
            <w:noWrap/>
            <w:vAlign w:val="bottom"/>
            <w:hideMark/>
          </w:tcPr>
          <w:p w14:paraId="1DC5E717"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LCRA TSC - Dylan Preas</w:t>
            </w:r>
          </w:p>
        </w:tc>
      </w:tr>
      <w:tr w:rsidR="00C55E98" w:rsidRPr="00C55E98" w14:paraId="0A649A0E" w14:textId="77777777" w:rsidTr="00C55E98">
        <w:trPr>
          <w:trHeight w:val="300"/>
        </w:trPr>
        <w:tc>
          <w:tcPr>
            <w:tcW w:w="4268" w:type="dxa"/>
            <w:tcBorders>
              <w:top w:val="nil"/>
              <w:left w:val="nil"/>
              <w:bottom w:val="nil"/>
              <w:right w:val="nil"/>
            </w:tcBorders>
            <w:shd w:val="clear" w:color="auto" w:fill="auto"/>
            <w:noWrap/>
            <w:vAlign w:val="bottom"/>
            <w:hideMark/>
          </w:tcPr>
          <w:p w14:paraId="2AC6096E"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LCRA TSC - Mohammad </w:t>
            </w:r>
            <w:proofErr w:type="spellStart"/>
            <w:r w:rsidRPr="00C55E98">
              <w:rPr>
                <w:rFonts w:ascii="Calibri" w:eastAsia="Times New Roman" w:hAnsi="Calibri" w:cs="Calibri"/>
                <w:color w:val="000000"/>
                <w:kern w:val="0"/>
                <w14:ligatures w14:val="none"/>
              </w:rPr>
              <w:t>Mokhayeri</w:t>
            </w:r>
            <w:proofErr w:type="spellEnd"/>
          </w:p>
        </w:tc>
      </w:tr>
      <w:tr w:rsidR="00C55E98" w:rsidRPr="00C55E98" w14:paraId="764E4DEC" w14:textId="77777777" w:rsidTr="00C55E98">
        <w:trPr>
          <w:trHeight w:val="300"/>
        </w:trPr>
        <w:tc>
          <w:tcPr>
            <w:tcW w:w="4268" w:type="dxa"/>
            <w:tcBorders>
              <w:top w:val="nil"/>
              <w:left w:val="nil"/>
              <w:bottom w:val="nil"/>
              <w:right w:val="nil"/>
            </w:tcBorders>
            <w:shd w:val="clear" w:color="auto" w:fill="auto"/>
            <w:noWrap/>
            <w:vAlign w:val="bottom"/>
            <w:hideMark/>
          </w:tcPr>
          <w:p w14:paraId="5076BD70"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lastRenderedPageBreak/>
              <w:t xml:space="preserve">LCRA TSC - Nicholas </w:t>
            </w:r>
            <w:proofErr w:type="spellStart"/>
            <w:r w:rsidRPr="00C55E98">
              <w:rPr>
                <w:rFonts w:ascii="Calibri" w:eastAsia="Times New Roman" w:hAnsi="Calibri" w:cs="Calibri"/>
                <w:color w:val="000000"/>
                <w:kern w:val="0"/>
                <w14:ligatures w14:val="none"/>
              </w:rPr>
              <w:t>Oberski</w:t>
            </w:r>
            <w:proofErr w:type="spellEnd"/>
          </w:p>
        </w:tc>
      </w:tr>
      <w:tr w:rsidR="00C55E98" w:rsidRPr="00C55E98" w14:paraId="4C96C185" w14:textId="77777777" w:rsidTr="00C55E98">
        <w:trPr>
          <w:trHeight w:val="300"/>
        </w:trPr>
        <w:tc>
          <w:tcPr>
            <w:tcW w:w="4268" w:type="dxa"/>
            <w:tcBorders>
              <w:top w:val="nil"/>
              <w:left w:val="nil"/>
              <w:bottom w:val="nil"/>
              <w:right w:val="nil"/>
            </w:tcBorders>
            <w:shd w:val="clear" w:color="auto" w:fill="auto"/>
            <w:noWrap/>
            <w:vAlign w:val="bottom"/>
            <w:hideMark/>
          </w:tcPr>
          <w:p w14:paraId="35104794"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Larisa </w:t>
            </w:r>
            <w:proofErr w:type="spellStart"/>
            <w:r w:rsidRPr="00C55E98">
              <w:rPr>
                <w:rFonts w:ascii="Calibri" w:eastAsia="Times New Roman" w:hAnsi="Calibri" w:cs="Calibri"/>
                <w:color w:val="000000"/>
                <w:kern w:val="0"/>
                <w14:ligatures w14:val="none"/>
              </w:rPr>
              <w:t>Loyferman</w:t>
            </w:r>
            <w:proofErr w:type="spellEnd"/>
          </w:p>
        </w:tc>
      </w:tr>
      <w:tr w:rsidR="00C55E98" w:rsidRPr="00C55E98" w14:paraId="43AB0880" w14:textId="77777777" w:rsidTr="00C55E98">
        <w:trPr>
          <w:trHeight w:val="300"/>
        </w:trPr>
        <w:tc>
          <w:tcPr>
            <w:tcW w:w="4268" w:type="dxa"/>
            <w:tcBorders>
              <w:top w:val="nil"/>
              <w:left w:val="nil"/>
              <w:bottom w:val="nil"/>
              <w:right w:val="nil"/>
            </w:tcBorders>
            <w:shd w:val="clear" w:color="auto" w:fill="auto"/>
            <w:noWrap/>
            <w:vAlign w:val="bottom"/>
            <w:hideMark/>
          </w:tcPr>
          <w:p w14:paraId="4E8AF377"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Lauri White AEP Texas</w:t>
            </w:r>
          </w:p>
        </w:tc>
      </w:tr>
      <w:tr w:rsidR="00C55E98" w:rsidRPr="00C55E98" w14:paraId="7DE103FA" w14:textId="77777777" w:rsidTr="00C55E98">
        <w:trPr>
          <w:trHeight w:val="300"/>
        </w:trPr>
        <w:tc>
          <w:tcPr>
            <w:tcW w:w="4268" w:type="dxa"/>
            <w:tcBorders>
              <w:top w:val="nil"/>
              <w:left w:val="nil"/>
              <w:bottom w:val="nil"/>
              <w:right w:val="nil"/>
            </w:tcBorders>
            <w:shd w:val="clear" w:color="auto" w:fill="auto"/>
            <w:noWrap/>
            <w:vAlign w:val="bottom"/>
            <w:hideMark/>
          </w:tcPr>
          <w:p w14:paraId="10A0A4DA"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Long Tran</w:t>
            </w:r>
          </w:p>
        </w:tc>
      </w:tr>
      <w:tr w:rsidR="00C55E98" w:rsidRPr="00C55E98" w14:paraId="1B866140" w14:textId="77777777" w:rsidTr="00C55E98">
        <w:trPr>
          <w:trHeight w:val="300"/>
        </w:trPr>
        <w:tc>
          <w:tcPr>
            <w:tcW w:w="4268" w:type="dxa"/>
            <w:tcBorders>
              <w:top w:val="nil"/>
              <w:left w:val="nil"/>
              <w:bottom w:val="nil"/>
              <w:right w:val="nil"/>
            </w:tcBorders>
            <w:shd w:val="clear" w:color="auto" w:fill="auto"/>
            <w:noWrap/>
            <w:vAlign w:val="bottom"/>
            <w:hideMark/>
          </w:tcPr>
          <w:p w14:paraId="16CB97AC"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Manny Uy - Hunt Energy</w:t>
            </w:r>
          </w:p>
        </w:tc>
      </w:tr>
      <w:tr w:rsidR="00C55E98" w:rsidRPr="00C55E98" w14:paraId="75ACB617" w14:textId="77777777" w:rsidTr="00C55E98">
        <w:trPr>
          <w:trHeight w:val="300"/>
        </w:trPr>
        <w:tc>
          <w:tcPr>
            <w:tcW w:w="4268" w:type="dxa"/>
            <w:tcBorders>
              <w:top w:val="nil"/>
              <w:left w:val="nil"/>
              <w:bottom w:val="nil"/>
              <w:right w:val="nil"/>
            </w:tcBorders>
            <w:shd w:val="clear" w:color="auto" w:fill="auto"/>
            <w:noWrap/>
            <w:vAlign w:val="bottom"/>
            <w:hideMark/>
          </w:tcPr>
          <w:p w14:paraId="0D4D9DD5" w14:textId="4C02B1A5" w:rsidR="00C55E98"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Mark </w:t>
            </w:r>
            <w:proofErr w:type="spellStart"/>
            <w:r>
              <w:rPr>
                <w:rFonts w:ascii="Calibri" w:eastAsia="Times New Roman" w:hAnsi="Calibri" w:cs="Calibri"/>
                <w:color w:val="000000"/>
                <w:kern w:val="0"/>
                <w14:ligatures w14:val="none"/>
              </w:rPr>
              <w:t>Dreyufus</w:t>
            </w:r>
            <w:proofErr w:type="spellEnd"/>
          </w:p>
        </w:tc>
      </w:tr>
      <w:tr w:rsidR="00C55E98" w:rsidRPr="00C55E98" w14:paraId="06152D79" w14:textId="77777777" w:rsidTr="00C55E98">
        <w:trPr>
          <w:trHeight w:val="300"/>
        </w:trPr>
        <w:tc>
          <w:tcPr>
            <w:tcW w:w="4268" w:type="dxa"/>
            <w:tcBorders>
              <w:top w:val="nil"/>
              <w:left w:val="nil"/>
              <w:bottom w:val="nil"/>
              <w:right w:val="nil"/>
            </w:tcBorders>
            <w:shd w:val="clear" w:color="auto" w:fill="auto"/>
            <w:noWrap/>
            <w:vAlign w:val="bottom"/>
            <w:hideMark/>
          </w:tcPr>
          <w:p w14:paraId="15D4217B"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Martha Henson - Oncor</w:t>
            </w:r>
          </w:p>
        </w:tc>
      </w:tr>
      <w:tr w:rsidR="00C55E98" w:rsidRPr="00C55E98" w14:paraId="078B4A30" w14:textId="77777777" w:rsidTr="00C55E98">
        <w:trPr>
          <w:trHeight w:val="300"/>
        </w:trPr>
        <w:tc>
          <w:tcPr>
            <w:tcW w:w="4268" w:type="dxa"/>
            <w:tcBorders>
              <w:top w:val="nil"/>
              <w:left w:val="nil"/>
              <w:bottom w:val="nil"/>
              <w:right w:val="nil"/>
            </w:tcBorders>
            <w:shd w:val="clear" w:color="auto" w:fill="auto"/>
            <w:noWrap/>
            <w:vAlign w:val="bottom"/>
            <w:hideMark/>
          </w:tcPr>
          <w:p w14:paraId="757E40DD"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Marty Downey / Luminant Corporation</w:t>
            </w:r>
          </w:p>
        </w:tc>
      </w:tr>
      <w:tr w:rsidR="00C55E98" w:rsidRPr="00C55E98" w14:paraId="5ABCEDA6" w14:textId="77777777" w:rsidTr="00C55E98">
        <w:trPr>
          <w:trHeight w:val="300"/>
        </w:trPr>
        <w:tc>
          <w:tcPr>
            <w:tcW w:w="4268" w:type="dxa"/>
            <w:tcBorders>
              <w:top w:val="nil"/>
              <w:left w:val="nil"/>
              <w:bottom w:val="nil"/>
              <w:right w:val="nil"/>
            </w:tcBorders>
            <w:shd w:val="clear" w:color="auto" w:fill="auto"/>
            <w:noWrap/>
            <w:vAlign w:val="bottom"/>
            <w:hideMark/>
          </w:tcPr>
          <w:p w14:paraId="05A9B622" w14:textId="2131C5D9" w:rsidR="00C55E98" w:rsidRPr="00C55E98" w:rsidRDefault="006C651E" w:rsidP="00C55E98">
            <w:pPr>
              <w:spacing w:after="0" w:line="240" w:lineRule="auto"/>
              <w:rPr>
                <w:rFonts w:ascii="Calibri" w:eastAsia="Times New Roman" w:hAnsi="Calibri" w:cs="Calibri"/>
                <w:color w:val="000000"/>
                <w:kern w:val="0"/>
                <w14:ligatures w14:val="none"/>
              </w:rPr>
            </w:pPr>
            <w:proofErr w:type="spellStart"/>
            <w:r>
              <w:rPr>
                <w:rFonts w:ascii="Calibri" w:eastAsia="Times New Roman" w:hAnsi="Calibri" w:cs="Calibri"/>
                <w:color w:val="000000"/>
                <w:kern w:val="0"/>
                <w14:ligatures w14:val="none"/>
              </w:rPr>
              <w:t>Montse</w:t>
            </w:r>
            <w:proofErr w:type="spellEnd"/>
            <w:r>
              <w:rPr>
                <w:rFonts w:ascii="Calibri" w:eastAsia="Times New Roman" w:hAnsi="Calibri" w:cs="Calibri"/>
                <w:color w:val="000000"/>
                <w:kern w:val="0"/>
                <w14:ligatures w14:val="none"/>
              </w:rPr>
              <w:t xml:space="preserve"> Meadows</w:t>
            </w:r>
          </w:p>
        </w:tc>
      </w:tr>
      <w:tr w:rsidR="00C55E98" w:rsidRPr="00C55E98" w14:paraId="768865D3" w14:textId="77777777" w:rsidTr="00C55E98">
        <w:trPr>
          <w:trHeight w:val="300"/>
        </w:trPr>
        <w:tc>
          <w:tcPr>
            <w:tcW w:w="4268" w:type="dxa"/>
            <w:tcBorders>
              <w:top w:val="nil"/>
              <w:left w:val="nil"/>
              <w:bottom w:val="nil"/>
              <w:right w:val="nil"/>
            </w:tcBorders>
            <w:shd w:val="clear" w:color="auto" w:fill="auto"/>
            <w:noWrap/>
            <w:vAlign w:val="bottom"/>
            <w:hideMark/>
          </w:tcPr>
          <w:p w14:paraId="486F7280"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Mina Y Turner</w:t>
            </w:r>
          </w:p>
        </w:tc>
      </w:tr>
      <w:tr w:rsidR="00C55E98" w:rsidRPr="00C55E98" w14:paraId="355A7A85" w14:textId="77777777" w:rsidTr="00C55E98">
        <w:trPr>
          <w:trHeight w:val="300"/>
        </w:trPr>
        <w:tc>
          <w:tcPr>
            <w:tcW w:w="4268" w:type="dxa"/>
            <w:tcBorders>
              <w:top w:val="nil"/>
              <w:left w:val="nil"/>
              <w:bottom w:val="nil"/>
              <w:right w:val="nil"/>
            </w:tcBorders>
            <w:shd w:val="clear" w:color="auto" w:fill="auto"/>
            <w:noWrap/>
            <w:vAlign w:val="bottom"/>
            <w:hideMark/>
          </w:tcPr>
          <w:p w14:paraId="69B73ADF" w14:textId="4F6D618B" w:rsidR="00C55E98"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Harsh Naik – Oncor</w:t>
            </w:r>
          </w:p>
        </w:tc>
      </w:tr>
      <w:tr w:rsidR="00C55E98" w:rsidRPr="00C55E98" w14:paraId="03616DFE" w14:textId="77777777" w:rsidTr="00C55E98">
        <w:trPr>
          <w:trHeight w:val="300"/>
        </w:trPr>
        <w:tc>
          <w:tcPr>
            <w:tcW w:w="4268" w:type="dxa"/>
            <w:tcBorders>
              <w:top w:val="nil"/>
              <w:left w:val="nil"/>
              <w:bottom w:val="nil"/>
              <w:right w:val="nil"/>
            </w:tcBorders>
            <w:shd w:val="clear" w:color="auto" w:fill="auto"/>
            <w:noWrap/>
            <w:vAlign w:val="bottom"/>
            <w:hideMark/>
          </w:tcPr>
          <w:p w14:paraId="6F71FF70" w14:textId="77777777" w:rsidR="00C55E98" w:rsidRPr="00C55E98" w:rsidRDefault="00C55E98" w:rsidP="00C55E98">
            <w:pPr>
              <w:spacing w:after="0" w:line="240" w:lineRule="auto"/>
              <w:rPr>
                <w:rFonts w:ascii="Calibri" w:eastAsia="Times New Roman" w:hAnsi="Calibri" w:cs="Calibri"/>
                <w:color w:val="000000"/>
                <w:kern w:val="0"/>
                <w14:ligatures w14:val="none"/>
              </w:rPr>
            </w:pPr>
            <w:proofErr w:type="spellStart"/>
            <w:r w:rsidRPr="00C55E98">
              <w:rPr>
                <w:rFonts w:ascii="Calibri" w:eastAsia="Times New Roman" w:hAnsi="Calibri" w:cs="Calibri"/>
                <w:color w:val="000000"/>
                <w:kern w:val="0"/>
                <w14:ligatures w14:val="none"/>
              </w:rPr>
              <w:t>Olawunmi</w:t>
            </w:r>
            <w:proofErr w:type="spellEnd"/>
            <w:r w:rsidRPr="00C55E98">
              <w:rPr>
                <w:rFonts w:ascii="Calibri" w:eastAsia="Times New Roman" w:hAnsi="Calibri" w:cs="Calibri"/>
                <w:color w:val="000000"/>
                <w:kern w:val="0"/>
                <w14:ligatures w14:val="none"/>
              </w:rPr>
              <w:t>, Ola</w:t>
            </w:r>
          </w:p>
        </w:tc>
      </w:tr>
      <w:tr w:rsidR="00C55E98" w:rsidRPr="00C55E98" w14:paraId="20A9FE73" w14:textId="77777777" w:rsidTr="00C55E98">
        <w:trPr>
          <w:trHeight w:val="300"/>
        </w:trPr>
        <w:tc>
          <w:tcPr>
            <w:tcW w:w="4268" w:type="dxa"/>
            <w:tcBorders>
              <w:top w:val="nil"/>
              <w:left w:val="nil"/>
              <w:bottom w:val="nil"/>
              <w:right w:val="nil"/>
            </w:tcBorders>
            <w:shd w:val="clear" w:color="auto" w:fill="auto"/>
            <w:noWrap/>
            <w:vAlign w:val="bottom"/>
            <w:hideMark/>
          </w:tcPr>
          <w:p w14:paraId="6AE9A69E" w14:textId="77777777" w:rsidR="00C55E98" w:rsidRPr="00C55E98" w:rsidRDefault="00C55E98" w:rsidP="00C55E98">
            <w:pPr>
              <w:spacing w:after="0" w:line="240" w:lineRule="auto"/>
              <w:rPr>
                <w:rFonts w:ascii="Calibri" w:eastAsia="Times New Roman" w:hAnsi="Calibri" w:cs="Calibri"/>
                <w:color w:val="000000"/>
                <w:kern w:val="0"/>
                <w14:ligatures w14:val="none"/>
              </w:rPr>
            </w:pPr>
            <w:proofErr w:type="spellStart"/>
            <w:r w:rsidRPr="00C55E98">
              <w:rPr>
                <w:rFonts w:ascii="Calibri" w:eastAsia="Times New Roman" w:hAnsi="Calibri" w:cs="Calibri"/>
                <w:color w:val="000000"/>
                <w:kern w:val="0"/>
                <w14:ligatures w14:val="none"/>
              </w:rPr>
              <w:t>Parvathaneni</w:t>
            </w:r>
            <w:proofErr w:type="spellEnd"/>
            <w:r w:rsidRPr="00C55E98">
              <w:rPr>
                <w:rFonts w:ascii="Calibri" w:eastAsia="Times New Roman" w:hAnsi="Calibri" w:cs="Calibri"/>
                <w:color w:val="000000"/>
                <w:kern w:val="0"/>
                <w14:ligatures w14:val="none"/>
              </w:rPr>
              <w:t>, Sirisha</w:t>
            </w:r>
          </w:p>
        </w:tc>
      </w:tr>
      <w:tr w:rsidR="00C55E98" w:rsidRPr="00C55E98" w14:paraId="12686282" w14:textId="77777777" w:rsidTr="00C55E98">
        <w:trPr>
          <w:trHeight w:val="300"/>
        </w:trPr>
        <w:tc>
          <w:tcPr>
            <w:tcW w:w="4268" w:type="dxa"/>
            <w:tcBorders>
              <w:top w:val="nil"/>
              <w:left w:val="nil"/>
              <w:bottom w:val="nil"/>
              <w:right w:val="nil"/>
            </w:tcBorders>
            <w:shd w:val="clear" w:color="auto" w:fill="auto"/>
            <w:noWrap/>
            <w:vAlign w:val="bottom"/>
            <w:hideMark/>
          </w:tcPr>
          <w:p w14:paraId="34934FC7" w14:textId="6BD5D6AA" w:rsidR="00C55E98" w:rsidRPr="00C55E98" w:rsidRDefault="006C651E" w:rsidP="00C55E98">
            <w:pPr>
              <w:spacing w:after="0" w:line="240" w:lineRule="auto"/>
              <w:rPr>
                <w:rFonts w:ascii="Calibri" w:eastAsia="Times New Roman" w:hAnsi="Calibri" w:cs="Calibri"/>
                <w:color w:val="000000"/>
                <w:kern w:val="0"/>
                <w14:ligatures w14:val="none"/>
              </w:rPr>
            </w:pPr>
            <w:proofErr w:type="spellStart"/>
            <w:r>
              <w:rPr>
                <w:rFonts w:ascii="Calibri" w:eastAsia="Times New Roman" w:hAnsi="Calibri" w:cs="Calibri"/>
                <w:color w:val="000000"/>
                <w:kern w:val="0"/>
                <w14:ligatures w14:val="none"/>
              </w:rPr>
              <w:t>Pengwei</w:t>
            </w:r>
            <w:proofErr w:type="spellEnd"/>
            <w:r>
              <w:rPr>
                <w:rFonts w:ascii="Calibri" w:eastAsia="Times New Roman" w:hAnsi="Calibri" w:cs="Calibri"/>
                <w:color w:val="000000"/>
                <w:kern w:val="0"/>
                <w14:ligatures w14:val="none"/>
              </w:rPr>
              <w:t xml:space="preserve"> Du</w:t>
            </w:r>
          </w:p>
        </w:tc>
      </w:tr>
      <w:tr w:rsidR="006C651E" w:rsidRPr="00C55E98" w14:paraId="3592E861" w14:textId="77777777" w:rsidTr="00C55E98">
        <w:trPr>
          <w:trHeight w:val="300"/>
        </w:trPr>
        <w:tc>
          <w:tcPr>
            <w:tcW w:w="4268" w:type="dxa"/>
            <w:tcBorders>
              <w:top w:val="nil"/>
              <w:left w:val="nil"/>
              <w:bottom w:val="nil"/>
              <w:right w:val="nil"/>
            </w:tcBorders>
            <w:shd w:val="clear" w:color="auto" w:fill="auto"/>
            <w:noWrap/>
            <w:vAlign w:val="bottom"/>
          </w:tcPr>
          <w:p w14:paraId="5D58DFE9" w14:textId="5D700342" w:rsidR="006C651E"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Peter Winder</w:t>
            </w:r>
          </w:p>
        </w:tc>
      </w:tr>
      <w:tr w:rsidR="006C651E" w:rsidRPr="00C55E98" w14:paraId="70F58A09" w14:textId="77777777" w:rsidTr="00C55E98">
        <w:trPr>
          <w:trHeight w:val="300"/>
        </w:trPr>
        <w:tc>
          <w:tcPr>
            <w:tcW w:w="4268" w:type="dxa"/>
            <w:tcBorders>
              <w:top w:val="nil"/>
              <w:left w:val="nil"/>
              <w:bottom w:val="nil"/>
              <w:right w:val="nil"/>
            </w:tcBorders>
            <w:shd w:val="clear" w:color="auto" w:fill="auto"/>
            <w:noWrap/>
            <w:vAlign w:val="bottom"/>
          </w:tcPr>
          <w:p w14:paraId="1F9D4F3D" w14:textId="0FEFD99E" w:rsidR="006C651E"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PUCT – Chris Brown</w:t>
            </w:r>
          </w:p>
        </w:tc>
      </w:tr>
      <w:tr w:rsidR="00C55E98" w:rsidRPr="00C55E98" w14:paraId="5EC1F5A6" w14:textId="77777777" w:rsidTr="00C55E98">
        <w:trPr>
          <w:trHeight w:val="300"/>
        </w:trPr>
        <w:tc>
          <w:tcPr>
            <w:tcW w:w="4268" w:type="dxa"/>
            <w:tcBorders>
              <w:top w:val="nil"/>
              <w:left w:val="nil"/>
              <w:bottom w:val="nil"/>
              <w:right w:val="nil"/>
            </w:tcBorders>
            <w:shd w:val="clear" w:color="auto" w:fill="auto"/>
            <w:noWrap/>
            <w:vAlign w:val="bottom"/>
            <w:hideMark/>
          </w:tcPr>
          <w:p w14:paraId="4997C734"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Raja Kakarla CNP</w:t>
            </w:r>
          </w:p>
        </w:tc>
      </w:tr>
      <w:tr w:rsidR="00C55E98" w:rsidRPr="00C55E98" w14:paraId="7556830F" w14:textId="77777777" w:rsidTr="00C55E98">
        <w:trPr>
          <w:trHeight w:val="300"/>
        </w:trPr>
        <w:tc>
          <w:tcPr>
            <w:tcW w:w="4268" w:type="dxa"/>
            <w:tcBorders>
              <w:top w:val="nil"/>
              <w:left w:val="nil"/>
              <w:bottom w:val="nil"/>
              <w:right w:val="nil"/>
            </w:tcBorders>
            <w:shd w:val="clear" w:color="auto" w:fill="auto"/>
            <w:noWrap/>
            <w:vAlign w:val="bottom"/>
            <w:hideMark/>
          </w:tcPr>
          <w:p w14:paraId="51F9C063" w14:textId="76EA3991" w:rsidR="00C55E98"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Ramya Ramaswamy - PUCT</w:t>
            </w:r>
          </w:p>
        </w:tc>
      </w:tr>
      <w:tr w:rsidR="00C55E98" w:rsidRPr="00C55E98" w14:paraId="6C9FB997" w14:textId="77777777" w:rsidTr="00C55E98">
        <w:trPr>
          <w:trHeight w:val="300"/>
        </w:trPr>
        <w:tc>
          <w:tcPr>
            <w:tcW w:w="4268" w:type="dxa"/>
            <w:tcBorders>
              <w:top w:val="nil"/>
              <w:left w:val="nil"/>
              <w:bottom w:val="nil"/>
              <w:right w:val="nil"/>
            </w:tcBorders>
            <w:shd w:val="clear" w:color="auto" w:fill="auto"/>
            <w:noWrap/>
            <w:vAlign w:val="bottom"/>
            <w:hideMark/>
          </w:tcPr>
          <w:p w14:paraId="12EEC246" w14:textId="35849904" w:rsidR="00C55E98"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Robert King</w:t>
            </w:r>
          </w:p>
        </w:tc>
      </w:tr>
      <w:tr w:rsidR="00C55E98" w:rsidRPr="00C55E98" w14:paraId="796017BF" w14:textId="77777777" w:rsidTr="00C55E98">
        <w:trPr>
          <w:trHeight w:val="300"/>
        </w:trPr>
        <w:tc>
          <w:tcPr>
            <w:tcW w:w="4268" w:type="dxa"/>
            <w:tcBorders>
              <w:top w:val="nil"/>
              <w:left w:val="nil"/>
              <w:bottom w:val="nil"/>
              <w:right w:val="nil"/>
            </w:tcBorders>
            <w:shd w:val="clear" w:color="auto" w:fill="auto"/>
            <w:noWrap/>
            <w:vAlign w:val="bottom"/>
            <w:hideMark/>
          </w:tcPr>
          <w:p w14:paraId="469FBE9B" w14:textId="718A94EA" w:rsidR="00C55E98"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Russell Hall</w:t>
            </w:r>
          </w:p>
        </w:tc>
      </w:tr>
      <w:tr w:rsidR="00C55E98" w:rsidRPr="00C55E98" w14:paraId="0D23E65D" w14:textId="77777777" w:rsidTr="00C55E98">
        <w:trPr>
          <w:trHeight w:val="300"/>
        </w:trPr>
        <w:tc>
          <w:tcPr>
            <w:tcW w:w="4268" w:type="dxa"/>
            <w:tcBorders>
              <w:top w:val="nil"/>
              <w:left w:val="nil"/>
              <w:bottom w:val="nil"/>
              <w:right w:val="nil"/>
            </w:tcBorders>
            <w:shd w:val="clear" w:color="auto" w:fill="auto"/>
            <w:noWrap/>
            <w:vAlign w:val="bottom"/>
            <w:hideMark/>
          </w:tcPr>
          <w:p w14:paraId="767BF99D"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Sam Senanayake</w:t>
            </w:r>
          </w:p>
        </w:tc>
      </w:tr>
      <w:tr w:rsidR="00C55E98" w:rsidRPr="00C55E98" w14:paraId="5283B991" w14:textId="77777777" w:rsidTr="00C55E98">
        <w:trPr>
          <w:trHeight w:val="300"/>
        </w:trPr>
        <w:tc>
          <w:tcPr>
            <w:tcW w:w="4268" w:type="dxa"/>
            <w:tcBorders>
              <w:top w:val="nil"/>
              <w:left w:val="nil"/>
              <w:bottom w:val="nil"/>
              <w:right w:val="nil"/>
            </w:tcBorders>
            <w:shd w:val="clear" w:color="auto" w:fill="auto"/>
            <w:noWrap/>
            <w:vAlign w:val="bottom"/>
            <w:hideMark/>
          </w:tcPr>
          <w:p w14:paraId="354927AC"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Sandeep Borkar - LCRA TSC</w:t>
            </w:r>
          </w:p>
        </w:tc>
      </w:tr>
      <w:tr w:rsidR="00C55E98" w:rsidRPr="00C55E98" w14:paraId="27286FF5" w14:textId="77777777" w:rsidTr="00C55E98">
        <w:trPr>
          <w:trHeight w:val="300"/>
        </w:trPr>
        <w:tc>
          <w:tcPr>
            <w:tcW w:w="4268" w:type="dxa"/>
            <w:tcBorders>
              <w:top w:val="nil"/>
              <w:left w:val="nil"/>
              <w:bottom w:val="nil"/>
              <w:right w:val="nil"/>
            </w:tcBorders>
            <w:shd w:val="clear" w:color="auto" w:fill="auto"/>
            <w:noWrap/>
            <w:vAlign w:val="bottom"/>
            <w:hideMark/>
          </w:tcPr>
          <w:p w14:paraId="2272BF7A"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Sandra Morris</w:t>
            </w:r>
          </w:p>
        </w:tc>
      </w:tr>
      <w:tr w:rsidR="00C55E98" w:rsidRPr="00C55E98" w14:paraId="4424A921" w14:textId="77777777" w:rsidTr="00C55E98">
        <w:trPr>
          <w:trHeight w:val="300"/>
        </w:trPr>
        <w:tc>
          <w:tcPr>
            <w:tcW w:w="4268" w:type="dxa"/>
            <w:tcBorders>
              <w:top w:val="nil"/>
              <w:left w:val="nil"/>
              <w:bottom w:val="nil"/>
              <w:right w:val="nil"/>
            </w:tcBorders>
            <w:shd w:val="clear" w:color="auto" w:fill="auto"/>
            <w:noWrap/>
            <w:vAlign w:val="bottom"/>
            <w:hideMark/>
          </w:tcPr>
          <w:p w14:paraId="6577E8A3"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Suzi McClellan</w:t>
            </w:r>
          </w:p>
        </w:tc>
      </w:tr>
      <w:tr w:rsidR="00C55E98" w:rsidRPr="00C55E98" w14:paraId="3D5026D1" w14:textId="77777777" w:rsidTr="00C55E98">
        <w:trPr>
          <w:trHeight w:val="300"/>
        </w:trPr>
        <w:tc>
          <w:tcPr>
            <w:tcW w:w="4268" w:type="dxa"/>
            <w:tcBorders>
              <w:top w:val="nil"/>
              <w:left w:val="nil"/>
              <w:bottom w:val="nil"/>
              <w:right w:val="nil"/>
            </w:tcBorders>
            <w:shd w:val="clear" w:color="auto" w:fill="auto"/>
            <w:noWrap/>
            <w:vAlign w:val="bottom"/>
            <w:hideMark/>
          </w:tcPr>
          <w:p w14:paraId="4D7930C0" w14:textId="4487D0A5" w:rsidR="00C55E98"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Theresa Noyes LCRA</w:t>
            </w:r>
          </w:p>
        </w:tc>
      </w:tr>
      <w:tr w:rsidR="00C55E98" w:rsidRPr="00C55E98" w14:paraId="33207F8A" w14:textId="77777777" w:rsidTr="00C55E98">
        <w:trPr>
          <w:trHeight w:val="300"/>
        </w:trPr>
        <w:tc>
          <w:tcPr>
            <w:tcW w:w="4268" w:type="dxa"/>
            <w:tcBorders>
              <w:top w:val="nil"/>
              <w:left w:val="nil"/>
              <w:bottom w:val="nil"/>
              <w:right w:val="nil"/>
            </w:tcBorders>
            <w:shd w:val="clear" w:color="auto" w:fill="auto"/>
            <w:noWrap/>
            <w:vAlign w:val="bottom"/>
            <w:hideMark/>
          </w:tcPr>
          <w:p w14:paraId="46EDFD70" w14:textId="38FB7FB7" w:rsidR="00C55E98"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Matt Tovar</w:t>
            </w:r>
          </w:p>
        </w:tc>
      </w:tr>
      <w:tr w:rsidR="00C55E98" w:rsidRPr="00C55E98" w14:paraId="521B965D" w14:textId="77777777" w:rsidTr="00C55E98">
        <w:trPr>
          <w:trHeight w:val="300"/>
        </w:trPr>
        <w:tc>
          <w:tcPr>
            <w:tcW w:w="4268" w:type="dxa"/>
            <w:tcBorders>
              <w:top w:val="nil"/>
              <w:left w:val="nil"/>
              <w:bottom w:val="nil"/>
              <w:right w:val="nil"/>
            </w:tcBorders>
            <w:shd w:val="clear" w:color="auto" w:fill="auto"/>
            <w:noWrap/>
            <w:vAlign w:val="bottom"/>
            <w:hideMark/>
          </w:tcPr>
          <w:p w14:paraId="00C9A069" w14:textId="07DF287D" w:rsidR="00C55E98"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Vanessa Chan - Enel</w:t>
            </w:r>
          </w:p>
        </w:tc>
      </w:tr>
      <w:tr w:rsidR="00C55E98" w:rsidRPr="00C55E98" w14:paraId="5E0E4310" w14:textId="77777777" w:rsidTr="00C55E98">
        <w:trPr>
          <w:trHeight w:val="300"/>
        </w:trPr>
        <w:tc>
          <w:tcPr>
            <w:tcW w:w="4268" w:type="dxa"/>
            <w:tcBorders>
              <w:top w:val="nil"/>
              <w:left w:val="nil"/>
              <w:bottom w:val="nil"/>
              <w:right w:val="nil"/>
            </w:tcBorders>
            <w:shd w:val="clear" w:color="auto" w:fill="auto"/>
            <w:noWrap/>
            <w:vAlign w:val="bottom"/>
            <w:hideMark/>
          </w:tcPr>
          <w:p w14:paraId="50B8D69E"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Ward Jablonski MEPPI</w:t>
            </w:r>
          </w:p>
        </w:tc>
      </w:tr>
      <w:tr w:rsidR="00C55E98" w:rsidRPr="00C55E98" w14:paraId="13AFF3F1" w14:textId="77777777" w:rsidTr="00C55E98">
        <w:trPr>
          <w:trHeight w:val="300"/>
        </w:trPr>
        <w:tc>
          <w:tcPr>
            <w:tcW w:w="4268" w:type="dxa"/>
            <w:tcBorders>
              <w:top w:val="nil"/>
              <w:left w:val="nil"/>
              <w:bottom w:val="nil"/>
              <w:right w:val="nil"/>
            </w:tcBorders>
            <w:shd w:val="clear" w:color="auto" w:fill="auto"/>
            <w:noWrap/>
            <w:vAlign w:val="bottom"/>
            <w:hideMark/>
          </w:tcPr>
          <w:p w14:paraId="642FAA95" w14:textId="5DDCCD45"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Wes Woitt</w:t>
            </w:r>
            <w:r w:rsidR="006C651E">
              <w:rPr>
                <w:rFonts w:ascii="Calibri" w:eastAsia="Times New Roman" w:hAnsi="Calibri" w:cs="Calibri"/>
                <w:color w:val="000000"/>
                <w:kern w:val="0"/>
                <w14:ligatures w14:val="none"/>
              </w:rPr>
              <w:t xml:space="preserve"> - CNP</w:t>
            </w:r>
          </w:p>
        </w:tc>
      </w:tr>
    </w:tbl>
    <w:p w14:paraId="4A9BA58E" w14:textId="42F522ED" w:rsidR="000B17E9" w:rsidRPr="000B17E9" w:rsidRDefault="000B17E9" w:rsidP="00675532">
      <w:pPr>
        <w:spacing w:after="0"/>
        <w:rPr>
          <w:rFonts w:ascii="Arial" w:hAnsi="Arial" w:cs="Arial"/>
          <w:kern w:val="0"/>
          <w14:ligatures w14:val="none"/>
        </w:rPr>
      </w:pPr>
    </w:p>
    <w:sectPr w:rsidR="000B17E9" w:rsidRPr="000B1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099"/>
    <w:multiLevelType w:val="hybridMultilevel"/>
    <w:tmpl w:val="A8C4DC9A"/>
    <w:lvl w:ilvl="0" w:tplc="83143526">
      <w:start w:val="1"/>
      <w:numFmt w:val="decimal"/>
      <w:lvlText w:val="%1."/>
      <w:lvlJc w:val="left"/>
      <w:pPr>
        <w:ind w:left="720" w:hanging="360"/>
      </w:pPr>
      <w:rPr>
        <w:b/>
        <w:bCs/>
      </w:rPr>
    </w:lvl>
    <w:lvl w:ilvl="1" w:tplc="73FE4FB4">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DEA059A"/>
    <w:multiLevelType w:val="hybridMultilevel"/>
    <w:tmpl w:val="7010A2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8240075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53531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87"/>
    <w:rsid w:val="000723EC"/>
    <w:rsid w:val="000B17E9"/>
    <w:rsid w:val="00391C50"/>
    <w:rsid w:val="004152AB"/>
    <w:rsid w:val="00477D41"/>
    <w:rsid w:val="00551E59"/>
    <w:rsid w:val="00557631"/>
    <w:rsid w:val="005756EE"/>
    <w:rsid w:val="005A18CB"/>
    <w:rsid w:val="00632A5A"/>
    <w:rsid w:val="006573B9"/>
    <w:rsid w:val="00675532"/>
    <w:rsid w:val="006C0F0E"/>
    <w:rsid w:val="006C651E"/>
    <w:rsid w:val="008D7326"/>
    <w:rsid w:val="0090049D"/>
    <w:rsid w:val="00920502"/>
    <w:rsid w:val="009363FD"/>
    <w:rsid w:val="009D4B3B"/>
    <w:rsid w:val="00A44BB5"/>
    <w:rsid w:val="00A955D8"/>
    <w:rsid w:val="00C55E98"/>
    <w:rsid w:val="00CD511A"/>
    <w:rsid w:val="00D55287"/>
    <w:rsid w:val="00E16285"/>
    <w:rsid w:val="00E52DA4"/>
    <w:rsid w:val="00F36864"/>
    <w:rsid w:val="00FE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33EF9"/>
  <w15:docId w15:val="{8E906F51-25B1-4918-BF80-97046FD6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5287"/>
    <w:rPr>
      <w:color w:val="0563C1"/>
      <w:u w:val="single"/>
    </w:rPr>
  </w:style>
  <w:style w:type="paragraph" w:styleId="PlainText">
    <w:name w:val="Plain Text"/>
    <w:basedOn w:val="Normal"/>
    <w:link w:val="PlainTextChar"/>
    <w:uiPriority w:val="99"/>
    <w:unhideWhenUsed/>
    <w:rsid w:val="00D55287"/>
    <w:pPr>
      <w:spacing w:after="0" w:line="240" w:lineRule="auto"/>
    </w:pPr>
    <w:rPr>
      <w:rFonts w:ascii="Arial" w:hAnsi="Arial" w:cs="Arial"/>
      <w:kern w:val="0"/>
      <w14:ligatures w14:val="none"/>
    </w:rPr>
  </w:style>
  <w:style w:type="character" w:customStyle="1" w:styleId="PlainTextChar">
    <w:name w:val="Plain Text Char"/>
    <w:basedOn w:val="DefaultParagraphFont"/>
    <w:link w:val="PlainText"/>
    <w:uiPriority w:val="99"/>
    <w:rsid w:val="00D55287"/>
    <w:rPr>
      <w:rFonts w:ascii="Arial" w:hAnsi="Arial" w:cs="Arial"/>
      <w:kern w:val="0"/>
      <w14:ligatures w14:val="none"/>
    </w:rPr>
  </w:style>
  <w:style w:type="paragraph" w:styleId="ListParagraph">
    <w:name w:val="List Paragraph"/>
    <w:basedOn w:val="Normal"/>
    <w:uiPriority w:val="34"/>
    <w:qFormat/>
    <w:rsid w:val="00D55287"/>
    <w:pPr>
      <w:spacing w:after="0" w:line="240" w:lineRule="auto"/>
      <w:ind w:left="720"/>
    </w:pPr>
    <w:rPr>
      <w:rFonts w:ascii="Calibri" w:hAnsi="Calibri" w:cs="Calibri"/>
      <w:kern w:val="0"/>
      <w14:ligatures w14:val="none"/>
    </w:rPr>
  </w:style>
  <w:style w:type="character" w:styleId="FollowedHyperlink">
    <w:name w:val="FollowedHyperlink"/>
    <w:basedOn w:val="DefaultParagraphFont"/>
    <w:uiPriority w:val="99"/>
    <w:semiHidden/>
    <w:unhideWhenUsed/>
    <w:rsid w:val="000723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645">
      <w:bodyDiv w:val="1"/>
      <w:marLeft w:val="0"/>
      <w:marRight w:val="0"/>
      <w:marTop w:val="0"/>
      <w:marBottom w:val="0"/>
      <w:divBdr>
        <w:top w:val="none" w:sz="0" w:space="0" w:color="auto"/>
        <w:left w:val="none" w:sz="0" w:space="0" w:color="auto"/>
        <w:bottom w:val="none" w:sz="0" w:space="0" w:color="auto"/>
        <w:right w:val="none" w:sz="0" w:space="0" w:color="auto"/>
      </w:divBdr>
    </w:div>
    <w:div w:id="195505947">
      <w:bodyDiv w:val="1"/>
      <w:marLeft w:val="0"/>
      <w:marRight w:val="0"/>
      <w:marTop w:val="0"/>
      <w:marBottom w:val="0"/>
      <w:divBdr>
        <w:top w:val="none" w:sz="0" w:space="0" w:color="auto"/>
        <w:left w:val="none" w:sz="0" w:space="0" w:color="auto"/>
        <w:bottom w:val="none" w:sz="0" w:space="0" w:color="auto"/>
        <w:right w:val="none" w:sz="0" w:space="0" w:color="auto"/>
      </w:divBdr>
    </w:div>
    <w:div w:id="198470714">
      <w:bodyDiv w:val="1"/>
      <w:marLeft w:val="0"/>
      <w:marRight w:val="0"/>
      <w:marTop w:val="0"/>
      <w:marBottom w:val="0"/>
      <w:divBdr>
        <w:top w:val="none" w:sz="0" w:space="0" w:color="auto"/>
        <w:left w:val="none" w:sz="0" w:space="0" w:color="auto"/>
        <w:bottom w:val="none" w:sz="0" w:space="0" w:color="auto"/>
        <w:right w:val="none" w:sz="0" w:space="0" w:color="auto"/>
      </w:divBdr>
    </w:div>
    <w:div w:id="257174964">
      <w:bodyDiv w:val="1"/>
      <w:marLeft w:val="0"/>
      <w:marRight w:val="0"/>
      <w:marTop w:val="0"/>
      <w:marBottom w:val="0"/>
      <w:divBdr>
        <w:top w:val="none" w:sz="0" w:space="0" w:color="auto"/>
        <w:left w:val="none" w:sz="0" w:space="0" w:color="auto"/>
        <w:bottom w:val="none" w:sz="0" w:space="0" w:color="auto"/>
        <w:right w:val="none" w:sz="0" w:space="0" w:color="auto"/>
      </w:divBdr>
    </w:div>
    <w:div w:id="555044073">
      <w:bodyDiv w:val="1"/>
      <w:marLeft w:val="0"/>
      <w:marRight w:val="0"/>
      <w:marTop w:val="0"/>
      <w:marBottom w:val="0"/>
      <w:divBdr>
        <w:top w:val="none" w:sz="0" w:space="0" w:color="auto"/>
        <w:left w:val="none" w:sz="0" w:space="0" w:color="auto"/>
        <w:bottom w:val="none" w:sz="0" w:space="0" w:color="auto"/>
        <w:right w:val="none" w:sz="0" w:space="0" w:color="auto"/>
      </w:divBdr>
    </w:div>
    <w:div w:id="609749076">
      <w:bodyDiv w:val="1"/>
      <w:marLeft w:val="0"/>
      <w:marRight w:val="0"/>
      <w:marTop w:val="0"/>
      <w:marBottom w:val="0"/>
      <w:divBdr>
        <w:top w:val="none" w:sz="0" w:space="0" w:color="auto"/>
        <w:left w:val="none" w:sz="0" w:space="0" w:color="auto"/>
        <w:bottom w:val="none" w:sz="0" w:space="0" w:color="auto"/>
        <w:right w:val="none" w:sz="0" w:space="0" w:color="auto"/>
      </w:divBdr>
    </w:div>
    <w:div w:id="852378040">
      <w:bodyDiv w:val="1"/>
      <w:marLeft w:val="0"/>
      <w:marRight w:val="0"/>
      <w:marTop w:val="0"/>
      <w:marBottom w:val="0"/>
      <w:divBdr>
        <w:top w:val="none" w:sz="0" w:space="0" w:color="auto"/>
        <w:left w:val="none" w:sz="0" w:space="0" w:color="auto"/>
        <w:bottom w:val="none" w:sz="0" w:space="0" w:color="auto"/>
        <w:right w:val="none" w:sz="0" w:space="0" w:color="auto"/>
      </w:divBdr>
    </w:div>
    <w:div w:id="919294892">
      <w:bodyDiv w:val="1"/>
      <w:marLeft w:val="0"/>
      <w:marRight w:val="0"/>
      <w:marTop w:val="0"/>
      <w:marBottom w:val="0"/>
      <w:divBdr>
        <w:top w:val="none" w:sz="0" w:space="0" w:color="auto"/>
        <w:left w:val="none" w:sz="0" w:space="0" w:color="auto"/>
        <w:bottom w:val="none" w:sz="0" w:space="0" w:color="auto"/>
        <w:right w:val="none" w:sz="0" w:space="0" w:color="auto"/>
      </w:divBdr>
    </w:div>
    <w:div w:id="983506448">
      <w:bodyDiv w:val="1"/>
      <w:marLeft w:val="0"/>
      <w:marRight w:val="0"/>
      <w:marTop w:val="0"/>
      <w:marBottom w:val="0"/>
      <w:divBdr>
        <w:top w:val="none" w:sz="0" w:space="0" w:color="auto"/>
        <w:left w:val="none" w:sz="0" w:space="0" w:color="auto"/>
        <w:bottom w:val="none" w:sz="0" w:space="0" w:color="auto"/>
        <w:right w:val="none" w:sz="0" w:space="0" w:color="auto"/>
      </w:divBdr>
    </w:div>
    <w:div w:id="1037004643">
      <w:bodyDiv w:val="1"/>
      <w:marLeft w:val="0"/>
      <w:marRight w:val="0"/>
      <w:marTop w:val="0"/>
      <w:marBottom w:val="0"/>
      <w:divBdr>
        <w:top w:val="none" w:sz="0" w:space="0" w:color="auto"/>
        <w:left w:val="none" w:sz="0" w:space="0" w:color="auto"/>
        <w:bottom w:val="none" w:sz="0" w:space="0" w:color="auto"/>
        <w:right w:val="none" w:sz="0" w:space="0" w:color="auto"/>
      </w:divBdr>
    </w:div>
    <w:div w:id="1168717814">
      <w:bodyDiv w:val="1"/>
      <w:marLeft w:val="0"/>
      <w:marRight w:val="0"/>
      <w:marTop w:val="0"/>
      <w:marBottom w:val="0"/>
      <w:divBdr>
        <w:top w:val="none" w:sz="0" w:space="0" w:color="auto"/>
        <w:left w:val="none" w:sz="0" w:space="0" w:color="auto"/>
        <w:bottom w:val="none" w:sz="0" w:space="0" w:color="auto"/>
        <w:right w:val="none" w:sz="0" w:space="0" w:color="auto"/>
      </w:divBdr>
    </w:div>
    <w:div w:id="1213887901">
      <w:bodyDiv w:val="1"/>
      <w:marLeft w:val="0"/>
      <w:marRight w:val="0"/>
      <w:marTop w:val="0"/>
      <w:marBottom w:val="0"/>
      <w:divBdr>
        <w:top w:val="none" w:sz="0" w:space="0" w:color="auto"/>
        <w:left w:val="none" w:sz="0" w:space="0" w:color="auto"/>
        <w:bottom w:val="none" w:sz="0" w:space="0" w:color="auto"/>
        <w:right w:val="none" w:sz="0" w:space="0" w:color="auto"/>
      </w:divBdr>
    </w:div>
    <w:div w:id="1715302825">
      <w:bodyDiv w:val="1"/>
      <w:marLeft w:val="0"/>
      <w:marRight w:val="0"/>
      <w:marTop w:val="0"/>
      <w:marBottom w:val="0"/>
      <w:divBdr>
        <w:top w:val="none" w:sz="0" w:space="0" w:color="auto"/>
        <w:left w:val="none" w:sz="0" w:space="0" w:color="auto"/>
        <w:bottom w:val="none" w:sz="0" w:space="0" w:color="auto"/>
        <w:right w:val="none" w:sz="0" w:space="0" w:color="auto"/>
      </w:divBdr>
    </w:div>
    <w:div w:id="1931310380">
      <w:bodyDiv w:val="1"/>
      <w:marLeft w:val="0"/>
      <w:marRight w:val="0"/>
      <w:marTop w:val="0"/>
      <w:marBottom w:val="0"/>
      <w:divBdr>
        <w:top w:val="none" w:sz="0" w:space="0" w:color="auto"/>
        <w:left w:val="none" w:sz="0" w:space="0" w:color="auto"/>
        <w:bottom w:val="none" w:sz="0" w:space="0" w:color="auto"/>
        <w:right w:val="none" w:sz="0" w:space="0" w:color="auto"/>
      </w:divBdr>
    </w:div>
    <w:div w:id="2009089754">
      <w:bodyDiv w:val="1"/>
      <w:marLeft w:val="0"/>
      <w:marRight w:val="0"/>
      <w:marTop w:val="0"/>
      <w:marBottom w:val="0"/>
      <w:divBdr>
        <w:top w:val="none" w:sz="0" w:space="0" w:color="auto"/>
        <w:left w:val="none" w:sz="0" w:space="0" w:color="auto"/>
        <w:bottom w:val="none" w:sz="0" w:space="0" w:color="auto"/>
        <w:right w:val="none" w:sz="0" w:space="0" w:color="auto"/>
      </w:divBdr>
    </w:div>
    <w:div w:id="2050496783">
      <w:bodyDiv w:val="1"/>
      <w:marLeft w:val="0"/>
      <w:marRight w:val="0"/>
      <w:marTop w:val="0"/>
      <w:marBottom w:val="0"/>
      <w:divBdr>
        <w:top w:val="none" w:sz="0" w:space="0" w:color="auto"/>
        <w:left w:val="none" w:sz="0" w:space="0" w:color="auto"/>
        <w:bottom w:val="none" w:sz="0" w:space="0" w:color="auto"/>
        <w:right w:val="none" w:sz="0" w:space="0" w:color="auto"/>
      </w:divBdr>
    </w:div>
    <w:div w:id="2052221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www.ercot.com/mktrules/issues/NPRR1180__;!!FvyJbJE!SUDx9Q8q-OBewIbsy2UHqZs3ZdwaOFutIKKGQaF5T7iAStK19UiQrsD8hDOJISjMJL6WDZIqvPTjoLFjI1vAJcWtv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ldefense.com/v3/__https:/www.ercot.com/mktrules/issues/PGRR107__;!!FvyJbJE!SUDx9Q8q-OBewIbsy2UHqZs3ZdwaOFutIKKGQaF5T7iAStK19UiQrsD8hDOJISjMJL6WDZIqvPTjoLFjI1sjZyNCR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s:/www.ercot.com/mktrules/issues/PGRR113__;!!FvyJbJE!SUDx9Q8q-OBewIbsy2UHqZs3ZdwaOFutIKKGQaF5T7iAStK19UiQrsD8hDOJISjMJL6WDZIqvPTjoLFjI1tXSehfSw$" TargetMode="External"/><Relationship Id="rId11" Type="http://schemas.openxmlformats.org/officeDocument/2006/relationships/hyperlink" Target="https://www.ercot.com/mktrules/issues/NPRR1070" TargetMode="External"/><Relationship Id="rId5" Type="http://schemas.openxmlformats.org/officeDocument/2006/relationships/hyperlink" Target="https://urldefense.com/v3/__https:/www.ercot.com/mktrules/issues/PGRR112__;!!FvyJbJE!SUDx9Q8q-OBewIbsy2UHqZs3ZdwaOFutIKKGQaF5T7iAStK19UiQrsD8hDOJISjMJL6WDZIqvPTjoLFjI1tFL1h3JA$" TargetMode="External"/><Relationship Id="rId10" Type="http://schemas.openxmlformats.org/officeDocument/2006/relationships/hyperlink" Target="https://urldefense.com/v3/__https:/www.ercot.com/files/docs/2023/12/13/1180NPRR-09*20ERCOT*20Comments*20121323.docx__;JSUl!!FvyJbJE!SUDx9Q8q-OBewIbsy2UHqZs3ZdwaOFutIKKGQaF5T7iAStK19UiQrsD8hDOJISjMJL6WDZIqvPTjoLFjI1t3gjoHcg$" TargetMode="External"/><Relationship Id="rId4" Type="http://schemas.openxmlformats.org/officeDocument/2006/relationships/webSettings" Target="webSettings.xml"/><Relationship Id="rId9" Type="http://schemas.openxmlformats.org/officeDocument/2006/relationships/hyperlink" Target="https://urldefense.com/v3/__https:/www.ercot.com/files/docs/2023/12/13/107PGRR-06*20ERCOT*20Comments*20121323.docx__;JSUl!!FvyJbJE!SUDx9Q8q-OBewIbsy2UHqZs3ZdwaOFutIKKGQaF5T7iAStK19UiQrsD8hDOJISjMJL6WDZIqvPTjoLFjI1s5ydkLY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Preas</dc:creator>
  <cp:keywords/>
  <dc:description/>
  <cp:lastModifiedBy>Alexandra Miller</cp:lastModifiedBy>
  <cp:revision>7</cp:revision>
  <dcterms:created xsi:type="dcterms:W3CDTF">2023-11-07T19:11:00Z</dcterms:created>
  <dcterms:modified xsi:type="dcterms:W3CDTF">2024-01-17T15:38:00Z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b5fe95-8f20-4bf1-a4bc-7cba4c4dcd39_Enabled">
    <vt:lpwstr>true</vt:lpwstr>
  </property>
  <property fmtid="{D5CDD505-2E9C-101B-9397-08002B2CF9AE}" pid="3" name="MSIP_Label_00b5fe95-8f20-4bf1-a4bc-7cba4c4dcd39_SetDate">
    <vt:lpwstr>2023-08-21T15:34:30Z</vt:lpwstr>
  </property>
  <property fmtid="{D5CDD505-2E9C-101B-9397-08002B2CF9AE}" pid="4" name="MSIP_Label_00b5fe95-8f20-4bf1-a4bc-7cba4c4dcd39_Method">
    <vt:lpwstr>Standard</vt:lpwstr>
  </property>
  <property fmtid="{D5CDD505-2E9C-101B-9397-08002B2CF9AE}" pid="5" name="MSIP_Label_00b5fe95-8f20-4bf1-a4bc-7cba4c4dcd39_Name">
    <vt:lpwstr>Internal access</vt:lpwstr>
  </property>
  <property fmtid="{D5CDD505-2E9C-101B-9397-08002B2CF9AE}" pid="6" name="MSIP_Label_00b5fe95-8f20-4bf1-a4bc-7cba4c4dcd39_SiteId">
    <vt:lpwstr>34c5e68e-b374-47fe-91da-0e3d638792fb</vt:lpwstr>
  </property>
  <property fmtid="{D5CDD505-2E9C-101B-9397-08002B2CF9AE}" pid="7" name="MSIP_Label_00b5fe95-8f20-4bf1-a4bc-7cba4c4dcd39_ActionId">
    <vt:lpwstr>3051d845-6948-4032-b854-927953f169bb</vt:lpwstr>
  </property>
  <property fmtid="{D5CDD505-2E9C-101B-9397-08002B2CF9AE}" pid="8" name="MSIP_Label_00b5fe95-8f20-4bf1-a4bc-7cba4c4dcd39_ContentBits">
    <vt:lpwstr>0</vt:lpwstr>
  </property>
</Properties>
</file>