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399B" w14:textId="77777777" w:rsidR="00FC25EB" w:rsidRDefault="00FC25EB" w:rsidP="00FC25EB">
      <w:pPr>
        <w:contextualSpacing/>
      </w:pPr>
      <w:r>
        <w:t>Agenda</w:t>
      </w:r>
    </w:p>
    <w:p w14:paraId="4B4BE4B9" w14:textId="77777777" w:rsidR="00FC25EB" w:rsidRDefault="00FC25EB" w:rsidP="00FC25EB">
      <w:pPr>
        <w:contextualSpacing/>
      </w:pPr>
    </w:p>
    <w:p w14:paraId="399258F6" w14:textId="77777777" w:rsidR="00FC25EB" w:rsidRDefault="00FC25EB" w:rsidP="00FC25EB">
      <w:pPr>
        <w:contextualSpacing/>
      </w:pPr>
      <w:r>
        <w:t>1. Antitrust Admonition // Zaldy Zapanta</w:t>
      </w:r>
    </w:p>
    <w:p w14:paraId="3E6BA158" w14:textId="77777777" w:rsidR="00FC25EB" w:rsidRDefault="00FC25EB" w:rsidP="00FC25EB">
      <w:pPr>
        <w:contextualSpacing/>
      </w:pPr>
    </w:p>
    <w:p w14:paraId="42198DDA" w14:textId="592CE1D6" w:rsidR="00FC25EB" w:rsidRDefault="00FC25EB" w:rsidP="00FC25EB">
      <w:pPr>
        <w:contextualSpacing/>
      </w:pPr>
      <w:r>
        <w:t>2. Approval of Minutes (Vote) // Brenden Sager</w:t>
      </w:r>
    </w:p>
    <w:p w14:paraId="5D796502" w14:textId="089841E1" w:rsidR="008D6156" w:rsidRDefault="0016671D" w:rsidP="00FC25EB">
      <w:pPr>
        <w:contextualSpacing/>
      </w:pPr>
      <w:r>
        <w:t>None</w:t>
      </w:r>
    </w:p>
    <w:p w14:paraId="6963B8B6" w14:textId="77777777" w:rsidR="00FC25EB" w:rsidRDefault="00FC25EB" w:rsidP="00FC25EB">
      <w:pPr>
        <w:contextualSpacing/>
      </w:pPr>
    </w:p>
    <w:p w14:paraId="31B21A20" w14:textId="54241028" w:rsidR="00FC25EB" w:rsidRDefault="00FC25EB" w:rsidP="00FC25EB">
      <w:pPr>
        <w:contextualSpacing/>
      </w:pPr>
      <w:r>
        <w:t xml:space="preserve">3. </w:t>
      </w:r>
      <w:proofErr w:type="gramStart"/>
      <w:r>
        <w:t>Sub Group</w:t>
      </w:r>
      <w:proofErr w:type="gramEnd"/>
      <w:r>
        <w:t xml:space="preserve"> Organizational Matters // Brenden Sager</w:t>
      </w:r>
    </w:p>
    <w:p w14:paraId="068CA9F3" w14:textId="576E6B6B" w:rsidR="0016671D" w:rsidRDefault="0016671D" w:rsidP="00FC25EB">
      <w:pPr>
        <w:contextualSpacing/>
      </w:pPr>
      <w:r>
        <w:t xml:space="preserve">Brenden discussed leadership for 2024; vote expected in the new year. </w:t>
      </w:r>
    </w:p>
    <w:p w14:paraId="18A108B5" w14:textId="77777777" w:rsidR="00FC25EB" w:rsidRDefault="00FC25EB" w:rsidP="00FC25EB">
      <w:pPr>
        <w:contextualSpacing/>
      </w:pPr>
    </w:p>
    <w:p w14:paraId="74D7BB60" w14:textId="1524D6D2" w:rsidR="00FC25EB" w:rsidRDefault="00FC25EB" w:rsidP="00FC25EB">
      <w:pPr>
        <w:contextualSpacing/>
      </w:pPr>
      <w:r>
        <w:t>4. NPRR1208, Creation of Invoice Report // Loretto Martin</w:t>
      </w:r>
    </w:p>
    <w:p w14:paraId="6B353FF4" w14:textId="77777777" w:rsidR="0016671D" w:rsidRPr="0016671D" w:rsidRDefault="0016671D" w:rsidP="0016671D">
      <w:pPr>
        <w:numPr>
          <w:ilvl w:val="0"/>
          <w:numId w:val="1"/>
        </w:numPr>
        <w:contextualSpacing/>
      </w:pPr>
      <w:r w:rsidRPr="0016671D">
        <w:t>This Nodal Protocol Revision Request (NPRR) creates a new daily report which lists the ERCOT Invoices issued for the current day and day prior at a Counter-Party level.</w:t>
      </w:r>
    </w:p>
    <w:p w14:paraId="74E36CDF" w14:textId="77777777" w:rsidR="0016671D" w:rsidRPr="0016671D" w:rsidRDefault="0016671D" w:rsidP="0016671D">
      <w:pPr>
        <w:numPr>
          <w:ilvl w:val="0"/>
          <w:numId w:val="1"/>
        </w:numPr>
        <w:contextualSpacing/>
      </w:pPr>
      <w:r w:rsidRPr="0016671D">
        <w:t xml:space="preserve">The Credit Finance </w:t>
      </w:r>
      <w:proofErr w:type="gramStart"/>
      <w:r w:rsidRPr="0016671D">
        <w:t>Sub Group</w:t>
      </w:r>
      <w:proofErr w:type="gramEnd"/>
      <w:r w:rsidRPr="0016671D">
        <w:t xml:space="preserve"> (CFSG) provided feedback to ERCOT that it is cumbersome for Counter-Parties to monitor the posting of Invoices that are posted at infrequent intervals (e.g. quarterly).  </w:t>
      </w:r>
    </w:p>
    <w:p w14:paraId="53D4A351" w14:textId="77777777" w:rsidR="0016671D" w:rsidRPr="0016671D" w:rsidRDefault="0016671D" w:rsidP="0016671D">
      <w:pPr>
        <w:numPr>
          <w:ilvl w:val="0"/>
          <w:numId w:val="1"/>
        </w:numPr>
        <w:contextualSpacing/>
      </w:pPr>
      <w:r w:rsidRPr="0016671D">
        <w:t xml:space="preserve">ERCOT has observed this difficulty, noticing Qualified Scheduling Entities (QSEs) with a history of timely paying Settlement Invoices missing payment timelines for Wide Area Network (WAN) and Electric Reliability Organization (ERO) Invoices.  </w:t>
      </w:r>
    </w:p>
    <w:p w14:paraId="1F8A4174" w14:textId="77777777" w:rsidR="0016671D" w:rsidRPr="0016671D" w:rsidRDefault="0016671D" w:rsidP="0016671D">
      <w:pPr>
        <w:numPr>
          <w:ilvl w:val="0"/>
          <w:numId w:val="1"/>
        </w:numPr>
        <w:contextualSpacing/>
      </w:pPr>
      <w:r w:rsidRPr="0016671D">
        <w:t xml:space="preserve">This NPRR creates a daily report that lists the Invoices issued to all the QSEs and Congestion Revenue Right (CRR) Account Holders represented by the </w:t>
      </w:r>
      <w:proofErr w:type="gramStart"/>
      <w:r w:rsidRPr="0016671D">
        <w:t>Counter-Party</w:t>
      </w:r>
      <w:proofErr w:type="gramEnd"/>
      <w:r w:rsidRPr="0016671D">
        <w:t xml:space="preserve"> </w:t>
      </w:r>
      <w:r w:rsidRPr="0016671D">
        <w:rPr>
          <w:b/>
          <w:bCs/>
          <w:highlight w:val="yellow"/>
          <w:u w:val="single"/>
        </w:rPr>
        <w:t>for the current day and the prior day</w:t>
      </w:r>
      <w:r w:rsidRPr="0016671D">
        <w:t xml:space="preserve">.  </w:t>
      </w:r>
    </w:p>
    <w:p w14:paraId="15FDCF9E" w14:textId="77777777" w:rsidR="0016671D" w:rsidRPr="0016671D" w:rsidRDefault="0016671D" w:rsidP="0016671D">
      <w:pPr>
        <w:numPr>
          <w:ilvl w:val="0"/>
          <w:numId w:val="1"/>
        </w:numPr>
        <w:contextualSpacing/>
      </w:pPr>
      <w:r w:rsidRPr="0016671D">
        <w:t xml:space="preserve">This report can be used by </w:t>
      </w:r>
      <w:proofErr w:type="gramStart"/>
      <w:r w:rsidRPr="0016671D">
        <w:t>Counter-Parties</w:t>
      </w:r>
      <w:proofErr w:type="gramEnd"/>
      <w:r w:rsidRPr="0016671D">
        <w:t xml:space="preserve"> to ensure they are aware of all Invoices posted, which helps assure timely payment.  This also has the benefit of decreased administrative burden on ERCOT to manage late payments.</w:t>
      </w:r>
    </w:p>
    <w:p w14:paraId="133C57DA" w14:textId="77777777" w:rsidR="00FC25EB" w:rsidRDefault="00FC25EB" w:rsidP="00FC25EB">
      <w:pPr>
        <w:contextualSpacing/>
      </w:pPr>
    </w:p>
    <w:p w14:paraId="0D02F0FC" w14:textId="40E32A54" w:rsidR="00FC25EB" w:rsidRDefault="00FC25EB" w:rsidP="00FC25EB">
      <w:pPr>
        <w:contextualSpacing/>
      </w:pPr>
      <w:r>
        <w:t>5. LC Issuing Bank Credit Limit Breaches // Sanchir Dashnyam</w:t>
      </w:r>
    </w:p>
    <w:p w14:paraId="12660EF9" w14:textId="77777777" w:rsidR="0016671D" w:rsidRPr="0016671D" w:rsidRDefault="0016671D" w:rsidP="0016671D">
      <w:pPr>
        <w:numPr>
          <w:ilvl w:val="0"/>
          <w:numId w:val="2"/>
        </w:numPr>
        <w:contextualSpacing/>
      </w:pPr>
      <w:r w:rsidRPr="0016671D">
        <w:t xml:space="preserve">ERCOT has issuer LC max limits of $750 million per issuer with </w:t>
      </w:r>
      <w:proofErr w:type="spellStart"/>
      <w:r w:rsidRPr="0016671D">
        <w:t>sublimits</w:t>
      </w:r>
      <w:proofErr w:type="spellEnd"/>
      <w:r w:rsidRPr="0016671D">
        <w:t xml:space="preserve"> based on </w:t>
      </w:r>
      <w:proofErr w:type="gramStart"/>
      <w:r w:rsidRPr="0016671D">
        <w:t>ratings</w:t>
      </w:r>
      <w:proofErr w:type="gramEnd"/>
    </w:p>
    <w:p w14:paraId="70591BA7" w14:textId="77777777" w:rsidR="0016671D" w:rsidRPr="0016671D" w:rsidRDefault="0016671D" w:rsidP="0016671D">
      <w:pPr>
        <w:numPr>
          <w:ilvl w:val="0"/>
          <w:numId w:val="2"/>
        </w:numPr>
        <w:contextualSpacing/>
      </w:pPr>
      <w:r w:rsidRPr="0016671D">
        <w:t xml:space="preserve">Once limit breached, no </w:t>
      </w:r>
      <w:proofErr w:type="gramStart"/>
      <w:r w:rsidRPr="0016671D">
        <w:t>more new</w:t>
      </w:r>
      <w:proofErr w:type="gramEnd"/>
      <w:r w:rsidRPr="0016671D">
        <w:t xml:space="preserve"> LC’s or increases from that issuer</w:t>
      </w:r>
    </w:p>
    <w:p w14:paraId="2586D486" w14:textId="77777777" w:rsidR="0016671D" w:rsidRPr="0016671D" w:rsidRDefault="0016671D" w:rsidP="0016671D">
      <w:pPr>
        <w:numPr>
          <w:ilvl w:val="0"/>
          <w:numId w:val="2"/>
        </w:numPr>
        <w:contextualSpacing/>
      </w:pPr>
      <w:r w:rsidRPr="0016671D">
        <w:t xml:space="preserve">Credit Agricole and BBVA have breached, six other issuers in the "danger zone" at &gt; 60% </w:t>
      </w:r>
      <w:proofErr w:type="gramStart"/>
      <w:r w:rsidRPr="0016671D">
        <w:t>capacity</w:t>
      </w:r>
      <w:proofErr w:type="gramEnd"/>
    </w:p>
    <w:p w14:paraId="4093E016" w14:textId="77777777" w:rsidR="0016671D" w:rsidRPr="0016671D" w:rsidRDefault="0016671D" w:rsidP="0016671D">
      <w:pPr>
        <w:numPr>
          <w:ilvl w:val="0"/>
          <w:numId w:val="2"/>
        </w:numPr>
        <w:contextualSpacing/>
      </w:pPr>
      <w:r w:rsidRPr="0016671D">
        <w:t xml:space="preserve">ERCOT staff discussed with the group the possibility of raising </w:t>
      </w:r>
      <w:proofErr w:type="gramStart"/>
      <w:r w:rsidRPr="0016671D">
        <w:t>limits</w:t>
      </w:r>
      <w:proofErr w:type="gramEnd"/>
    </w:p>
    <w:p w14:paraId="38A0F806" w14:textId="77777777" w:rsidR="0016671D" w:rsidRDefault="0016671D" w:rsidP="00CF539D">
      <w:pPr>
        <w:numPr>
          <w:ilvl w:val="0"/>
          <w:numId w:val="2"/>
        </w:numPr>
        <w:contextualSpacing/>
      </w:pPr>
      <w:r w:rsidRPr="0016671D">
        <w:t xml:space="preserve">No CFSG action taken but group will continue to </w:t>
      </w:r>
      <w:proofErr w:type="gramStart"/>
      <w:r w:rsidRPr="0016671D">
        <w:t>monitor</w:t>
      </w:r>
      <w:proofErr w:type="gramEnd"/>
      <w:r w:rsidRPr="0016671D">
        <w:t xml:space="preserve"> and staff will include a consolidated view of LC amounts at monthly meetings in the future</w:t>
      </w:r>
    </w:p>
    <w:p w14:paraId="44E39C28" w14:textId="4AE119A0" w:rsidR="00FC25EB" w:rsidRDefault="00E91247" w:rsidP="00CF539D">
      <w:pPr>
        <w:numPr>
          <w:ilvl w:val="0"/>
          <w:numId w:val="2"/>
        </w:numPr>
        <w:contextualSpacing/>
      </w:pPr>
      <w:r>
        <w:t>Jett Price, utilization</w:t>
      </w:r>
      <w:r w:rsidR="0016671D">
        <w:t xml:space="preserve"> concerns</w:t>
      </w:r>
    </w:p>
    <w:p w14:paraId="11E28CF5" w14:textId="70705769" w:rsidR="00E91247" w:rsidRDefault="0016671D" w:rsidP="00FC25EB">
      <w:pPr>
        <w:contextualSpacing/>
      </w:pPr>
      <w:r w:rsidRPr="0016671D">
        <w:drawing>
          <wp:inline distT="0" distB="0" distL="0" distR="0" wp14:anchorId="20D64837" wp14:editId="579D1D34">
            <wp:extent cx="10356273" cy="3597896"/>
            <wp:effectExtent l="0" t="0" r="6985" b="0"/>
            <wp:docPr id="4" name="Content Placeholder 3">
              <a:extLst xmlns:a="http://schemas.openxmlformats.org/drawingml/2006/main">
                <a:ext uri="{FF2B5EF4-FFF2-40B4-BE49-F238E27FC236}">
                  <a16:creationId xmlns:a16="http://schemas.microsoft.com/office/drawing/2014/main" id="{D866CD3F-9CEE-9865-9EC3-F3484E0CC44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>
                      <a:extLst>
                        <a:ext uri="{FF2B5EF4-FFF2-40B4-BE49-F238E27FC236}">
                          <a16:creationId xmlns:a16="http://schemas.microsoft.com/office/drawing/2014/main" id="{D866CD3F-9CEE-9865-9EC3-F3484E0CC445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56273" cy="359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A959A" w14:textId="41478979" w:rsidR="00FC25EB" w:rsidRDefault="00FC25EB" w:rsidP="00FC25EB">
      <w:pPr>
        <w:contextualSpacing/>
      </w:pPr>
      <w:r>
        <w:t>6. EAL Change Proposals // Sanchir Dashnyam</w:t>
      </w:r>
    </w:p>
    <w:p w14:paraId="340EAAE7" w14:textId="77777777" w:rsidR="0016671D" w:rsidRPr="0016671D" w:rsidRDefault="0016671D" w:rsidP="0016671D">
      <w:pPr>
        <w:numPr>
          <w:ilvl w:val="0"/>
          <w:numId w:val="3"/>
        </w:numPr>
        <w:contextualSpacing/>
      </w:pPr>
      <w:r w:rsidRPr="0016671D">
        <w:t xml:space="preserve">DC and Rainbow requested changes to the Estimated Aggregate Liability report that represents parameters defining the CP’s collateral obligation to </w:t>
      </w:r>
      <w:proofErr w:type="gramStart"/>
      <w:r w:rsidRPr="0016671D">
        <w:t>ERCOT</w:t>
      </w:r>
      <w:proofErr w:type="gramEnd"/>
    </w:p>
    <w:p w14:paraId="31BF3DCE" w14:textId="77777777" w:rsidR="0016671D" w:rsidRPr="0016671D" w:rsidRDefault="0016671D" w:rsidP="0016671D">
      <w:pPr>
        <w:numPr>
          <w:ilvl w:val="0"/>
          <w:numId w:val="3"/>
        </w:numPr>
        <w:contextualSpacing/>
      </w:pPr>
      <w:r w:rsidRPr="0016671D">
        <w:t xml:space="preserve">Members expressed desire to have settlement from RT and DA combined in the </w:t>
      </w:r>
      <w:proofErr w:type="gramStart"/>
      <w:r w:rsidRPr="0016671D">
        <w:t>calculation</w:t>
      </w:r>
      <w:proofErr w:type="gramEnd"/>
    </w:p>
    <w:p w14:paraId="10B2D22B" w14:textId="77777777" w:rsidR="0016671D" w:rsidRPr="0016671D" w:rsidRDefault="0016671D" w:rsidP="0016671D">
      <w:pPr>
        <w:numPr>
          <w:ilvl w:val="1"/>
          <w:numId w:val="3"/>
        </w:numPr>
        <w:contextualSpacing/>
      </w:pPr>
      <w:r w:rsidRPr="0016671D">
        <w:t>Current forward adjustment factors apply separately to DA and RT</w:t>
      </w:r>
    </w:p>
    <w:p w14:paraId="3735764A" w14:textId="77777777" w:rsidR="0016671D" w:rsidRPr="0016671D" w:rsidRDefault="0016671D" w:rsidP="0016671D">
      <w:pPr>
        <w:numPr>
          <w:ilvl w:val="0"/>
          <w:numId w:val="3"/>
        </w:numPr>
        <w:contextualSpacing/>
      </w:pPr>
      <w:r w:rsidRPr="0016671D">
        <w:t xml:space="preserve">Evaluating lookback period designed to protect against default mass </w:t>
      </w:r>
      <w:proofErr w:type="gramStart"/>
      <w:r w:rsidRPr="0016671D">
        <w:t>transition</w:t>
      </w:r>
      <w:proofErr w:type="gramEnd"/>
    </w:p>
    <w:p w14:paraId="1907D757" w14:textId="77777777" w:rsidR="0016671D" w:rsidRPr="0016671D" w:rsidRDefault="0016671D" w:rsidP="0016671D">
      <w:pPr>
        <w:numPr>
          <w:ilvl w:val="1"/>
          <w:numId w:val="3"/>
        </w:numPr>
        <w:contextualSpacing/>
      </w:pPr>
      <w:r w:rsidRPr="0016671D">
        <w:t xml:space="preserve">Varies but can reflect up to 40 days of invoices and financial market </w:t>
      </w:r>
      <w:proofErr w:type="gramStart"/>
      <w:r w:rsidRPr="0016671D">
        <w:t>activity</w:t>
      </w:r>
      <w:proofErr w:type="gramEnd"/>
    </w:p>
    <w:p w14:paraId="5CDCF201" w14:textId="77777777" w:rsidR="0016671D" w:rsidRPr="0016671D" w:rsidRDefault="0016671D" w:rsidP="0016671D">
      <w:pPr>
        <w:numPr>
          <w:ilvl w:val="0"/>
          <w:numId w:val="3"/>
        </w:numPr>
        <w:contextualSpacing/>
      </w:pPr>
      <w:r w:rsidRPr="0016671D">
        <w:t>Evaluating Forward Adjustment Factors (FAFs), ratios of future and past prices scaling invoices</w:t>
      </w:r>
    </w:p>
    <w:p w14:paraId="233D028E" w14:textId="77777777" w:rsidR="0016671D" w:rsidRPr="0016671D" w:rsidRDefault="0016671D" w:rsidP="0016671D">
      <w:pPr>
        <w:numPr>
          <w:ilvl w:val="0"/>
          <w:numId w:val="3"/>
        </w:numPr>
        <w:contextualSpacing/>
      </w:pPr>
      <w:r w:rsidRPr="0016671D">
        <w:t xml:space="preserve">CFSG will continue to review EAL calculation </w:t>
      </w:r>
      <w:proofErr w:type="gramStart"/>
      <w:r w:rsidRPr="0016671D">
        <w:t>methodology</w:t>
      </w:r>
      <w:proofErr w:type="gramEnd"/>
    </w:p>
    <w:p w14:paraId="7697D487" w14:textId="77777777" w:rsidR="0016671D" w:rsidRPr="0016671D" w:rsidRDefault="0016671D" w:rsidP="0016671D">
      <w:pPr>
        <w:numPr>
          <w:ilvl w:val="0"/>
          <w:numId w:val="3"/>
        </w:numPr>
        <w:contextualSpacing/>
      </w:pPr>
      <w:r w:rsidRPr="0016671D">
        <w:t xml:space="preserve">ERCOT Credit team is evaluating four scenarios and presenting these to CFSG in detail. </w:t>
      </w:r>
    </w:p>
    <w:p w14:paraId="39C1422B" w14:textId="77777777" w:rsidR="0016671D" w:rsidRPr="0016671D" w:rsidRDefault="0016671D" w:rsidP="0016671D">
      <w:pPr>
        <w:numPr>
          <w:ilvl w:val="1"/>
          <w:numId w:val="3"/>
        </w:numPr>
        <w:contextualSpacing/>
      </w:pPr>
      <w:r w:rsidRPr="0016671D">
        <w:t xml:space="preserve">Scenario 2 involves applying Forward Adjustment Factors against Real Time Liability and removing the “Max” function from the </w:t>
      </w:r>
      <w:proofErr w:type="gramStart"/>
      <w:r w:rsidRPr="0016671D">
        <w:t>40 day</w:t>
      </w:r>
      <w:proofErr w:type="gramEnd"/>
      <w:r w:rsidRPr="0016671D">
        <w:t xml:space="preserve"> lookback period</w:t>
      </w:r>
    </w:p>
    <w:p w14:paraId="461440AA" w14:textId="77777777" w:rsidR="0016671D" w:rsidRPr="0016671D" w:rsidRDefault="0016671D" w:rsidP="0016671D">
      <w:pPr>
        <w:numPr>
          <w:ilvl w:val="1"/>
          <w:numId w:val="3"/>
        </w:numPr>
        <w:contextualSpacing/>
      </w:pPr>
      <w:r w:rsidRPr="0016671D">
        <w:t xml:space="preserve">Scenario 3 involves CP-level customized Forward Adjustment Factors based on a ratio of forward and settled </w:t>
      </w:r>
      <w:proofErr w:type="gramStart"/>
      <w:r w:rsidRPr="0016671D">
        <w:t>prices</w:t>
      </w:r>
      <w:proofErr w:type="gramEnd"/>
      <w:r w:rsidRPr="0016671D">
        <w:t xml:space="preserve"> </w:t>
      </w:r>
    </w:p>
    <w:p w14:paraId="120199D2" w14:textId="77777777" w:rsidR="0016671D" w:rsidRPr="0016671D" w:rsidRDefault="0016671D" w:rsidP="0016671D">
      <w:pPr>
        <w:numPr>
          <w:ilvl w:val="1"/>
          <w:numId w:val="3"/>
        </w:numPr>
        <w:contextualSpacing/>
      </w:pPr>
      <w:r w:rsidRPr="0016671D">
        <w:t xml:space="preserve">Waiting for scenarios 1 and 4 </w:t>
      </w:r>
    </w:p>
    <w:p w14:paraId="447A2470" w14:textId="77777777" w:rsidR="00FC25EB" w:rsidRDefault="00FC25EB" w:rsidP="00FC25EB">
      <w:pPr>
        <w:contextualSpacing/>
      </w:pPr>
    </w:p>
    <w:p w14:paraId="1CD4C152" w14:textId="77777777" w:rsidR="00FC25EB" w:rsidRDefault="00FC25EB" w:rsidP="00FC25EB">
      <w:pPr>
        <w:contextualSpacing/>
      </w:pPr>
      <w:r>
        <w:t>7. Standard Review of NPRRs for Credit Impacts (Vote) // Zaldy Zapanta</w:t>
      </w:r>
    </w:p>
    <w:p w14:paraId="64866B9A" w14:textId="77777777" w:rsidR="0016671D" w:rsidRPr="0016671D" w:rsidRDefault="0016671D" w:rsidP="0016671D">
      <w:pPr>
        <w:numPr>
          <w:ilvl w:val="0"/>
          <w:numId w:val="4"/>
        </w:numPr>
        <w:contextualSpacing/>
      </w:pPr>
      <w:r w:rsidRPr="0016671D">
        <w:t>NPRR1204, Considerations of State of Charge with Real-Time Co-Optimization Implementation – URGENT NPRR1181, Submission of Seasonal Coal and Lignite Inventory Declaration</w:t>
      </w:r>
    </w:p>
    <w:p w14:paraId="13DACF43" w14:textId="77777777" w:rsidR="0016671D" w:rsidRPr="0016671D" w:rsidRDefault="0016671D" w:rsidP="0016671D">
      <w:pPr>
        <w:numPr>
          <w:ilvl w:val="0"/>
          <w:numId w:val="4"/>
        </w:numPr>
        <w:contextualSpacing/>
      </w:pPr>
      <w:r w:rsidRPr="0016671D">
        <w:rPr>
          <w:b/>
          <w:bCs/>
          <w:u w:val="single"/>
        </w:rPr>
        <w:t xml:space="preserve">ERCOT Credit Staff and CFSG have reviewed NPRR1204 and do not believe that it requires changes to credit monitoring activity or the calculation of </w:t>
      </w:r>
      <w:proofErr w:type="gramStart"/>
      <w:r w:rsidRPr="0016671D">
        <w:rPr>
          <w:b/>
          <w:bCs/>
          <w:u w:val="single"/>
        </w:rPr>
        <w:t>liability</w:t>
      </w:r>
      <w:proofErr w:type="gramEnd"/>
    </w:p>
    <w:p w14:paraId="29091818" w14:textId="77777777" w:rsidR="00FC25EB" w:rsidRDefault="00FC25EB" w:rsidP="00FC25EB">
      <w:pPr>
        <w:contextualSpacing/>
      </w:pPr>
    </w:p>
    <w:p w14:paraId="5CEE1820" w14:textId="77777777" w:rsidR="00FC25EB" w:rsidRDefault="00FC25EB" w:rsidP="00FC25EB">
      <w:pPr>
        <w:contextualSpacing/>
      </w:pPr>
      <w:r>
        <w:t>8. ERCOT Updates // Credit Exposure // Zaldy Zapanta</w:t>
      </w:r>
    </w:p>
    <w:p w14:paraId="35206170" w14:textId="77777777" w:rsidR="00FC25EB" w:rsidRDefault="00FC25EB" w:rsidP="00FC25EB">
      <w:pPr>
        <w:contextualSpacing/>
      </w:pPr>
    </w:p>
    <w:p w14:paraId="3646C90D" w14:textId="2F59FD28" w:rsidR="00FC25EB" w:rsidRDefault="00FC25EB" w:rsidP="00FC25EB">
      <w:pPr>
        <w:contextualSpacing/>
      </w:pPr>
      <w:r>
        <w:t>9. New Business // Brenden Sager</w:t>
      </w:r>
    </w:p>
    <w:p w14:paraId="2A51A426" w14:textId="3C384C59" w:rsidR="0016671D" w:rsidRDefault="0016671D" w:rsidP="00FC25EB">
      <w:pPr>
        <w:contextualSpacing/>
      </w:pPr>
      <w:r>
        <w:t>None</w:t>
      </w:r>
    </w:p>
    <w:p w14:paraId="549BB683" w14:textId="77777777" w:rsidR="00FC25EB" w:rsidRDefault="00FC25EB" w:rsidP="00FC25EB">
      <w:pPr>
        <w:contextualSpacing/>
      </w:pPr>
    </w:p>
    <w:p w14:paraId="74B5A1AB" w14:textId="77777777" w:rsidR="00FC25EB" w:rsidRDefault="00FC25EB" w:rsidP="00FC25EB">
      <w:pPr>
        <w:contextualSpacing/>
      </w:pPr>
      <w:r>
        <w:t>Adjourn</w:t>
      </w:r>
    </w:p>
    <w:p w14:paraId="77081467" w14:textId="77777777" w:rsidR="00FC25EB" w:rsidRDefault="00FC25EB" w:rsidP="00FC25EB">
      <w:pPr>
        <w:contextualSpacing/>
      </w:pPr>
    </w:p>
    <w:p w14:paraId="110401CB" w14:textId="0C03BA38" w:rsidR="000A26CB" w:rsidRDefault="00FC25EB" w:rsidP="00FC25EB">
      <w:pPr>
        <w:contextualSpacing/>
      </w:pPr>
      <w:r>
        <w:t>Brenden Sager</w:t>
      </w:r>
    </w:p>
    <w:sectPr w:rsidR="000A2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D36E6"/>
    <w:multiLevelType w:val="hybridMultilevel"/>
    <w:tmpl w:val="A0FED5B2"/>
    <w:lvl w:ilvl="0" w:tplc="96D6F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E6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05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0A3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24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03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0E8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67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47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DCB6CD2"/>
    <w:multiLevelType w:val="hybridMultilevel"/>
    <w:tmpl w:val="2714A55A"/>
    <w:lvl w:ilvl="0" w:tplc="F3244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EE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1ED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63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6B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E88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8C7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1AC1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8A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308714D"/>
    <w:multiLevelType w:val="hybridMultilevel"/>
    <w:tmpl w:val="BED0C530"/>
    <w:lvl w:ilvl="0" w:tplc="595A3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000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AEE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C46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C63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B8F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084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2AD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98C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BF55C12"/>
    <w:multiLevelType w:val="hybridMultilevel"/>
    <w:tmpl w:val="E72C3352"/>
    <w:lvl w:ilvl="0" w:tplc="413E57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60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81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369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7891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66D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CA1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561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C8C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66543940">
    <w:abstractNumId w:val="0"/>
  </w:num>
  <w:num w:numId="2" w16cid:durableId="791048771">
    <w:abstractNumId w:val="2"/>
  </w:num>
  <w:num w:numId="3" w16cid:durableId="683092412">
    <w:abstractNumId w:val="3"/>
  </w:num>
  <w:num w:numId="4" w16cid:durableId="1462114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07"/>
    <w:rsid w:val="0016671D"/>
    <w:rsid w:val="00255257"/>
    <w:rsid w:val="00297203"/>
    <w:rsid w:val="003E3284"/>
    <w:rsid w:val="007725C5"/>
    <w:rsid w:val="008D6156"/>
    <w:rsid w:val="0099226C"/>
    <w:rsid w:val="00C05407"/>
    <w:rsid w:val="00E331DB"/>
    <w:rsid w:val="00E91247"/>
    <w:rsid w:val="00ED3DE0"/>
    <w:rsid w:val="00FC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FE2BE"/>
  <w15:chartTrackingRefBased/>
  <w15:docId w15:val="{0B474425-2C42-4A19-9E4A-6EA04F88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7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3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2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1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64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57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4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3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9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8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4224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66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4199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3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4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4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725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259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7419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87ff0d5-859f-4698-9b9b-079befd22fd5}" enabled="1" method="Standard" siteId="{482dc10d-9180-4c99-816e-70ee2557afd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Energy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Sager, Brenden</dc:creator>
  <cp:keywords/>
  <dc:description/>
  <cp:lastModifiedBy>Sager, Brenden</cp:lastModifiedBy>
  <cp:revision>3</cp:revision>
  <dcterms:created xsi:type="dcterms:W3CDTF">2023-11-15T14:37:00Z</dcterms:created>
  <dcterms:modified xsi:type="dcterms:W3CDTF">2024-01-17T20:14:00Z</dcterms:modified>
</cp:coreProperties>
</file>