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110"/>
        <w:gridCol w:w="1050"/>
        <w:gridCol w:w="6660"/>
      </w:tblGrid>
      <w:tr w:rsidR="00F44C7C" w14:paraId="3A1BB15D" w14:textId="77777777" w:rsidTr="0B61FC23">
        <w:trPr>
          <w:trHeight w:val="300"/>
        </w:trPr>
        <w:tc>
          <w:tcPr>
            <w:tcW w:w="1620" w:type="dxa"/>
            <w:tcBorders>
              <w:bottom w:val="single" w:sz="4" w:space="0" w:color="auto"/>
            </w:tcBorders>
            <w:shd w:val="clear" w:color="auto" w:fill="FFFFFF" w:themeFill="background1"/>
            <w:vAlign w:val="center"/>
          </w:tcPr>
          <w:p w14:paraId="40A46A7C" w14:textId="77777777" w:rsidR="00F44C7C" w:rsidRDefault="00F44C7C" w:rsidP="00F44C7C">
            <w:pPr>
              <w:pStyle w:val="Header"/>
              <w:rPr>
                <w:rFonts w:ascii="Verdana" w:hAnsi="Verdana"/>
                <w:sz w:val="22"/>
              </w:rPr>
            </w:pPr>
            <w:r>
              <w:t>NPRR Number</w:t>
            </w:r>
          </w:p>
        </w:tc>
        <w:tc>
          <w:tcPr>
            <w:tcW w:w="1110" w:type="dxa"/>
            <w:tcBorders>
              <w:bottom w:val="single" w:sz="4" w:space="0" w:color="auto"/>
            </w:tcBorders>
            <w:vAlign w:val="center"/>
          </w:tcPr>
          <w:p w14:paraId="7E95F454" w14:textId="77777777" w:rsidR="00F44C7C" w:rsidRDefault="003F66D4" w:rsidP="00F44C7C">
            <w:pPr>
              <w:pStyle w:val="Header"/>
            </w:pPr>
            <w:hyperlink r:id="rId11" w:history="1">
              <w:r w:rsidR="00F44C7C" w:rsidRPr="00446C49">
                <w:rPr>
                  <w:rStyle w:val="Hyperlink"/>
                </w:rPr>
                <w:t>1191</w:t>
              </w:r>
            </w:hyperlink>
          </w:p>
        </w:tc>
        <w:tc>
          <w:tcPr>
            <w:tcW w:w="1050" w:type="dxa"/>
            <w:tcBorders>
              <w:bottom w:val="single" w:sz="4" w:space="0" w:color="auto"/>
            </w:tcBorders>
            <w:shd w:val="clear" w:color="auto" w:fill="FFFFFF" w:themeFill="background1"/>
            <w:vAlign w:val="center"/>
          </w:tcPr>
          <w:p w14:paraId="59CB4030" w14:textId="77777777" w:rsidR="00F44C7C" w:rsidRDefault="00F44C7C" w:rsidP="00F44C7C">
            <w:pPr>
              <w:pStyle w:val="Header"/>
            </w:pPr>
            <w:r>
              <w:t>NPRR Title</w:t>
            </w:r>
          </w:p>
        </w:tc>
        <w:tc>
          <w:tcPr>
            <w:tcW w:w="6660" w:type="dxa"/>
            <w:tcBorders>
              <w:bottom w:val="single" w:sz="4" w:space="0" w:color="auto"/>
            </w:tcBorders>
            <w:vAlign w:val="center"/>
          </w:tcPr>
          <w:p w14:paraId="656A4D13" w14:textId="77777777" w:rsidR="00F44C7C" w:rsidRDefault="00F44C7C" w:rsidP="00F44C7C">
            <w:pPr>
              <w:pStyle w:val="Header"/>
            </w:pPr>
            <w:r>
              <w:t>Registration, Interconnection, and Operation of Customers with Large Loads; Information Required of Customers with Loads 25 MW or Greater</w:t>
            </w:r>
          </w:p>
        </w:tc>
      </w:tr>
      <w:tr w:rsidR="00152993" w14:paraId="03D98586" w14:textId="77777777" w:rsidTr="0B61FC23">
        <w:trPr>
          <w:trHeight w:val="413"/>
        </w:trPr>
        <w:tc>
          <w:tcPr>
            <w:tcW w:w="2730" w:type="dxa"/>
            <w:gridSpan w:val="2"/>
            <w:tcBorders>
              <w:top w:val="nil"/>
              <w:left w:val="nil"/>
              <w:bottom w:val="single" w:sz="4" w:space="0" w:color="auto"/>
              <w:right w:val="nil"/>
            </w:tcBorders>
            <w:vAlign w:val="center"/>
          </w:tcPr>
          <w:p w14:paraId="536FFFFF" w14:textId="77777777" w:rsidR="00152993" w:rsidRDefault="00152993">
            <w:pPr>
              <w:pStyle w:val="NormalArial"/>
            </w:pPr>
          </w:p>
        </w:tc>
        <w:tc>
          <w:tcPr>
            <w:tcW w:w="7710" w:type="dxa"/>
            <w:gridSpan w:val="2"/>
            <w:tcBorders>
              <w:top w:val="single" w:sz="4" w:space="0" w:color="auto"/>
              <w:left w:val="nil"/>
              <w:bottom w:val="nil"/>
              <w:right w:val="nil"/>
            </w:tcBorders>
            <w:vAlign w:val="center"/>
          </w:tcPr>
          <w:p w14:paraId="0ABCB0DB" w14:textId="77777777" w:rsidR="00152993" w:rsidRDefault="00152993">
            <w:pPr>
              <w:pStyle w:val="NormalArial"/>
            </w:pPr>
          </w:p>
        </w:tc>
      </w:tr>
      <w:tr w:rsidR="00152993" w14:paraId="04DB7963" w14:textId="77777777" w:rsidTr="0B61FC23">
        <w:trPr>
          <w:trHeight w:val="440"/>
        </w:trPr>
        <w:tc>
          <w:tcPr>
            <w:tcW w:w="2730" w:type="dxa"/>
            <w:gridSpan w:val="2"/>
            <w:tcBorders>
              <w:top w:val="single" w:sz="4" w:space="0" w:color="auto"/>
              <w:left w:val="single" w:sz="4" w:space="0" w:color="auto"/>
              <w:bottom w:val="single" w:sz="4" w:space="0" w:color="auto"/>
              <w:right w:val="single" w:sz="4" w:space="0" w:color="auto"/>
            </w:tcBorders>
            <w:vAlign w:val="center"/>
          </w:tcPr>
          <w:p w14:paraId="4AE40F7D" w14:textId="77777777" w:rsidR="00152993" w:rsidRPr="00E50551" w:rsidRDefault="00152993" w:rsidP="0B61FC23">
            <w:pPr>
              <w:pStyle w:val="Header"/>
            </w:pPr>
            <w:r>
              <w:t>Date</w:t>
            </w:r>
          </w:p>
        </w:tc>
        <w:tc>
          <w:tcPr>
            <w:tcW w:w="7710" w:type="dxa"/>
            <w:gridSpan w:val="2"/>
            <w:tcBorders>
              <w:top w:val="single" w:sz="4" w:space="0" w:color="auto"/>
              <w:left w:val="single" w:sz="4" w:space="0" w:color="auto"/>
              <w:bottom w:val="single" w:sz="4" w:space="0" w:color="auto"/>
              <w:right w:val="single" w:sz="4" w:space="0" w:color="auto"/>
            </w:tcBorders>
            <w:vAlign w:val="center"/>
          </w:tcPr>
          <w:p w14:paraId="2A3315E3" w14:textId="11B5FB01" w:rsidR="00152993" w:rsidRPr="00E50551" w:rsidRDefault="00086454" w:rsidP="0B61FC23">
            <w:pPr>
              <w:pStyle w:val="NormalArial"/>
            </w:pPr>
            <w:r>
              <w:t>January 11, 2024</w:t>
            </w:r>
          </w:p>
        </w:tc>
      </w:tr>
      <w:tr w:rsidR="00152993" w14:paraId="7AA8E840" w14:textId="77777777" w:rsidTr="0B61FC23">
        <w:trPr>
          <w:trHeight w:val="467"/>
        </w:trPr>
        <w:tc>
          <w:tcPr>
            <w:tcW w:w="2730" w:type="dxa"/>
            <w:gridSpan w:val="2"/>
            <w:tcBorders>
              <w:top w:val="single" w:sz="4" w:space="0" w:color="auto"/>
              <w:left w:val="nil"/>
              <w:bottom w:val="nil"/>
              <w:right w:val="nil"/>
            </w:tcBorders>
            <w:shd w:val="clear" w:color="auto" w:fill="FFFFFF" w:themeFill="background1"/>
            <w:vAlign w:val="center"/>
          </w:tcPr>
          <w:p w14:paraId="72CC8F39" w14:textId="77777777" w:rsidR="00152993" w:rsidRDefault="00152993">
            <w:pPr>
              <w:pStyle w:val="NormalArial"/>
            </w:pPr>
          </w:p>
        </w:tc>
        <w:tc>
          <w:tcPr>
            <w:tcW w:w="7710" w:type="dxa"/>
            <w:gridSpan w:val="2"/>
            <w:tcBorders>
              <w:top w:val="nil"/>
              <w:left w:val="nil"/>
              <w:bottom w:val="nil"/>
              <w:right w:val="nil"/>
            </w:tcBorders>
            <w:vAlign w:val="center"/>
          </w:tcPr>
          <w:p w14:paraId="2C9F69C1" w14:textId="77777777" w:rsidR="00152993" w:rsidRDefault="00152993">
            <w:pPr>
              <w:pStyle w:val="NormalArial"/>
            </w:pPr>
          </w:p>
        </w:tc>
      </w:tr>
      <w:tr w:rsidR="00152993" w14:paraId="68104689" w14:textId="77777777" w:rsidTr="0B61FC23">
        <w:trPr>
          <w:trHeight w:val="440"/>
        </w:trPr>
        <w:tc>
          <w:tcPr>
            <w:tcW w:w="10440" w:type="dxa"/>
            <w:gridSpan w:val="4"/>
            <w:tcBorders>
              <w:top w:val="single" w:sz="4" w:space="0" w:color="auto"/>
            </w:tcBorders>
            <w:shd w:val="clear" w:color="auto" w:fill="FFFFFF" w:themeFill="background1"/>
            <w:vAlign w:val="center"/>
          </w:tcPr>
          <w:p w14:paraId="3CE2E8F8" w14:textId="77777777" w:rsidR="00152993" w:rsidRDefault="00152993">
            <w:pPr>
              <w:pStyle w:val="Header"/>
              <w:jc w:val="center"/>
            </w:pPr>
            <w:r>
              <w:t>Submitter’s Information</w:t>
            </w:r>
          </w:p>
        </w:tc>
      </w:tr>
      <w:tr w:rsidR="00152993" w14:paraId="7657E0AA" w14:textId="77777777" w:rsidTr="0B61FC23">
        <w:trPr>
          <w:trHeight w:val="350"/>
        </w:trPr>
        <w:tc>
          <w:tcPr>
            <w:tcW w:w="2730" w:type="dxa"/>
            <w:gridSpan w:val="2"/>
            <w:shd w:val="clear" w:color="auto" w:fill="FFFFFF" w:themeFill="background1"/>
            <w:vAlign w:val="center"/>
          </w:tcPr>
          <w:p w14:paraId="536EEACF" w14:textId="77777777" w:rsidR="00152993" w:rsidRPr="00814B07" w:rsidRDefault="00152993" w:rsidP="0B61FC23">
            <w:pPr>
              <w:pStyle w:val="Header"/>
            </w:pPr>
            <w:r>
              <w:t>Name</w:t>
            </w:r>
          </w:p>
        </w:tc>
        <w:tc>
          <w:tcPr>
            <w:tcW w:w="7710" w:type="dxa"/>
            <w:gridSpan w:val="2"/>
            <w:vAlign w:val="center"/>
          </w:tcPr>
          <w:p w14:paraId="6132D666" w14:textId="56AFEDCD" w:rsidR="00152993" w:rsidRPr="00814B07" w:rsidRDefault="77780AE3" w:rsidP="0B61FC23">
            <w:pPr>
              <w:pStyle w:val="NormalArial"/>
            </w:pPr>
            <w:r>
              <w:t>Aaron Tinjum</w:t>
            </w:r>
          </w:p>
        </w:tc>
      </w:tr>
      <w:tr w:rsidR="00152993" w14:paraId="5C747755" w14:textId="77777777" w:rsidTr="0B61FC23">
        <w:trPr>
          <w:trHeight w:val="350"/>
        </w:trPr>
        <w:tc>
          <w:tcPr>
            <w:tcW w:w="2730" w:type="dxa"/>
            <w:gridSpan w:val="2"/>
            <w:shd w:val="clear" w:color="auto" w:fill="FFFFFF" w:themeFill="background1"/>
            <w:vAlign w:val="center"/>
          </w:tcPr>
          <w:p w14:paraId="2452E341" w14:textId="77777777" w:rsidR="00152993" w:rsidRPr="00814B07" w:rsidRDefault="00152993" w:rsidP="0B61FC23">
            <w:pPr>
              <w:pStyle w:val="Header"/>
            </w:pPr>
            <w:r>
              <w:t>E-mail Address</w:t>
            </w:r>
          </w:p>
        </w:tc>
        <w:tc>
          <w:tcPr>
            <w:tcW w:w="7710" w:type="dxa"/>
            <w:gridSpan w:val="2"/>
            <w:vAlign w:val="center"/>
          </w:tcPr>
          <w:p w14:paraId="1AE4F415" w14:textId="2922DF03" w:rsidR="00152993" w:rsidRPr="00814B07" w:rsidRDefault="003F66D4" w:rsidP="0B61FC23">
            <w:pPr>
              <w:pStyle w:val="NormalArial"/>
            </w:pPr>
            <w:hyperlink r:id="rId12" w:history="1">
              <w:r w:rsidR="002525E7" w:rsidRPr="00DD3AF4">
                <w:rPr>
                  <w:rStyle w:val="Hyperlink"/>
                </w:rPr>
                <w:t>aaron@datacentercoalition.org</w:t>
              </w:r>
            </w:hyperlink>
            <w:r w:rsidR="002525E7">
              <w:t xml:space="preserve"> </w:t>
            </w:r>
          </w:p>
        </w:tc>
      </w:tr>
      <w:tr w:rsidR="00152993" w14:paraId="097DA585" w14:textId="77777777" w:rsidTr="0B61FC23">
        <w:trPr>
          <w:trHeight w:val="350"/>
        </w:trPr>
        <w:tc>
          <w:tcPr>
            <w:tcW w:w="2730" w:type="dxa"/>
            <w:gridSpan w:val="2"/>
            <w:shd w:val="clear" w:color="auto" w:fill="FFFFFF" w:themeFill="background1"/>
            <w:vAlign w:val="center"/>
          </w:tcPr>
          <w:p w14:paraId="7B12F06F" w14:textId="77777777" w:rsidR="00152993" w:rsidRPr="00814B07" w:rsidRDefault="00152993" w:rsidP="0B61FC23">
            <w:pPr>
              <w:pStyle w:val="Header"/>
            </w:pPr>
            <w:r>
              <w:t>Company</w:t>
            </w:r>
          </w:p>
        </w:tc>
        <w:tc>
          <w:tcPr>
            <w:tcW w:w="7710" w:type="dxa"/>
            <w:gridSpan w:val="2"/>
            <w:vAlign w:val="center"/>
          </w:tcPr>
          <w:p w14:paraId="209EDC7F" w14:textId="6E8C1F2E" w:rsidR="00152993" w:rsidRPr="00814B07" w:rsidRDefault="6A59945F" w:rsidP="0B61FC23">
            <w:pPr>
              <w:pStyle w:val="NormalArial"/>
            </w:pPr>
            <w:r>
              <w:t>Data Center Coalition</w:t>
            </w:r>
          </w:p>
        </w:tc>
      </w:tr>
      <w:tr w:rsidR="00152993" w14:paraId="56A263FD" w14:textId="77777777" w:rsidTr="0B61FC23">
        <w:trPr>
          <w:trHeight w:val="350"/>
        </w:trPr>
        <w:tc>
          <w:tcPr>
            <w:tcW w:w="2730" w:type="dxa"/>
            <w:gridSpan w:val="2"/>
            <w:tcBorders>
              <w:bottom w:val="single" w:sz="4" w:space="0" w:color="auto"/>
            </w:tcBorders>
            <w:shd w:val="clear" w:color="auto" w:fill="FFFFFF" w:themeFill="background1"/>
            <w:vAlign w:val="center"/>
          </w:tcPr>
          <w:p w14:paraId="34438754" w14:textId="77777777" w:rsidR="00152993" w:rsidRPr="00814B07" w:rsidRDefault="00152993" w:rsidP="0B61FC23">
            <w:pPr>
              <w:pStyle w:val="Header"/>
            </w:pPr>
            <w:r>
              <w:t>Phone Number</w:t>
            </w:r>
          </w:p>
        </w:tc>
        <w:tc>
          <w:tcPr>
            <w:tcW w:w="7710" w:type="dxa"/>
            <w:gridSpan w:val="2"/>
            <w:tcBorders>
              <w:bottom w:val="single" w:sz="4" w:space="0" w:color="auto"/>
            </w:tcBorders>
            <w:vAlign w:val="center"/>
          </w:tcPr>
          <w:p w14:paraId="1DAB7B35" w14:textId="427367DA" w:rsidR="00152993" w:rsidRPr="00814B07" w:rsidRDefault="0013640B" w:rsidP="0B61FC23">
            <w:pPr>
              <w:pStyle w:val="NormalArial"/>
            </w:pPr>
            <w:r>
              <w:t>651-202-7568</w:t>
            </w:r>
          </w:p>
        </w:tc>
      </w:tr>
      <w:tr w:rsidR="00075A94" w14:paraId="6B93F240" w14:textId="77777777" w:rsidTr="0B61FC23">
        <w:trPr>
          <w:trHeight w:val="350"/>
        </w:trPr>
        <w:tc>
          <w:tcPr>
            <w:tcW w:w="2730" w:type="dxa"/>
            <w:gridSpan w:val="2"/>
            <w:tcBorders>
              <w:bottom w:val="single" w:sz="4" w:space="0" w:color="auto"/>
            </w:tcBorders>
            <w:shd w:val="clear" w:color="auto" w:fill="FFFFFF" w:themeFill="background1"/>
            <w:vAlign w:val="center"/>
          </w:tcPr>
          <w:p w14:paraId="2EE2C28B" w14:textId="77777777" w:rsidR="00075A94" w:rsidRPr="00814B07" w:rsidDel="00075A94" w:rsidRDefault="00075A94" w:rsidP="0B61FC23">
            <w:pPr>
              <w:pStyle w:val="Header"/>
            </w:pPr>
            <w:r>
              <w:t>Market Segment</w:t>
            </w:r>
          </w:p>
        </w:tc>
        <w:tc>
          <w:tcPr>
            <w:tcW w:w="7710" w:type="dxa"/>
            <w:gridSpan w:val="2"/>
            <w:tcBorders>
              <w:bottom w:val="single" w:sz="4" w:space="0" w:color="auto"/>
            </w:tcBorders>
            <w:vAlign w:val="center"/>
          </w:tcPr>
          <w:p w14:paraId="4C4E1BF9" w14:textId="52136862" w:rsidR="00075A94" w:rsidRPr="00814B07" w:rsidRDefault="36AA4A4B" w:rsidP="0B61FC23">
            <w:pPr>
              <w:pStyle w:val="NormalArial"/>
            </w:pPr>
            <w:r>
              <w:t xml:space="preserve">Consumers </w:t>
            </w:r>
          </w:p>
        </w:tc>
      </w:tr>
    </w:tbl>
    <w:p w14:paraId="25C17671" w14:textId="77777777" w:rsidR="00152993" w:rsidRDefault="0015299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B5080A" w14:paraId="7DE1550E" w14:textId="77777777" w:rsidTr="00B5080A">
        <w:trPr>
          <w:trHeight w:val="422"/>
          <w:jc w:val="center"/>
        </w:trPr>
        <w:tc>
          <w:tcPr>
            <w:tcW w:w="10440" w:type="dxa"/>
            <w:vAlign w:val="center"/>
          </w:tcPr>
          <w:p w14:paraId="5E730706" w14:textId="77777777" w:rsidR="00075A94" w:rsidRPr="00075A94" w:rsidRDefault="00075A94" w:rsidP="00B5080A">
            <w:pPr>
              <w:pStyle w:val="Header"/>
              <w:jc w:val="center"/>
            </w:pPr>
            <w:r w:rsidRPr="00075A94">
              <w:t>Comments</w:t>
            </w:r>
          </w:p>
        </w:tc>
      </w:tr>
    </w:tbl>
    <w:p w14:paraId="0F5DCAFE" w14:textId="46A519A7" w:rsidR="00117E5F" w:rsidRDefault="001D3EBB" w:rsidP="00117E5F">
      <w:pPr>
        <w:spacing w:before="120" w:after="120"/>
      </w:pPr>
      <w:r w:rsidRPr="001D3EBB">
        <w:rPr>
          <w:rFonts w:ascii="Arial" w:hAnsi="Arial" w:cs="Arial"/>
          <w:color w:val="000000"/>
          <w:sz w:val="22"/>
          <w:szCs w:val="22"/>
        </w:rPr>
        <w:t>The Data Center Coalition (DCC) appreciates the opportunity to submit these Comments</w:t>
      </w:r>
      <w:r w:rsidR="00AD6F2D">
        <w:rPr>
          <w:rStyle w:val="FootnoteReference"/>
          <w:rFonts w:ascii="Arial" w:hAnsi="Arial" w:cs="Arial"/>
          <w:color w:val="000000"/>
          <w:sz w:val="22"/>
          <w:szCs w:val="22"/>
        </w:rPr>
        <w:footnoteReference w:id="1"/>
      </w:r>
      <w:r>
        <w:t xml:space="preserve"> </w:t>
      </w:r>
      <w:r w:rsidR="00E63E4F" w:rsidRPr="00E63E4F">
        <w:rPr>
          <w:rFonts w:ascii="Arial" w:hAnsi="Arial" w:cs="Arial"/>
          <w:color w:val="000000"/>
          <w:sz w:val="22"/>
          <w:szCs w:val="22"/>
        </w:rPr>
        <w:t>on the Electric Reliability Council of Texas (ERCOT)'s proposed Nodal Protocol Revision Request (NPRR) 1191, specifically the voltage ride-through topic. DCC’s brief comments and recommendations are presented below.</w:t>
      </w:r>
    </w:p>
    <w:p w14:paraId="3DA92A09" w14:textId="407DDDA4" w:rsidR="001D3EBB" w:rsidRPr="001D3EBB" w:rsidRDefault="001D3EBB" w:rsidP="00117E5F">
      <w:pPr>
        <w:pStyle w:val="ListParagraph"/>
        <w:numPr>
          <w:ilvl w:val="0"/>
          <w:numId w:val="14"/>
        </w:numPr>
        <w:spacing w:before="120" w:after="120"/>
      </w:pPr>
      <w:r w:rsidRPr="00117E5F">
        <w:rPr>
          <w:rFonts w:ascii="Arial" w:hAnsi="Arial" w:cs="Arial"/>
          <w:b/>
          <w:bCs/>
          <w:i/>
          <w:iCs/>
          <w:color w:val="000000"/>
          <w:sz w:val="22"/>
          <w:szCs w:val="22"/>
        </w:rPr>
        <w:t>Introduction</w:t>
      </w:r>
    </w:p>
    <w:p w14:paraId="6F0B032F" w14:textId="6E623214" w:rsidR="00691FD1" w:rsidRDefault="00691FD1" w:rsidP="001D3EBB">
      <w:pPr>
        <w:spacing w:before="120" w:after="120"/>
        <w:rPr>
          <w:rFonts w:ascii="Arial" w:hAnsi="Arial" w:cs="Arial"/>
          <w:color w:val="000000"/>
          <w:sz w:val="22"/>
          <w:szCs w:val="22"/>
        </w:rPr>
      </w:pPr>
      <w:r w:rsidRPr="00691FD1">
        <w:rPr>
          <w:rFonts w:ascii="Arial" w:hAnsi="Arial" w:cs="Arial"/>
          <w:color w:val="000000"/>
          <w:sz w:val="22"/>
          <w:szCs w:val="22"/>
        </w:rPr>
        <w:t xml:space="preserve">DCC is the national membership organization for the data center industry, representing leading data center owners and operators who maintain data center infrastructure across the country and globe. DCC empowers and champions the data center community through public policy advocacy, thought leadership, stakeholder outreach, and community engagement. A majority of DCC’s member companies have </w:t>
      </w:r>
      <w:r>
        <w:rPr>
          <w:rFonts w:ascii="Arial" w:hAnsi="Arial" w:cs="Arial"/>
          <w:color w:val="000000"/>
          <w:sz w:val="22"/>
          <w:szCs w:val="22"/>
        </w:rPr>
        <w:t xml:space="preserve">investments and </w:t>
      </w:r>
      <w:r w:rsidRPr="00691FD1">
        <w:rPr>
          <w:rFonts w:ascii="Arial" w:hAnsi="Arial" w:cs="Arial"/>
          <w:color w:val="000000"/>
          <w:sz w:val="22"/>
          <w:szCs w:val="22"/>
        </w:rPr>
        <w:t xml:space="preserve">operations in Texas. </w:t>
      </w:r>
    </w:p>
    <w:p w14:paraId="2E7186EA" w14:textId="7868F771" w:rsidR="001D3EBB" w:rsidRDefault="00A07DF2" w:rsidP="001D3EBB">
      <w:pPr>
        <w:spacing w:before="120" w:after="120"/>
        <w:rPr>
          <w:rFonts w:ascii="Arial" w:hAnsi="Arial" w:cs="Arial"/>
          <w:color w:val="000000"/>
          <w:sz w:val="22"/>
          <w:szCs w:val="22"/>
        </w:rPr>
      </w:pPr>
      <w:r w:rsidRPr="00A07DF2">
        <w:rPr>
          <w:rFonts w:ascii="Arial" w:hAnsi="Arial" w:cs="Arial"/>
          <w:color w:val="000000"/>
          <w:sz w:val="22"/>
          <w:szCs w:val="22"/>
        </w:rPr>
        <w:t>Traditional data centers provide the underlying infrastructure and services that support distance learning, remote work and collaboration, telehealth, video conferencing, exchange of news and urgent information, e-commerce, government agencies and programs, entertainment</w:t>
      </w:r>
      <w:r>
        <w:rPr>
          <w:rFonts w:ascii="Arial" w:hAnsi="Arial" w:cs="Arial"/>
          <w:color w:val="000000"/>
          <w:sz w:val="22"/>
          <w:szCs w:val="22"/>
        </w:rPr>
        <w:t>,</w:t>
      </w:r>
      <w:r w:rsidRPr="00A07DF2">
        <w:rPr>
          <w:rFonts w:ascii="Arial" w:hAnsi="Arial" w:cs="Arial"/>
          <w:color w:val="000000"/>
          <w:sz w:val="22"/>
          <w:szCs w:val="22"/>
        </w:rPr>
        <w:t xml:space="preserve"> and many other technologies central to our daily lives. They have materially different load profiles, business models, and operational characteristics from crypto mining and crypto staking firms, some of which have demonstrated an ability to rapidly vary demand. DCC’s membership does not include any companies that conduct cryptocurrency mining or cryptocurrency staking as their primary business.</w:t>
      </w:r>
      <w:r w:rsidR="001D3EBB" w:rsidRPr="001D3EBB">
        <w:rPr>
          <w:rFonts w:ascii="Arial" w:hAnsi="Arial" w:cs="Arial"/>
          <w:color w:val="000000"/>
          <w:sz w:val="22"/>
          <w:szCs w:val="22"/>
        </w:rPr>
        <w:t> </w:t>
      </w:r>
    </w:p>
    <w:p w14:paraId="1AE51042" w14:textId="77777777" w:rsidR="004856E9" w:rsidRPr="001D3EBB" w:rsidRDefault="004856E9" w:rsidP="001D3EBB">
      <w:pPr>
        <w:spacing w:before="120" w:after="120"/>
      </w:pPr>
    </w:p>
    <w:p w14:paraId="7903451D" w14:textId="1AA2051B" w:rsidR="00A26A5B" w:rsidRPr="004856E9" w:rsidRDefault="00A26A5B" w:rsidP="004856E9">
      <w:pPr>
        <w:pStyle w:val="ListParagraph"/>
        <w:numPr>
          <w:ilvl w:val="0"/>
          <w:numId w:val="14"/>
        </w:numPr>
        <w:spacing w:before="240"/>
      </w:pPr>
      <w:r w:rsidRPr="00A26A5B">
        <w:rPr>
          <w:rFonts w:ascii="Arial" w:hAnsi="Arial" w:cs="Arial"/>
          <w:b/>
          <w:bCs/>
          <w:i/>
          <w:iCs/>
          <w:color w:val="000000"/>
          <w:sz w:val="22"/>
          <w:szCs w:val="22"/>
        </w:rPr>
        <w:t>DCC Comments on Proposed Voltage Ride-Through Standards</w:t>
      </w:r>
    </w:p>
    <w:p w14:paraId="31341240" w14:textId="77777777" w:rsidR="004856E9" w:rsidRPr="004856E9" w:rsidRDefault="004856E9" w:rsidP="004856E9">
      <w:pPr>
        <w:pStyle w:val="ListParagraph"/>
        <w:spacing w:before="240"/>
        <w:ind w:left="1080"/>
      </w:pPr>
    </w:p>
    <w:p w14:paraId="7162B8A7" w14:textId="4637CA39" w:rsidR="001D3EBB" w:rsidRPr="00117E5F" w:rsidRDefault="00F81E0A" w:rsidP="00117E5F">
      <w:pPr>
        <w:pStyle w:val="ListParagraph"/>
        <w:numPr>
          <w:ilvl w:val="0"/>
          <w:numId w:val="13"/>
        </w:numPr>
        <w:spacing w:before="240"/>
        <w:textAlignment w:val="baseline"/>
        <w:rPr>
          <w:rFonts w:ascii="Arial" w:hAnsi="Arial" w:cs="Arial"/>
          <w:b/>
          <w:bCs/>
          <w:color w:val="000000"/>
          <w:sz w:val="22"/>
          <w:szCs w:val="22"/>
        </w:rPr>
      </w:pPr>
      <w:r w:rsidRPr="00F81E0A">
        <w:rPr>
          <w:rFonts w:ascii="Arial" w:hAnsi="Arial" w:cs="Arial"/>
          <w:b/>
          <w:bCs/>
          <w:color w:val="000000"/>
          <w:sz w:val="22"/>
          <w:szCs w:val="22"/>
        </w:rPr>
        <w:lastRenderedPageBreak/>
        <w:t>DCC Shares Concerns Expressed by Other Commenters</w:t>
      </w:r>
      <w:r w:rsidR="001D3EBB" w:rsidRPr="00117E5F">
        <w:rPr>
          <w:rFonts w:ascii="Arial" w:hAnsi="Arial" w:cs="Arial"/>
          <w:b/>
          <w:bCs/>
          <w:color w:val="000000"/>
          <w:sz w:val="22"/>
          <w:szCs w:val="22"/>
        </w:rPr>
        <w:t>  </w:t>
      </w:r>
    </w:p>
    <w:p w14:paraId="4F0A91B0" w14:textId="4CD3A385" w:rsidR="00F81E0A" w:rsidRPr="00F81E0A" w:rsidRDefault="00F81E0A" w:rsidP="00F81E0A">
      <w:pPr>
        <w:spacing w:before="240"/>
        <w:rPr>
          <w:rFonts w:ascii="Arial" w:hAnsi="Arial" w:cs="Arial"/>
          <w:color w:val="000000"/>
          <w:sz w:val="22"/>
          <w:szCs w:val="22"/>
        </w:rPr>
      </w:pPr>
      <w:r w:rsidRPr="00F81E0A">
        <w:rPr>
          <w:rFonts w:ascii="Arial" w:hAnsi="Arial" w:cs="Arial"/>
          <w:color w:val="000000"/>
          <w:sz w:val="22"/>
          <w:szCs w:val="22"/>
        </w:rPr>
        <w:t>The proposed voltage ride-through (VRT) standards have drawn concern from various end users since being proposed in August 2023. In particular, DCC echoes some of the same concerns expressed by Texas Industrial Energy Consumers (TIEC) in comments</w:t>
      </w:r>
      <w:r w:rsidR="00F563DA">
        <w:rPr>
          <w:rStyle w:val="FootnoteReference"/>
          <w:rFonts w:ascii="Arial" w:hAnsi="Arial" w:cs="Arial"/>
          <w:color w:val="000000"/>
          <w:sz w:val="22"/>
          <w:szCs w:val="22"/>
        </w:rPr>
        <w:footnoteReference w:id="2"/>
      </w:r>
      <w:r w:rsidRPr="00F81E0A">
        <w:rPr>
          <w:rFonts w:ascii="Arial" w:hAnsi="Arial" w:cs="Arial"/>
          <w:color w:val="000000"/>
          <w:sz w:val="22"/>
          <w:szCs w:val="22"/>
        </w:rPr>
        <w:t xml:space="preserve"> submitted on </w:t>
      </w:r>
      <w:proofErr w:type="gramStart"/>
      <w:r w:rsidRPr="00F81E0A">
        <w:rPr>
          <w:rFonts w:ascii="Arial" w:hAnsi="Arial" w:cs="Arial"/>
          <w:color w:val="000000"/>
          <w:sz w:val="22"/>
          <w:szCs w:val="22"/>
        </w:rPr>
        <w:t>August,</w:t>
      </w:r>
      <w:proofErr w:type="gramEnd"/>
      <w:r w:rsidRPr="00F81E0A">
        <w:rPr>
          <w:rFonts w:ascii="Arial" w:hAnsi="Arial" w:cs="Arial"/>
          <w:color w:val="000000"/>
          <w:sz w:val="22"/>
          <w:szCs w:val="22"/>
        </w:rPr>
        <w:t xml:space="preserve"> 28, 2023, including: </w:t>
      </w:r>
    </w:p>
    <w:p w14:paraId="57F0FE2D" w14:textId="1904FBDE" w:rsidR="00F81E0A" w:rsidRPr="00F81E0A" w:rsidRDefault="00F81E0A" w:rsidP="00F81E0A">
      <w:pPr>
        <w:pStyle w:val="ListParagraph"/>
        <w:numPr>
          <w:ilvl w:val="0"/>
          <w:numId w:val="15"/>
        </w:numPr>
        <w:spacing w:before="240"/>
        <w:rPr>
          <w:rFonts w:ascii="Arial" w:hAnsi="Arial" w:cs="Arial"/>
          <w:color w:val="000000"/>
          <w:sz w:val="22"/>
          <w:szCs w:val="22"/>
        </w:rPr>
      </w:pPr>
      <w:r w:rsidRPr="00F81E0A">
        <w:rPr>
          <w:rFonts w:ascii="Arial" w:hAnsi="Arial" w:cs="Arial"/>
          <w:color w:val="000000"/>
          <w:sz w:val="22"/>
          <w:szCs w:val="22"/>
        </w:rPr>
        <w:t xml:space="preserve">Sufficient information has not been presented on referenced voltage events (including the low-voltage event on December 7, </w:t>
      </w:r>
      <w:proofErr w:type="gramStart"/>
      <w:r w:rsidRPr="00F81E0A">
        <w:rPr>
          <w:rFonts w:ascii="Arial" w:hAnsi="Arial" w:cs="Arial"/>
          <w:color w:val="000000"/>
          <w:sz w:val="22"/>
          <w:szCs w:val="22"/>
        </w:rPr>
        <w:t>2022</w:t>
      </w:r>
      <w:proofErr w:type="gramEnd"/>
      <w:r w:rsidRPr="00F81E0A">
        <w:rPr>
          <w:rFonts w:ascii="Arial" w:hAnsi="Arial" w:cs="Arial"/>
          <w:color w:val="000000"/>
          <w:sz w:val="22"/>
          <w:szCs w:val="22"/>
        </w:rPr>
        <w:t xml:space="preserve"> on the 138-kilovolt (kV) transmission lines near Odessa, in West Texas discussed in NPRR 1191</w:t>
      </w:r>
      <w:r w:rsidR="00D71F76">
        <w:rPr>
          <w:rStyle w:val="FootnoteReference"/>
          <w:rFonts w:ascii="Arial" w:hAnsi="Arial" w:cs="Arial"/>
          <w:color w:val="000000"/>
          <w:sz w:val="22"/>
          <w:szCs w:val="22"/>
        </w:rPr>
        <w:footnoteReference w:id="3"/>
      </w:r>
      <w:r w:rsidRPr="00F81E0A">
        <w:rPr>
          <w:rFonts w:ascii="Arial" w:hAnsi="Arial" w:cs="Arial"/>
          <w:color w:val="000000"/>
          <w:sz w:val="22"/>
          <w:szCs w:val="22"/>
        </w:rPr>
        <w:t>) to support the proposed VRT requirements; and</w:t>
      </w:r>
    </w:p>
    <w:p w14:paraId="56AD2482" w14:textId="70429A10" w:rsidR="00F81E0A" w:rsidRPr="00F81E0A" w:rsidRDefault="00F81E0A" w:rsidP="00F81E0A">
      <w:pPr>
        <w:pStyle w:val="ListParagraph"/>
        <w:numPr>
          <w:ilvl w:val="0"/>
          <w:numId w:val="15"/>
        </w:numPr>
        <w:spacing w:before="240"/>
        <w:rPr>
          <w:rFonts w:ascii="Arial" w:hAnsi="Arial" w:cs="Arial"/>
          <w:color w:val="000000"/>
          <w:sz w:val="22"/>
          <w:szCs w:val="22"/>
        </w:rPr>
      </w:pPr>
      <w:r w:rsidRPr="00F81E0A">
        <w:rPr>
          <w:rFonts w:ascii="Arial" w:hAnsi="Arial" w:cs="Arial"/>
          <w:color w:val="000000"/>
          <w:sz w:val="22"/>
          <w:szCs w:val="22"/>
        </w:rPr>
        <w:t xml:space="preserve">NPRR 1191 raises </w:t>
      </w:r>
      <w:proofErr w:type="gramStart"/>
      <w:r w:rsidRPr="00F81E0A">
        <w:rPr>
          <w:rFonts w:ascii="Arial" w:hAnsi="Arial" w:cs="Arial"/>
          <w:color w:val="000000"/>
          <w:sz w:val="22"/>
          <w:szCs w:val="22"/>
        </w:rPr>
        <w:t>a number of</w:t>
      </w:r>
      <w:proofErr w:type="gramEnd"/>
      <w:r w:rsidRPr="00F81E0A">
        <w:rPr>
          <w:rFonts w:ascii="Arial" w:hAnsi="Arial" w:cs="Arial"/>
          <w:color w:val="000000"/>
          <w:sz w:val="22"/>
          <w:szCs w:val="22"/>
        </w:rPr>
        <w:t xml:space="preserve"> technical and cost challenges for businesses, including the data center industry. </w:t>
      </w:r>
    </w:p>
    <w:p w14:paraId="2D213E44" w14:textId="77777777" w:rsidR="00F81E0A" w:rsidRDefault="00F81E0A" w:rsidP="00F81E0A">
      <w:pPr>
        <w:spacing w:before="240"/>
        <w:rPr>
          <w:rFonts w:ascii="Arial" w:hAnsi="Arial" w:cs="Arial"/>
          <w:color w:val="000000"/>
          <w:sz w:val="22"/>
          <w:szCs w:val="22"/>
        </w:rPr>
      </w:pPr>
      <w:r w:rsidRPr="00F81E0A">
        <w:rPr>
          <w:rFonts w:ascii="Arial" w:hAnsi="Arial" w:cs="Arial"/>
          <w:color w:val="000000"/>
          <w:sz w:val="22"/>
          <w:szCs w:val="22"/>
        </w:rPr>
        <w:t xml:space="preserve">We further discuss data center industry-specific concerns regarding the technical and cost challenges associated with the VRT requirements in NPRR 1191 in the following sections. </w:t>
      </w:r>
    </w:p>
    <w:p w14:paraId="02E3562B" w14:textId="280F1E9D" w:rsidR="001D3EBB" w:rsidRPr="001D3EBB" w:rsidRDefault="006E62B4" w:rsidP="001D3EBB">
      <w:pPr>
        <w:numPr>
          <w:ilvl w:val="0"/>
          <w:numId w:val="11"/>
        </w:numPr>
        <w:spacing w:before="240"/>
        <w:textAlignment w:val="baseline"/>
        <w:rPr>
          <w:rFonts w:ascii="Arial" w:hAnsi="Arial" w:cs="Arial"/>
          <w:b/>
          <w:bCs/>
          <w:color w:val="000000"/>
          <w:sz w:val="22"/>
          <w:szCs w:val="22"/>
        </w:rPr>
      </w:pPr>
      <w:r w:rsidRPr="006E62B4">
        <w:rPr>
          <w:rFonts w:ascii="Arial" w:hAnsi="Arial" w:cs="Arial"/>
          <w:b/>
          <w:bCs/>
          <w:color w:val="000000"/>
          <w:sz w:val="22"/>
          <w:szCs w:val="22"/>
        </w:rPr>
        <w:t>VRT Requirements Pose Technical Challenges for Data Centers</w:t>
      </w:r>
    </w:p>
    <w:p w14:paraId="61A0D3B3" w14:textId="7F0504E5" w:rsidR="009C6BA6" w:rsidRDefault="009C6BA6" w:rsidP="001D3EBB">
      <w:pPr>
        <w:spacing w:before="240"/>
        <w:rPr>
          <w:rFonts w:ascii="Arial" w:hAnsi="Arial" w:cs="Arial"/>
          <w:color w:val="000000"/>
          <w:sz w:val="22"/>
          <w:szCs w:val="22"/>
        </w:rPr>
      </w:pPr>
      <w:r w:rsidRPr="009C6BA6">
        <w:rPr>
          <w:rFonts w:ascii="Arial" w:hAnsi="Arial" w:cs="Arial"/>
          <w:color w:val="000000"/>
          <w:sz w:val="22"/>
          <w:szCs w:val="22"/>
        </w:rPr>
        <w:t xml:space="preserve">DCC has three fundamental concerns with the VRT requirements outlined in NPRR 1191 and subsequent discussions within ERCOT’s Large Flexible Load Task Force (LFLTF): first, neither “computing loads” </w:t>
      </w:r>
      <w:r w:rsidR="000C4331">
        <w:rPr>
          <w:rFonts w:ascii="Arial" w:hAnsi="Arial" w:cs="Arial"/>
          <w:color w:val="000000"/>
          <w:sz w:val="22"/>
          <w:szCs w:val="22"/>
        </w:rPr>
        <w:t>n</w:t>
      </w:r>
      <w:r w:rsidRPr="009C6BA6">
        <w:rPr>
          <w:rFonts w:ascii="Arial" w:hAnsi="Arial" w:cs="Arial"/>
          <w:color w:val="000000"/>
          <w:sz w:val="22"/>
          <w:szCs w:val="22"/>
        </w:rPr>
        <w:t xml:space="preserve">or data center loads are homogenous; second, data centers and large loads use sophisticated equipment that is sensitive to power supply stability; </w:t>
      </w:r>
      <w:proofErr w:type="gramStart"/>
      <w:r w:rsidRPr="009C6BA6">
        <w:rPr>
          <w:rFonts w:ascii="Arial" w:hAnsi="Arial" w:cs="Arial"/>
          <w:color w:val="000000"/>
          <w:sz w:val="22"/>
          <w:szCs w:val="22"/>
        </w:rPr>
        <w:t>and,</w:t>
      </w:r>
      <w:proofErr w:type="gramEnd"/>
      <w:r w:rsidRPr="009C6BA6">
        <w:rPr>
          <w:rFonts w:ascii="Arial" w:hAnsi="Arial" w:cs="Arial"/>
          <w:color w:val="000000"/>
          <w:sz w:val="22"/>
          <w:szCs w:val="22"/>
        </w:rPr>
        <w:t xml:space="preserve"> third, new technologies may be unable to comply with VRT requirements.</w:t>
      </w:r>
    </w:p>
    <w:p w14:paraId="2E964184" w14:textId="12EBB386" w:rsidR="009C6BA6" w:rsidRPr="00A55242" w:rsidRDefault="009C6BA6" w:rsidP="009C6BA6">
      <w:pPr>
        <w:pStyle w:val="ListParagraph"/>
        <w:numPr>
          <w:ilvl w:val="0"/>
          <w:numId w:val="17"/>
        </w:numPr>
        <w:spacing w:before="240"/>
        <w:rPr>
          <w:rFonts w:ascii="Arial" w:hAnsi="Arial" w:cs="Arial"/>
          <w:i/>
          <w:iCs/>
          <w:color w:val="000000"/>
          <w:sz w:val="22"/>
          <w:szCs w:val="22"/>
        </w:rPr>
      </w:pPr>
      <w:r w:rsidRPr="00A55242">
        <w:rPr>
          <w:rFonts w:ascii="Arial" w:hAnsi="Arial" w:cs="Arial"/>
          <w:i/>
          <w:iCs/>
          <w:color w:val="000000"/>
          <w:sz w:val="22"/>
          <w:szCs w:val="22"/>
        </w:rPr>
        <w:t xml:space="preserve">Neither “computing loads” </w:t>
      </w:r>
      <w:r w:rsidR="00D53372" w:rsidRPr="00A55242">
        <w:rPr>
          <w:rFonts w:ascii="Arial" w:hAnsi="Arial" w:cs="Arial"/>
          <w:i/>
          <w:iCs/>
          <w:color w:val="000000"/>
          <w:sz w:val="22"/>
          <w:szCs w:val="22"/>
        </w:rPr>
        <w:t>nor</w:t>
      </w:r>
      <w:r w:rsidRPr="00A55242">
        <w:rPr>
          <w:rFonts w:ascii="Arial" w:hAnsi="Arial" w:cs="Arial"/>
          <w:i/>
          <w:iCs/>
          <w:color w:val="000000"/>
          <w:sz w:val="22"/>
          <w:szCs w:val="22"/>
        </w:rPr>
        <w:t xml:space="preserve"> data center loads are homogenous.  </w:t>
      </w:r>
    </w:p>
    <w:p w14:paraId="0C829324" w14:textId="6D54C517" w:rsidR="001D3EBB" w:rsidRPr="00A55242" w:rsidRDefault="00A55242" w:rsidP="001D3EBB">
      <w:pPr>
        <w:spacing w:before="240"/>
        <w:rPr>
          <w:rFonts w:ascii="Arial" w:hAnsi="Arial" w:cs="Arial"/>
          <w:color w:val="000000"/>
          <w:sz w:val="22"/>
          <w:szCs w:val="22"/>
        </w:rPr>
      </w:pPr>
      <w:r w:rsidRPr="00A55242">
        <w:rPr>
          <w:rFonts w:ascii="Arial" w:hAnsi="Arial" w:cs="Arial"/>
          <w:color w:val="000000"/>
          <w:sz w:val="22"/>
          <w:szCs w:val="22"/>
        </w:rPr>
        <w:t>Like other large loads in ERCOT, neither computing loads – nor data center loads – are homogenous. Data centers deploy a range of equipment, each with distinct VRT requirements, for safe and efficient operation.</w:t>
      </w:r>
    </w:p>
    <w:p w14:paraId="4804A256" w14:textId="7DDF3916" w:rsidR="00A55242" w:rsidRPr="00A55242" w:rsidRDefault="00A55242" w:rsidP="00A55242">
      <w:pPr>
        <w:pStyle w:val="ListParagraph"/>
        <w:numPr>
          <w:ilvl w:val="0"/>
          <w:numId w:val="17"/>
        </w:numPr>
        <w:spacing w:before="240"/>
        <w:rPr>
          <w:rFonts w:ascii="Arial" w:hAnsi="Arial" w:cs="Arial"/>
          <w:i/>
          <w:iCs/>
          <w:sz w:val="22"/>
          <w:szCs w:val="22"/>
        </w:rPr>
      </w:pPr>
      <w:r w:rsidRPr="00A55242">
        <w:rPr>
          <w:rFonts w:ascii="Arial" w:hAnsi="Arial" w:cs="Arial"/>
          <w:i/>
          <w:iCs/>
          <w:sz w:val="22"/>
          <w:szCs w:val="22"/>
        </w:rPr>
        <w:t>Data centers use highly sophisticated equipment sensitive to power supply stability.</w:t>
      </w:r>
    </w:p>
    <w:p w14:paraId="2A0874D4" w14:textId="66F934B5" w:rsidR="00F36041" w:rsidRPr="00F36041" w:rsidRDefault="00F36041" w:rsidP="00F36041">
      <w:pPr>
        <w:spacing w:before="240"/>
        <w:rPr>
          <w:rFonts w:ascii="Arial" w:hAnsi="Arial" w:cs="Arial"/>
          <w:color w:val="000000"/>
          <w:sz w:val="22"/>
          <w:szCs w:val="22"/>
        </w:rPr>
      </w:pPr>
      <w:r w:rsidRPr="00F36041">
        <w:rPr>
          <w:rFonts w:ascii="Arial" w:hAnsi="Arial" w:cs="Arial"/>
          <w:color w:val="000000"/>
          <w:sz w:val="22"/>
          <w:szCs w:val="22"/>
        </w:rPr>
        <w:t xml:space="preserve">Just like industrial sites, data centers </w:t>
      </w:r>
      <w:r w:rsidR="00C36575" w:rsidRPr="00F36041">
        <w:rPr>
          <w:rFonts w:ascii="Arial" w:hAnsi="Arial" w:cs="Arial"/>
          <w:color w:val="000000"/>
          <w:sz w:val="22"/>
          <w:szCs w:val="22"/>
        </w:rPr>
        <w:t>must</w:t>
      </w:r>
      <w:r w:rsidRPr="00F36041">
        <w:rPr>
          <w:rFonts w:ascii="Arial" w:hAnsi="Arial" w:cs="Arial"/>
          <w:color w:val="000000"/>
          <w:sz w:val="22"/>
          <w:szCs w:val="22"/>
        </w:rPr>
        <w:t xml:space="preserve"> protect equipment and ensure the safety of personnel. In previous ERCOT LFLTF discussions, it has been suggested that the standards are better suited for computing loads and data centers. DCC fundamentally disagrees with this assertion. Data centers often take high voltage service through customer-owned or utility-owned substations featuring highly sophisticated equipment. In this regard, data centers are very similar to large industrial loads. What ERCOT has proposed would be problematic for both large data centers and other large loads. </w:t>
      </w:r>
    </w:p>
    <w:p w14:paraId="2176BE10" w14:textId="77777777" w:rsidR="00F36041" w:rsidRPr="00F36041" w:rsidRDefault="00F36041" w:rsidP="00F36041">
      <w:pPr>
        <w:spacing w:before="240"/>
        <w:rPr>
          <w:rFonts w:ascii="Arial" w:hAnsi="Arial" w:cs="Arial"/>
          <w:color w:val="000000"/>
          <w:sz w:val="22"/>
          <w:szCs w:val="22"/>
        </w:rPr>
      </w:pPr>
      <w:r w:rsidRPr="00F36041">
        <w:rPr>
          <w:rFonts w:ascii="Arial" w:hAnsi="Arial" w:cs="Arial"/>
          <w:color w:val="000000"/>
          <w:sz w:val="22"/>
          <w:szCs w:val="22"/>
        </w:rPr>
        <w:t xml:space="preserve">Data center hardware and power supplies, </w:t>
      </w:r>
      <w:proofErr w:type="gramStart"/>
      <w:r w:rsidRPr="00F36041">
        <w:rPr>
          <w:rFonts w:ascii="Arial" w:hAnsi="Arial" w:cs="Arial"/>
          <w:color w:val="000000"/>
          <w:sz w:val="22"/>
          <w:szCs w:val="22"/>
        </w:rPr>
        <w:t>similar to</w:t>
      </w:r>
      <w:proofErr w:type="gramEnd"/>
      <w:r w:rsidRPr="00F36041">
        <w:rPr>
          <w:rFonts w:ascii="Arial" w:hAnsi="Arial" w:cs="Arial"/>
          <w:color w:val="000000"/>
          <w:sz w:val="22"/>
          <w:szCs w:val="22"/>
        </w:rPr>
        <w:t xml:space="preserve"> other electronics, are very sensitive to power supply stability. They are designed to a specific operating voltage range specified by the manufacturers. Deviating from this range will deteriorate the optimal performance, reduce longevity, or damage the components beyond repair. </w:t>
      </w:r>
    </w:p>
    <w:p w14:paraId="63662581" w14:textId="77777777" w:rsidR="00F36041" w:rsidRPr="00F36041" w:rsidRDefault="00F36041" w:rsidP="00F36041">
      <w:pPr>
        <w:spacing w:before="240"/>
        <w:rPr>
          <w:rFonts w:ascii="Arial" w:hAnsi="Arial" w:cs="Arial"/>
          <w:color w:val="000000"/>
          <w:sz w:val="22"/>
          <w:szCs w:val="22"/>
        </w:rPr>
      </w:pPr>
    </w:p>
    <w:p w14:paraId="08538122" w14:textId="60B9C0D2" w:rsidR="001D3EBB" w:rsidRDefault="00F36041" w:rsidP="00F36041">
      <w:pPr>
        <w:spacing w:before="240"/>
        <w:rPr>
          <w:rFonts w:ascii="Arial" w:hAnsi="Arial" w:cs="Arial"/>
          <w:color w:val="000000"/>
          <w:sz w:val="22"/>
          <w:szCs w:val="22"/>
        </w:rPr>
      </w:pPr>
      <w:r w:rsidRPr="00F36041">
        <w:rPr>
          <w:rFonts w:ascii="Arial" w:hAnsi="Arial" w:cs="Arial"/>
          <w:color w:val="000000"/>
          <w:sz w:val="22"/>
          <w:szCs w:val="22"/>
        </w:rPr>
        <w:lastRenderedPageBreak/>
        <w:t>As a result, data centers are designed so that over/under voltage protection will switch the power supply from the utility to the built-in battery system to protect the equipment. The VRT requirements proposed under NPRR-1191, if approved, would result in significant costs for data centers as they would either need to: 1) replace damaged equipment; or 2) invest a significant amount of capital to identify, purchase, and install new equipment to comply</w:t>
      </w:r>
      <w:r w:rsidR="001D3EBB" w:rsidRPr="001D3EBB">
        <w:rPr>
          <w:rFonts w:ascii="Arial" w:hAnsi="Arial" w:cs="Arial"/>
          <w:color w:val="000000"/>
          <w:sz w:val="22"/>
          <w:szCs w:val="22"/>
        </w:rPr>
        <w:t>. </w:t>
      </w:r>
    </w:p>
    <w:p w14:paraId="1C6A6D3D" w14:textId="0A832686" w:rsidR="00F36041" w:rsidRDefault="006920FD" w:rsidP="00F36041">
      <w:pPr>
        <w:pStyle w:val="ListParagraph"/>
        <w:numPr>
          <w:ilvl w:val="0"/>
          <w:numId w:val="17"/>
        </w:numPr>
        <w:spacing w:before="240"/>
      </w:pPr>
      <w:r w:rsidRPr="006920FD">
        <w:rPr>
          <w:rFonts w:ascii="Arial" w:hAnsi="Arial" w:cs="Arial"/>
          <w:i/>
          <w:iCs/>
          <w:sz w:val="22"/>
          <w:szCs w:val="22"/>
        </w:rPr>
        <w:t>New technologies may be unable to comply with VRT requirements, including for data centers</w:t>
      </w:r>
      <w:r>
        <w:t>.</w:t>
      </w:r>
    </w:p>
    <w:p w14:paraId="157162DB" w14:textId="77904AE5" w:rsidR="008465AD" w:rsidRPr="008465AD" w:rsidRDefault="008465AD" w:rsidP="008465AD">
      <w:pPr>
        <w:spacing w:before="240"/>
        <w:rPr>
          <w:rFonts w:ascii="Arial" w:hAnsi="Arial" w:cs="Arial"/>
          <w:sz w:val="22"/>
          <w:szCs w:val="22"/>
        </w:rPr>
      </w:pPr>
      <w:r w:rsidRPr="008465AD">
        <w:rPr>
          <w:rFonts w:ascii="Arial" w:hAnsi="Arial" w:cs="Arial"/>
          <w:sz w:val="22"/>
          <w:szCs w:val="22"/>
        </w:rPr>
        <w:t>As other commen</w:t>
      </w:r>
      <w:r>
        <w:rPr>
          <w:rFonts w:ascii="Arial" w:hAnsi="Arial" w:cs="Arial"/>
          <w:sz w:val="22"/>
          <w:szCs w:val="22"/>
        </w:rPr>
        <w:t>ters</w:t>
      </w:r>
      <w:r w:rsidRPr="008465AD">
        <w:rPr>
          <w:rFonts w:ascii="Arial" w:hAnsi="Arial" w:cs="Arial"/>
          <w:sz w:val="22"/>
          <w:szCs w:val="22"/>
        </w:rPr>
        <w:t xml:space="preserve"> have noted, while these proposed requirements have been based on the Institute of Electrical and Electronics Engineers (IEEE) standards for low-voltage equipment, the proposed VRT requirements do not </w:t>
      </w:r>
      <w:proofErr w:type="gramStart"/>
      <w:r w:rsidRPr="008465AD">
        <w:rPr>
          <w:rFonts w:ascii="Arial" w:hAnsi="Arial" w:cs="Arial"/>
          <w:sz w:val="22"/>
          <w:szCs w:val="22"/>
        </w:rPr>
        <w:t>take into account</w:t>
      </w:r>
      <w:proofErr w:type="gramEnd"/>
      <w:r w:rsidRPr="008465AD">
        <w:rPr>
          <w:rFonts w:ascii="Arial" w:hAnsi="Arial" w:cs="Arial"/>
          <w:sz w:val="22"/>
          <w:szCs w:val="22"/>
        </w:rPr>
        <w:t xml:space="preserve"> the latest in equipment advancements.   We disagree, however, with comments that assert that this proposal is only applicable for data center or computing load. Like industrial customers, data centers are not homogenous and consist of medium and high-voltage loads. The rapid pace of technological advancement in the data center industry means that new technologies may not be able to meet these standards, just like the newest technologies for large manufacturing loads. </w:t>
      </w:r>
    </w:p>
    <w:p w14:paraId="778C5192" w14:textId="39EA2AB9" w:rsidR="006920FD" w:rsidRPr="008465AD" w:rsidRDefault="008465AD" w:rsidP="008465AD">
      <w:pPr>
        <w:spacing w:before="240"/>
        <w:rPr>
          <w:rFonts w:ascii="Arial" w:hAnsi="Arial" w:cs="Arial"/>
          <w:sz w:val="22"/>
          <w:szCs w:val="22"/>
        </w:rPr>
      </w:pPr>
      <w:r w:rsidRPr="008465AD">
        <w:rPr>
          <w:rFonts w:ascii="Arial" w:hAnsi="Arial" w:cs="Arial"/>
          <w:sz w:val="22"/>
          <w:szCs w:val="22"/>
        </w:rPr>
        <w:t xml:space="preserve">Moreover, imposing a single VRT requirement for data centers could potentially put the equipment at risk of severe damage, a risk that is </w:t>
      </w:r>
      <w:proofErr w:type="gramStart"/>
      <w:r w:rsidRPr="008465AD">
        <w:rPr>
          <w:rFonts w:ascii="Arial" w:hAnsi="Arial" w:cs="Arial"/>
          <w:sz w:val="22"/>
          <w:szCs w:val="22"/>
        </w:rPr>
        <w:t>similar to</w:t>
      </w:r>
      <w:proofErr w:type="gramEnd"/>
      <w:r w:rsidRPr="008465AD">
        <w:rPr>
          <w:rFonts w:ascii="Arial" w:hAnsi="Arial" w:cs="Arial"/>
          <w:sz w:val="22"/>
          <w:szCs w:val="22"/>
        </w:rPr>
        <w:t xml:space="preserve"> industrial sites. This could lead to significant financial losses, given the high cost of data center equipment and the critical role it plays in data center operations.   </w:t>
      </w:r>
    </w:p>
    <w:p w14:paraId="068D998C" w14:textId="6991B9CC" w:rsidR="001D3EBB" w:rsidRPr="001D3EBB" w:rsidRDefault="00B942B9" w:rsidP="001D3EBB">
      <w:pPr>
        <w:numPr>
          <w:ilvl w:val="0"/>
          <w:numId w:val="12"/>
        </w:numPr>
        <w:spacing w:before="240"/>
        <w:textAlignment w:val="baseline"/>
        <w:rPr>
          <w:rFonts w:ascii="Arial" w:hAnsi="Arial" w:cs="Arial"/>
          <w:b/>
          <w:bCs/>
          <w:color w:val="000000"/>
          <w:sz w:val="22"/>
          <w:szCs w:val="22"/>
        </w:rPr>
      </w:pPr>
      <w:r w:rsidRPr="00B942B9">
        <w:rPr>
          <w:rFonts w:ascii="Arial" w:hAnsi="Arial" w:cs="Arial"/>
          <w:b/>
          <w:bCs/>
          <w:color w:val="000000"/>
          <w:sz w:val="22"/>
          <w:szCs w:val="22"/>
        </w:rPr>
        <w:t>ERCOT Should Further Analyze the Voltage Issue, Evaluate Solutions, and Any Potential VRT Standards Should Include a Grandfathering Provision</w:t>
      </w:r>
    </w:p>
    <w:p w14:paraId="4BCB91CB" w14:textId="63A43526" w:rsidR="004C3A7B" w:rsidRPr="004C3A7B" w:rsidRDefault="004C3A7B" w:rsidP="004C3A7B">
      <w:pPr>
        <w:spacing w:before="240"/>
        <w:rPr>
          <w:rFonts w:ascii="Arial" w:hAnsi="Arial" w:cs="Arial"/>
          <w:color w:val="000000"/>
          <w:sz w:val="22"/>
          <w:szCs w:val="22"/>
        </w:rPr>
      </w:pPr>
      <w:r w:rsidRPr="004C3A7B">
        <w:rPr>
          <w:rFonts w:ascii="Arial" w:hAnsi="Arial" w:cs="Arial"/>
          <w:color w:val="000000"/>
          <w:sz w:val="22"/>
          <w:szCs w:val="22"/>
        </w:rPr>
        <w:t>Given the concerns outlined above, we agree with other commenters that further analysis and ideation o</w:t>
      </w:r>
      <w:r w:rsidR="00A10C0C">
        <w:rPr>
          <w:rFonts w:ascii="Arial" w:hAnsi="Arial" w:cs="Arial"/>
          <w:color w:val="000000"/>
          <w:sz w:val="22"/>
          <w:szCs w:val="22"/>
        </w:rPr>
        <w:t>f</w:t>
      </w:r>
      <w:r w:rsidRPr="004C3A7B">
        <w:rPr>
          <w:rFonts w:ascii="Arial" w:hAnsi="Arial" w:cs="Arial"/>
          <w:color w:val="000000"/>
          <w:sz w:val="22"/>
          <w:szCs w:val="22"/>
        </w:rPr>
        <w:t xml:space="preserve"> solutions is necessary before proceeding.</w:t>
      </w:r>
    </w:p>
    <w:p w14:paraId="4AC23DA2" w14:textId="126DC12E" w:rsidR="001D3EBB" w:rsidRPr="001D3EBB" w:rsidRDefault="004C3A7B" w:rsidP="004C3A7B">
      <w:pPr>
        <w:spacing w:before="240"/>
      </w:pPr>
      <w:r w:rsidRPr="004C3A7B">
        <w:rPr>
          <w:rFonts w:ascii="Arial" w:hAnsi="Arial" w:cs="Arial"/>
          <w:color w:val="000000"/>
          <w:sz w:val="22"/>
          <w:szCs w:val="22"/>
        </w:rPr>
        <w:t>After ERCOT has more closely analyzed the issue and evaluated solutions, DCC believes that any consideration of VRT standards should only apply to new loads coming into service well into the future. Data center development and interconnection projects take several years of planning, and any changes to equipment or operations made effective after development is underway create significant cost and timeline risks for customers. A sufficient grandfathering period would spare existing customers from new standards that would pose significant technical challenges and costs associated with compliance.</w:t>
      </w:r>
      <w:r w:rsidR="001D3EBB" w:rsidRPr="001D3EBB">
        <w:rPr>
          <w:rFonts w:ascii="Arial" w:hAnsi="Arial" w:cs="Arial"/>
          <w:color w:val="000000"/>
          <w:sz w:val="22"/>
          <w:szCs w:val="22"/>
        </w:rPr>
        <w:t> </w:t>
      </w:r>
    </w:p>
    <w:p w14:paraId="18C33E61" w14:textId="178B0B3F" w:rsidR="001D3EBB" w:rsidRPr="001D3EBB" w:rsidRDefault="001D3EBB" w:rsidP="00A139B3">
      <w:pPr>
        <w:pStyle w:val="ListParagraph"/>
        <w:numPr>
          <w:ilvl w:val="0"/>
          <w:numId w:val="9"/>
        </w:numPr>
        <w:spacing w:before="240"/>
      </w:pPr>
      <w:r w:rsidRPr="00A139B3">
        <w:rPr>
          <w:rFonts w:ascii="Arial" w:hAnsi="Arial" w:cs="Arial"/>
          <w:b/>
          <w:bCs/>
          <w:i/>
          <w:iCs/>
          <w:color w:val="000000"/>
          <w:sz w:val="22"/>
          <w:szCs w:val="22"/>
        </w:rPr>
        <w:t>Conclusion</w:t>
      </w:r>
    </w:p>
    <w:p w14:paraId="153CDBF8" w14:textId="61789502" w:rsidR="001D3EBB" w:rsidRPr="001D3EBB" w:rsidRDefault="004C3A7B" w:rsidP="001D3EBB">
      <w:pPr>
        <w:spacing w:before="240"/>
      </w:pPr>
      <w:r w:rsidRPr="004C3A7B">
        <w:rPr>
          <w:rFonts w:ascii="Arial" w:hAnsi="Arial" w:cs="Arial"/>
          <w:color w:val="000000"/>
          <w:sz w:val="22"/>
          <w:szCs w:val="22"/>
        </w:rPr>
        <w:t xml:space="preserve">DCC appreciates the opportunity to provide </w:t>
      </w:r>
      <w:r w:rsidR="000B02D3">
        <w:rPr>
          <w:rFonts w:ascii="Arial" w:hAnsi="Arial" w:cs="Arial"/>
          <w:color w:val="000000"/>
          <w:sz w:val="22"/>
          <w:szCs w:val="22"/>
        </w:rPr>
        <w:t>these C</w:t>
      </w:r>
      <w:r w:rsidRPr="004C3A7B">
        <w:rPr>
          <w:rFonts w:ascii="Arial" w:hAnsi="Arial" w:cs="Arial"/>
          <w:color w:val="000000"/>
          <w:sz w:val="22"/>
          <w:szCs w:val="22"/>
        </w:rPr>
        <w:t xml:space="preserve">omments on the proposed VRT standards outlined in NPRR 1191. We respectfully request that ERCOT consider DCC’s concerns and recommendations outlined in both these and </w:t>
      </w:r>
      <w:r w:rsidR="00F01CB2">
        <w:rPr>
          <w:rFonts w:ascii="Arial" w:hAnsi="Arial" w:cs="Arial"/>
          <w:color w:val="000000"/>
          <w:sz w:val="22"/>
          <w:szCs w:val="22"/>
        </w:rPr>
        <w:t>our</w:t>
      </w:r>
      <w:r w:rsidR="00F01CB2" w:rsidRPr="004C3A7B">
        <w:rPr>
          <w:rFonts w:ascii="Arial" w:hAnsi="Arial" w:cs="Arial"/>
          <w:color w:val="000000"/>
          <w:sz w:val="22"/>
          <w:szCs w:val="22"/>
        </w:rPr>
        <w:t xml:space="preserve"> previously</w:t>
      </w:r>
      <w:r w:rsidRPr="004C3A7B">
        <w:rPr>
          <w:rFonts w:ascii="Arial" w:hAnsi="Arial" w:cs="Arial"/>
          <w:color w:val="000000"/>
          <w:sz w:val="22"/>
          <w:szCs w:val="22"/>
        </w:rPr>
        <w:t xml:space="preserve"> submitted Comments.</w:t>
      </w:r>
    </w:p>
    <w:p w14:paraId="589AE3F6" w14:textId="77777777" w:rsidR="00086454" w:rsidRDefault="00086454" w:rsidP="0008645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6454" w14:paraId="29418DBC" w14:textId="77777777" w:rsidTr="002533C0">
        <w:trPr>
          <w:trHeight w:val="350"/>
        </w:trPr>
        <w:tc>
          <w:tcPr>
            <w:tcW w:w="10440" w:type="dxa"/>
            <w:tcBorders>
              <w:bottom w:val="single" w:sz="4" w:space="0" w:color="auto"/>
            </w:tcBorders>
            <w:shd w:val="clear" w:color="auto" w:fill="FFFFFF"/>
            <w:vAlign w:val="center"/>
          </w:tcPr>
          <w:p w14:paraId="4928473B" w14:textId="77777777" w:rsidR="00086454" w:rsidRDefault="00086454" w:rsidP="002533C0">
            <w:pPr>
              <w:pStyle w:val="Header"/>
              <w:jc w:val="center"/>
            </w:pPr>
            <w:r>
              <w:t>Revised Cover Page Language</w:t>
            </w:r>
          </w:p>
        </w:tc>
      </w:tr>
    </w:tbl>
    <w:p w14:paraId="52E71CF8" w14:textId="6446B2AB" w:rsidR="00086454" w:rsidRDefault="00086454" w:rsidP="00086454">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86454" w14:paraId="03B25837" w14:textId="77777777" w:rsidTr="002533C0">
        <w:trPr>
          <w:trHeight w:val="350"/>
        </w:trPr>
        <w:tc>
          <w:tcPr>
            <w:tcW w:w="10440" w:type="dxa"/>
            <w:tcBorders>
              <w:bottom w:val="single" w:sz="4" w:space="0" w:color="auto"/>
            </w:tcBorders>
            <w:shd w:val="clear" w:color="auto" w:fill="FFFFFF"/>
            <w:vAlign w:val="center"/>
          </w:tcPr>
          <w:p w14:paraId="074F2E5D" w14:textId="77777777" w:rsidR="00086454" w:rsidRDefault="00086454" w:rsidP="002533C0">
            <w:pPr>
              <w:pStyle w:val="Header"/>
              <w:jc w:val="center"/>
            </w:pPr>
            <w:r>
              <w:t>Revised Proposed Protocol Language</w:t>
            </w:r>
          </w:p>
        </w:tc>
      </w:tr>
    </w:tbl>
    <w:p w14:paraId="6BEEF2D2" w14:textId="4DBF7CC6" w:rsidR="00086454" w:rsidRDefault="00086454" w:rsidP="00086454">
      <w:pPr>
        <w:pStyle w:val="NormalArial"/>
        <w:spacing w:before="120" w:after="120"/>
      </w:pPr>
      <w:r>
        <w:t>None.</w:t>
      </w:r>
    </w:p>
    <w:p w14:paraId="6E2904D1" w14:textId="4BC10BD6" w:rsidR="0B61FC23" w:rsidRDefault="0B61FC23" w:rsidP="0B61FC23">
      <w:pPr>
        <w:spacing w:line="259" w:lineRule="auto"/>
        <w:rPr>
          <w:rFonts w:ascii="Tahoma" w:eastAsia="Tahoma" w:hAnsi="Tahoma" w:cs="Tahoma"/>
          <w:color w:val="000000" w:themeColor="text1"/>
          <w:sz w:val="22"/>
          <w:szCs w:val="22"/>
        </w:rPr>
      </w:pPr>
    </w:p>
    <w:sectPr w:rsidR="0B61FC23" w:rsidSect="00AD62B7">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CCA9B" w14:textId="77777777" w:rsidR="00AD62B7" w:rsidRDefault="00AD62B7">
      <w:r>
        <w:separator/>
      </w:r>
    </w:p>
  </w:endnote>
  <w:endnote w:type="continuationSeparator" w:id="0">
    <w:p w14:paraId="67F0AC06" w14:textId="77777777" w:rsidR="00AD62B7" w:rsidRDefault="00AD6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0F34D" w14:textId="7C0FC8AC" w:rsidR="00EE6681" w:rsidRDefault="00086454" w:rsidP="0074209E">
    <w:pPr>
      <w:pStyle w:val="Footer"/>
      <w:tabs>
        <w:tab w:val="clear" w:pos="4320"/>
        <w:tab w:val="clear" w:pos="8640"/>
        <w:tab w:val="right" w:pos="9360"/>
      </w:tabs>
      <w:rPr>
        <w:rFonts w:ascii="Arial" w:hAnsi="Arial"/>
        <w:sz w:val="18"/>
      </w:rPr>
    </w:pPr>
    <w:r>
      <w:rPr>
        <w:rFonts w:ascii="Arial" w:hAnsi="Arial"/>
        <w:sz w:val="18"/>
      </w:rPr>
      <w:fldChar w:fldCharType="begin"/>
    </w:r>
    <w:r>
      <w:rPr>
        <w:rFonts w:ascii="Arial" w:hAnsi="Arial"/>
        <w:sz w:val="18"/>
      </w:rPr>
      <w:instrText xml:space="preserve"> FILENAME   \* MERGEFORMAT </w:instrText>
    </w:r>
    <w:r>
      <w:rPr>
        <w:rFonts w:ascii="Arial" w:hAnsi="Arial"/>
        <w:sz w:val="18"/>
      </w:rPr>
      <w:fldChar w:fldCharType="separate"/>
    </w:r>
    <w:r w:rsidR="003F66D4">
      <w:rPr>
        <w:rFonts w:ascii="Arial" w:hAnsi="Arial"/>
        <w:noProof/>
        <w:sz w:val="18"/>
      </w:rPr>
      <w:t>1191NPRR-15 Data Center Coalition Comments 011124</w:t>
    </w:r>
    <w:r>
      <w:rPr>
        <w:rFonts w:ascii="Arial" w:hAnsi="Arial"/>
        <w:sz w:val="18"/>
      </w:rPr>
      <w:fldChar w:fldCharType="end"/>
    </w:r>
    <w:r w:rsidR="00EE6681">
      <w:rPr>
        <w:rFonts w:ascii="Arial" w:hAnsi="Arial"/>
        <w:sz w:val="18"/>
      </w:rPr>
      <w:tab/>
      <w:t xml:space="preserve">Page </w:t>
    </w:r>
    <w:r w:rsidR="00EE6681">
      <w:rPr>
        <w:rFonts w:ascii="Arial" w:hAnsi="Arial"/>
        <w:sz w:val="18"/>
      </w:rPr>
      <w:fldChar w:fldCharType="begin"/>
    </w:r>
    <w:r w:rsidR="00EE6681">
      <w:rPr>
        <w:rFonts w:ascii="Arial" w:hAnsi="Arial"/>
        <w:sz w:val="18"/>
      </w:rPr>
      <w:instrText xml:space="preserve"> PAGE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r w:rsidR="00EE6681">
      <w:rPr>
        <w:rFonts w:ascii="Arial" w:hAnsi="Arial"/>
        <w:sz w:val="18"/>
      </w:rPr>
      <w:t xml:space="preserve"> of </w:t>
    </w:r>
    <w:r w:rsidR="00EE6681">
      <w:rPr>
        <w:rFonts w:ascii="Arial" w:hAnsi="Arial"/>
        <w:sz w:val="18"/>
      </w:rPr>
      <w:fldChar w:fldCharType="begin"/>
    </w:r>
    <w:r w:rsidR="00EE6681">
      <w:rPr>
        <w:rFonts w:ascii="Arial" w:hAnsi="Arial"/>
        <w:sz w:val="18"/>
      </w:rPr>
      <w:instrText xml:space="preserve"> NUMPAGES </w:instrText>
    </w:r>
    <w:r w:rsidR="00EE6681">
      <w:rPr>
        <w:rFonts w:ascii="Arial" w:hAnsi="Arial"/>
        <w:sz w:val="18"/>
      </w:rPr>
      <w:fldChar w:fldCharType="separate"/>
    </w:r>
    <w:r w:rsidR="00604512">
      <w:rPr>
        <w:rFonts w:ascii="Arial" w:hAnsi="Arial"/>
        <w:noProof/>
        <w:sz w:val="18"/>
      </w:rPr>
      <w:t>1</w:t>
    </w:r>
    <w:r w:rsidR="00EE6681">
      <w:rPr>
        <w:rFonts w:ascii="Arial" w:hAnsi="Arial"/>
        <w:sz w:val="18"/>
      </w:rPr>
      <w:fldChar w:fldCharType="end"/>
    </w:r>
  </w:p>
  <w:p w14:paraId="2D227ADC" w14:textId="77777777" w:rsidR="00EE6681" w:rsidRDefault="00EE668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DF4C3" w14:textId="77777777" w:rsidR="00AD62B7" w:rsidRDefault="00AD62B7">
      <w:r>
        <w:separator/>
      </w:r>
    </w:p>
  </w:footnote>
  <w:footnote w:type="continuationSeparator" w:id="0">
    <w:p w14:paraId="7FF77A16" w14:textId="77777777" w:rsidR="00AD62B7" w:rsidRDefault="00AD62B7">
      <w:r>
        <w:continuationSeparator/>
      </w:r>
    </w:p>
  </w:footnote>
  <w:footnote w:id="1">
    <w:p w14:paraId="55D66F91" w14:textId="4D99FA9A" w:rsidR="00AD6F2D" w:rsidRDefault="00AD6F2D">
      <w:pPr>
        <w:pStyle w:val="FootnoteText"/>
      </w:pPr>
      <w:r>
        <w:rPr>
          <w:rStyle w:val="FootnoteReference"/>
        </w:rPr>
        <w:footnoteRef/>
      </w:r>
      <w:r>
        <w:t xml:space="preserve"> </w:t>
      </w:r>
      <w:r w:rsidRPr="00DD0E39">
        <w:rPr>
          <w:rFonts w:ascii="Arial" w:hAnsi="Arial" w:cs="Arial"/>
          <w:sz w:val="16"/>
          <w:szCs w:val="16"/>
        </w:rPr>
        <w:t>The Data Center Coalition (</w:t>
      </w:r>
      <w:hyperlink r:id="rId1" w:history="1">
        <w:r w:rsidRPr="00DD0E39">
          <w:rPr>
            <w:rStyle w:val="Hyperlink"/>
            <w:rFonts w:ascii="Arial" w:hAnsi="Arial" w:cs="Arial"/>
            <w:sz w:val="16"/>
            <w:szCs w:val="16"/>
          </w:rPr>
          <w:t>www.datacentercoalition.org</w:t>
        </w:r>
      </w:hyperlink>
      <w:r w:rsidR="00DD0E39" w:rsidRPr="00DD0E39">
        <w:rPr>
          <w:rFonts w:ascii="Arial" w:hAnsi="Arial" w:cs="Arial"/>
          <w:sz w:val="16"/>
          <w:szCs w:val="16"/>
        </w:rPr>
        <w:t>)</w:t>
      </w:r>
      <w:r w:rsidRPr="00DD0E39">
        <w:rPr>
          <w:rFonts w:ascii="Arial" w:hAnsi="Arial" w:cs="Arial"/>
          <w:sz w:val="16"/>
          <w:szCs w:val="16"/>
        </w:rPr>
        <w:t xml:space="preserve"> is a membership organization of leading data center owners and operators. Public testimony and written comments submitted by DCC do not necessarily reflect the views of each individual DCC member.</w:t>
      </w:r>
      <w:r>
        <w:t xml:space="preserve"> </w:t>
      </w:r>
    </w:p>
  </w:footnote>
  <w:footnote w:id="2">
    <w:p w14:paraId="40D74639" w14:textId="502D5210" w:rsidR="00F563DA" w:rsidRDefault="00F563DA">
      <w:pPr>
        <w:pStyle w:val="FootnoteText"/>
      </w:pPr>
      <w:r>
        <w:rPr>
          <w:rStyle w:val="FootnoteReference"/>
        </w:rPr>
        <w:footnoteRef/>
      </w:r>
      <w:r>
        <w:t xml:space="preserve"> </w:t>
      </w:r>
      <w:r w:rsidRPr="00271E5D">
        <w:rPr>
          <w:rFonts w:ascii="Arial" w:hAnsi="Arial" w:cs="Arial"/>
          <w:sz w:val="16"/>
          <w:szCs w:val="16"/>
        </w:rPr>
        <w:t xml:space="preserve">Texas Industrial Energy Consumers (TIEC), </w:t>
      </w:r>
      <w:r w:rsidR="00DD6E95" w:rsidRPr="00271E5D">
        <w:rPr>
          <w:rFonts w:ascii="Arial" w:hAnsi="Arial" w:cs="Arial"/>
          <w:sz w:val="16"/>
          <w:szCs w:val="16"/>
        </w:rPr>
        <w:t>NPRR</w:t>
      </w:r>
      <w:r w:rsidR="007D7514">
        <w:rPr>
          <w:rFonts w:ascii="Arial" w:hAnsi="Arial" w:cs="Arial"/>
          <w:sz w:val="16"/>
          <w:szCs w:val="16"/>
        </w:rPr>
        <w:t xml:space="preserve"> 1191</w:t>
      </w:r>
      <w:r w:rsidR="00DD6E95" w:rsidRPr="00271E5D">
        <w:rPr>
          <w:rFonts w:ascii="Arial" w:hAnsi="Arial" w:cs="Arial"/>
          <w:sz w:val="16"/>
          <w:szCs w:val="16"/>
        </w:rPr>
        <w:t xml:space="preserve"> Comments, </w:t>
      </w:r>
      <w:r w:rsidR="00451E32" w:rsidRPr="00271E5D">
        <w:rPr>
          <w:rFonts w:ascii="Arial" w:hAnsi="Arial" w:cs="Arial"/>
          <w:sz w:val="16"/>
          <w:szCs w:val="16"/>
        </w:rPr>
        <w:t>August 28</w:t>
      </w:r>
      <w:r w:rsidR="003C493A" w:rsidRPr="00271E5D">
        <w:rPr>
          <w:rFonts w:ascii="Arial" w:hAnsi="Arial" w:cs="Arial"/>
          <w:sz w:val="16"/>
          <w:szCs w:val="16"/>
        </w:rPr>
        <w:t xml:space="preserve">, 2023, </w:t>
      </w:r>
      <w:r w:rsidR="00451E32" w:rsidRPr="00271E5D">
        <w:rPr>
          <w:rFonts w:ascii="Arial" w:hAnsi="Arial" w:cs="Arial"/>
          <w:sz w:val="16"/>
          <w:szCs w:val="16"/>
        </w:rPr>
        <w:t>pages 3-4.</w:t>
      </w:r>
      <w:r w:rsidR="00451E32">
        <w:t xml:space="preserve"> </w:t>
      </w:r>
    </w:p>
  </w:footnote>
  <w:footnote w:id="3">
    <w:p w14:paraId="6F3F41DF" w14:textId="0086653E" w:rsidR="00D71F76" w:rsidRDefault="00D71F76">
      <w:pPr>
        <w:pStyle w:val="FootnoteText"/>
      </w:pPr>
      <w:r>
        <w:rPr>
          <w:rStyle w:val="FootnoteReference"/>
        </w:rPr>
        <w:footnoteRef/>
      </w:r>
      <w:r>
        <w:t xml:space="preserve"> </w:t>
      </w:r>
      <w:r w:rsidR="007D5776" w:rsidRPr="00271E5D">
        <w:rPr>
          <w:rFonts w:ascii="Arial" w:hAnsi="Arial" w:cs="Arial"/>
          <w:sz w:val="16"/>
          <w:szCs w:val="16"/>
        </w:rPr>
        <w:t>NPRR 1191, Registration, Interconnection, and Operation of Customers with Large Loads; Information Required of Customers with Loads 25 MW or Greater, August 1, 2023, page 4.</w:t>
      </w:r>
      <w:r w:rsidR="007D5776">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169A" w14:textId="77777777" w:rsidR="00EE6681" w:rsidRDefault="00EE6681">
    <w:pPr>
      <w:pStyle w:val="Header"/>
      <w:jc w:val="center"/>
      <w:rPr>
        <w:sz w:val="32"/>
      </w:rPr>
    </w:pPr>
    <w:r>
      <w:rPr>
        <w:sz w:val="32"/>
      </w:rPr>
      <w:t>NPRR Comments</w:t>
    </w:r>
  </w:p>
  <w:p w14:paraId="13FFE485" w14:textId="77777777" w:rsidR="00EE6681" w:rsidRDefault="00EE66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1263B48"/>
    <w:multiLevelType w:val="hybridMultilevel"/>
    <w:tmpl w:val="39A03B3A"/>
    <w:lvl w:ilvl="0" w:tplc="695EAE96">
      <w:start w:val="2"/>
      <w:numFmt w:val="upperRoman"/>
      <w:lvlText w:val="%1."/>
      <w:lvlJc w:val="right"/>
      <w:pPr>
        <w:tabs>
          <w:tab w:val="num" w:pos="720"/>
        </w:tabs>
        <w:ind w:left="720" w:hanging="360"/>
      </w:pPr>
      <w:rPr>
        <w:rFonts w:ascii="Arial" w:hAnsi="Arial" w:cs="Arial" w:hint="default"/>
        <w:b/>
        <w:bCs/>
        <w:i/>
        <w:iCs/>
      </w:rPr>
    </w:lvl>
    <w:lvl w:ilvl="1" w:tplc="6040EBB8" w:tentative="1">
      <w:start w:val="1"/>
      <w:numFmt w:val="decimal"/>
      <w:lvlText w:val="%2."/>
      <w:lvlJc w:val="left"/>
      <w:pPr>
        <w:tabs>
          <w:tab w:val="num" w:pos="1440"/>
        </w:tabs>
        <w:ind w:left="1440" w:hanging="360"/>
      </w:pPr>
    </w:lvl>
    <w:lvl w:ilvl="2" w:tplc="93884728" w:tentative="1">
      <w:start w:val="1"/>
      <w:numFmt w:val="decimal"/>
      <w:lvlText w:val="%3."/>
      <w:lvlJc w:val="left"/>
      <w:pPr>
        <w:tabs>
          <w:tab w:val="num" w:pos="2160"/>
        </w:tabs>
        <w:ind w:left="2160" w:hanging="360"/>
      </w:pPr>
    </w:lvl>
    <w:lvl w:ilvl="3" w:tplc="3CCCF0C2" w:tentative="1">
      <w:start w:val="1"/>
      <w:numFmt w:val="decimal"/>
      <w:lvlText w:val="%4."/>
      <w:lvlJc w:val="left"/>
      <w:pPr>
        <w:tabs>
          <w:tab w:val="num" w:pos="2880"/>
        </w:tabs>
        <w:ind w:left="2880" w:hanging="360"/>
      </w:pPr>
    </w:lvl>
    <w:lvl w:ilvl="4" w:tplc="DF44AFCA" w:tentative="1">
      <w:start w:val="1"/>
      <w:numFmt w:val="decimal"/>
      <w:lvlText w:val="%5."/>
      <w:lvlJc w:val="left"/>
      <w:pPr>
        <w:tabs>
          <w:tab w:val="num" w:pos="3600"/>
        </w:tabs>
        <w:ind w:left="3600" w:hanging="360"/>
      </w:pPr>
    </w:lvl>
    <w:lvl w:ilvl="5" w:tplc="55E82B32" w:tentative="1">
      <w:start w:val="1"/>
      <w:numFmt w:val="decimal"/>
      <w:lvlText w:val="%6."/>
      <w:lvlJc w:val="left"/>
      <w:pPr>
        <w:tabs>
          <w:tab w:val="num" w:pos="4320"/>
        </w:tabs>
        <w:ind w:left="4320" w:hanging="360"/>
      </w:pPr>
    </w:lvl>
    <w:lvl w:ilvl="6" w:tplc="8E32A206" w:tentative="1">
      <w:start w:val="1"/>
      <w:numFmt w:val="decimal"/>
      <w:lvlText w:val="%7."/>
      <w:lvlJc w:val="left"/>
      <w:pPr>
        <w:tabs>
          <w:tab w:val="num" w:pos="5040"/>
        </w:tabs>
        <w:ind w:left="5040" w:hanging="360"/>
      </w:pPr>
    </w:lvl>
    <w:lvl w:ilvl="7" w:tplc="52CCCFAC" w:tentative="1">
      <w:start w:val="1"/>
      <w:numFmt w:val="decimal"/>
      <w:lvlText w:val="%8."/>
      <w:lvlJc w:val="left"/>
      <w:pPr>
        <w:tabs>
          <w:tab w:val="num" w:pos="5760"/>
        </w:tabs>
        <w:ind w:left="5760" w:hanging="360"/>
      </w:pPr>
    </w:lvl>
    <w:lvl w:ilvl="8" w:tplc="A22CE200" w:tentative="1">
      <w:start w:val="1"/>
      <w:numFmt w:val="decimal"/>
      <w:lvlText w:val="%9."/>
      <w:lvlJc w:val="left"/>
      <w:pPr>
        <w:tabs>
          <w:tab w:val="num" w:pos="6480"/>
        </w:tabs>
        <w:ind w:left="6480" w:hanging="360"/>
      </w:pPr>
    </w:lvl>
  </w:abstractNum>
  <w:abstractNum w:abstractNumId="2" w15:restartNumberingAfterBreak="0">
    <w:nsid w:val="03AC1304"/>
    <w:multiLevelType w:val="hybridMultilevel"/>
    <w:tmpl w:val="5EE855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4D056C9"/>
    <w:multiLevelType w:val="hybridMultilevel"/>
    <w:tmpl w:val="FF58855C"/>
    <w:lvl w:ilvl="0" w:tplc="4E241C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2D219F"/>
    <w:multiLevelType w:val="hybridMultilevel"/>
    <w:tmpl w:val="A94426DC"/>
    <w:lvl w:ilvl="0" w:tplc="FFFFFFFF">
      <w:start w:val="1"/>
      <w:numFmt w:val="upp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3125C6"/>
    <w:multiLevelType w:val="hybridMultilevel"/>
    <w:tmpl w:val="69EC07E4"/>
    <w:lvl w:ilvl="0" w:tplc="046616E4">
      <w:start w:val="1"/>
      <w:numFmt w:val="upperRoman"/>
      <w:lvlText w:val="%1."/>
      <w:lvlJc w:val="left"/>
      <w:pPr>
        <w:ind w:left="1080" w:hanging="720"/>
      </w:pPr>
      <w:rPr>
        <w:rFonts w:ascii="Arial" w:hAnsi="Arial" w:cs="Arial"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0F0E8F"/>
    <w:multiLevelType w:val="multilevel"/>
    <w:tmpl w:val="90047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5656E4C"/>
    <w:multiLevelType w:val="hybridMultilevel"/>
    <w:tmpl w:val="9E4EB36C"/>
    <w:lvl w:ilvl="0" w:tplc="E04EB7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80A364"/>
    <w:multiLevelType w:val="hybridMultilevel"/>
    <w:tmpl w:val="8462150C"/>
    <w:lvl w:ilvl="0" w:tplc="E62E0E94">
      <w:start w:val="1"/>
      <w:numFmt w:val="decimal"/>
      <w:lvlText w:val="(%1)"/>
      <w:lvlJc w:val="left"/>
      <w:pPr>
        <w:ind w:left="720" w:hanging="360"/>
      </w:pPr>
    </w:lvl>
    <w:lvl w:ilvl="1" w:tplc="92B0E266">
      <w:start w:val="1"/>
      <w:numFmt w:val="lowerLetter"/>
      <w:lvlText w:val="%2."/>
      <w:lvlJc w:val="left"/>
      <w:pPr>
        <w:ind w:left="1440" w:hanging="360"/>
      </w:pPr>
    </w:lvl>
    <w:lvl w:ilvl="2" w:tplc="F0102654">
      <w:start w:val="1"/>
      <w:numFmt w:val="lowerRoman"/>
      <w:lvlText w:val="%3."/>
      <w:lvlJc w:val="right"/>
      <w:pPr>
        <w:ind w:left="2160" w:hanging="180"/>
      </w:pPr>
    </w:lvl>
    <w:lvl w:ilvl="3" w:tplc="DC6219CE">
      <w:start w:val="1"/>
      <w:numFmt w:val="decimal"/>
      <w:lvlText w:val="%4."/>
      <w:lvlJc w:val="left"/>
      <w:pPr>
        <w:ind w:left="2880" w:hanging="360"/>
      </w:pPr>
    </w:lvl>
    <w:lvl w:ilvl="4" w:tplc="6840D87E">
      <w:start w:val="1"/>
      <w:numFmt w:val="lowerLetter"/>
      <w:lvlText w:val="%5."/>
      <w:lvlJc w:val="left"/>
      <w:pPr>
        <w:ind w:left="3600" w:hanging="360"/>
      </w:pPr>
    </w:lvl>
    <w:lvl w:ilvl="5" w:tplc="07D8394C">
      <w:start w:val="1"/>
      <w:numFmt w:val="lowerRoman"/>
      <w:lvlText w:val="%6."/>
      <w:lvlJc w:val="right"/>
      <w:pPr>
        <w:ind w:left="4320" w:hanging="180"/>
      </w:pPr>
    </w:lvl>
    <w:lvl w:ilvl="6" w:tplc="6D6C2258">
      <w:start w:val="1"/>
      <w:numFmt w:val="decimal"/>
      <w:lvlText w:val="%7."/>
      <w:lvlJc w:val="left"/>
      <w:pPr>
        <w:ind w:left="5040" w:hanging="360"/>
      </w:pPr>
    </w:lvl>
    <w:lvl w:ilvl="7" w:tplc="FCB0793E">
      <w:start w:val="1"/>
      <w:numFmt w:val="lowerLetter"/>
      <w:lvlText w:val="%8."/>
      <w:lvlJc w:val="left"/>
      <w:pPr>
        <w:ind w:left="5760" w:hanging="360"/>
      </w:pPr>
    </w:lvl>
    <w:lvl w:ilvl="8" w:tplc="D7B2784C">
      <w:start w:val="1"/>
      <w:numFmt w:val="lowerRoman"/>
      <w:lvlText w:val="%9."/>
      <w:lvlJc w:val="right"/>
      <w:pPr>
        <w:ind w:left="6480" w:hanging="180"/>
      </w:pPr>
    </w:lvl>
  </w:abstractNum>
  <w:abstractNum w:abstractNumId="9" w15:restartNumberingAfterBreak="0">
    <w:nsid w:val="4D0E4B4A"/>
    <w:multiLevelType w:val="hybridMultilevel"/>
    <w:tmpl w:val="4BC2CC74"/>
    <w:lvl w:ilvl="0" w:tplc="34947F92">
      <w:start w:val="3"/>
      <w:numFmt w:val="upperLetter"/>
      <w:lvlText w:val="%1."/>
      <w:lvlJc w:val="left"/>
      <w:pPr>
        <w:tabs>
          <w:tab w:val="num" w:pos="720"/>
        </w:tabs>
        <w:ind w:left="720" w:hanging="360"/>
      </w:pPr>
    </w:lvl>
    <w:lvl w:ilvl="1" w:tplc="81D8AD44" w:tentative="1">
      <w:start w:val="1"/>
      <w:numFmt w:val="decimal"/>
      <w:lvlText w:val="%2."/>
      <w:lvlJc w:val="left"/>
      <w:pPr>
        <w:tabs>
          <w:tab w:val="num" w:pos="1440"/>
        </w:tabs>
        <w:ind w:left="1440" w:hanging="360"/>
      </w:pPr>
    </w:lvl>
    <w:lvl w:ilvl="2" w:tplc="A636DD38" w:tentative="1">
      <w:start w:val="1"/>
      <w:numFmt w:val="decimal"/>
      <w:lvlText w:val="%3."/>
      <w:lvlJc w:val="left"/>
      <w:pPr>
        <w:tabs>
          <w:tab w:val="num" w:pos="2160"/>
        </w:tabs>
        <w:ind w:left="2160" w:hanging="360"/>
      </w:pPr>
    </w:lvl>
    <w:lvl w:ilvl="3" w:tplc="6CF8078E" w:tentative="1">
      <w:start w:val="1"/>
      <w:numFmt w:val="decimal"/>
      <w:lvlText w:val="%4."/>
      <w:lvlJc w:val="left"/>
      <w:pPr>
        <w:tabs>
          <w:tab w:val="num" w:pos="2880"/>
        </w:tabs>
        <w:ind w:left="2880" w:hanging="360"/>
      </w:pPr>
    </w:lvl>
    <w:lvl w:ilvl="4" w:tplc="1C0EB884" w:tentative="1">
      <w:start w:val="1"/>
      <w:numFmt w:val="decimal"/>
      <w:lvlText w:val="%5."/>
      <w:lvlJc w:val="left"/>
      <w:pPr>
        <w:tabs>
          <w:tab w:val="num" w:pos="3600"/>
        </w:tabs>
        <w:ind w:left="3600" w:hanging="360"/>
      </w:pPr>
    </w:lvl>
    <w:lvl w:ilvl="5" w:tplc="3ED4DC9A" w:tentative="1">
      <w:start w:val="1"/>
      <w:numFmt w:val="decimal"/>
      <w:lvlText w:val="%6."/>
      <w:lvlJc w:val="left"/>
      <w:pPr>
        <w:tabs>
          <w:tab w:val="num" w:pos="4320"/>
        </w:tabs>
        <w:ind w:left="4320" w:hanging="360"/>
      </w:pPr>
    </w:lvl>
    <w:lvl w:ilvl="6" w:tplc="C478EC3C" w:tentative="1">
      <w:start w:val="1"/>
      <w:numFmt w:val="decimal"/>
      <w:lvlText w:val="%7."/>
      <w:lvlJc w:val="left"/>
      <w:pPr>
        <w:tabs>
          <w:tab w:val="num" w:pos="5040"/>
        </w:tabs>
        <w:ind w:left="5040" w:hanging="360"/>
      </w:pPr>
    </w:lvl>
    <w:lvl w:ilvl="7" w:tplc="41BAF83A" w:tentative="1">
      <w:start w:val="1"/>
      <w:numFmt w:val="decimal"/>
      <w:lvlText w:val="%8."/>
      <w:lvlJc w:val="left"/>
      <w:pPr>
        <w:tabs>
          <w:tab w:val="num" w:pos="5760"/>
        </w:tabs>
        <w:ind w:left="5760" w:hanging="360"/>
      </w:pPr>
    </w:lvl>
    <w:lvl w:ilvl="8" w:tplc="53766686" w:tentative="1">
      <w:start w:val="1"/>
      <w:numFmt w:val="decimal"/>
      <w:lvlText w:val="%9."/>
      <w:lvlJc w:val="left"/>
      <w:pPr>
        <w:tabs>
          <w:tab w:val="num" w:pos="6480"/>
        </w:tabs>
        <w:ind w:left="6480" w:hanging="360"/>
      </w:pPr>
    </w:lvl>
  </w:abstractNum>
  <w:abstractNum w:abstractNumId="10" w15:restartNumberingAfterBreak="0">
    <w:nsid w:val="512112E8"/>
    <w:multiLevelType w:val="hybridMultilevel"/>
    <w:tmpl w:val="07D27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1C0A0D"/>
    <w:multiLevelType w:val="hybridMultilevel"/>
    <w:tmpl w:val="4A32CC74"/>
    <w:lvl w:ilvl="0" w:tplc="152EC984">
      <w:start w:val="1"/>
      <w:numFmt w:val="upperRoman"/>
      <w:lvlText w:val="%1."/>
      <w:lvlJc w:val="right"/>
      <w:pPr>
        <w:ind w:left="1080" w:hanging="720"/>
      </w:pPr>
      <w:rPr>
        <w:rFonts w:ascii="Arial" w:hAnsi="Arial" w:cs="Arial" w:hint="default"/>
        <w:i/>
        <w:i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B40AE7"/>
    <w:multiLevelType w:val="multilevel"/>
    <w:tmpl w:val="FD08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D1E0220"/>
    <w:multiLevelType w:val="hybridMultilevel"/>
    <w:tmpl w:val="200E1FB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3A2EF1"/>
    <w:multiLevelType w:val="hybridMultilevel"/>
    <w:tmpl w:val="8F4866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9D172D"/>
    <w:multiLevelType w:val="hybridMultilevel"/>
    <w:tmpl w:val="84F299D6"/>
    <w:lvl w:ilvl="0" w:tplc="1F46274C">
      <w:start w:val="2"/>
      <w:numFmt w:val="upperLetter"/>
      <w:lvlText w:val="%1."/>
      <w:lvlJc w:val="left"/>
      <w:pPr>
        <w:tabs>
          <w:tab w:val="num" w:pos="720"/>
        </w:tabs>
        <w:ind w:left="720" w:hanging="360"/>
      </w:pPr>
    </w:lvl>
    <w:lvl w:ilvl="1" w:tplc="1B388684" w:tentative="1">
      <w:start w:val="1"/>
      <w:numFmt w:val="decimal"/>
      <w:lvlText w:val="%2."/>
      <w:lvlJc w:val="left"/>
      <w:pPr>
        <w:tabs>
          <w:tab w:val="num" w:pos="1440"/>
        </w:tabs>
        <w:ind w:left="1440" w:hanging="360"/>
      </w:pPr>
    </w:lvl>
    <w:lvl w:ilvl="2" w:tplc="201AF124" w:tentative="1">
      <w:start w:val="1"/>
      <w:numFmt w:val="decimal"/>
      <w:lvlText w:val="%3."/>
      <w:lvlJc w:val="left"/>
      <w:pPr>
        <w:tabs>
          <w:tab w:val="num" w:pos="2160"/>
        </w:tabs>
        <w:ind w:left="2160" w:hanging="360"/>
      </w:pPr>
    </w:lvl>
    <w:lvl w:ilvl="3" w:tplc="AC56F066" w:tentative="1">
      <w:start w:val="1"/>
      <w:numFmt w:val="decimal"/>
      <w:lvlText w:val="%4."/>
      <w:lvlJc w:val="left"/>
      <w:pPr>
        <w:tabs>
          <w:tab w:val="num" w:pos="2880"/>
        </w:tabs>
        <w:ind w:left="2880" w:hanging="360"/>
      </w:pPr>
    </w:lvl>
    <w:lvl w:ilvl="4" w:tplc="2C0C3DFA" w:tentative="1">
      <w:start w:val="1"/>
      <w:numFmt w:val="decimal"/>
      <w:lvlText w:val="%5."/>
      <w:lvlJc w:val="left"/>
      <w:pPr>
        <w:tabs>
          <w:tab w:val="num" w:pos="3600"/>
        </w:tabs>
        <w:ind w:left="3600" w:hanging="360"/>
      </w:pPr>
    </w:lvl>
    <w:lvl w:ilvl="5" w:tplc="00004EFC" w:tentative="1">
      <w:start w:val="1"/>
      <w:numFmt w:val="decimal"/>
      <w:lvlText w:val="%6."/>
      <w:lvlJc w:val="left"/>
      <w:pPr>
        <w:tabs>
          <w:tab w:val="num" w:pos="4320"/>
        </w:tabs>
        <w:ind w:left="4320" w:hanging="360"/>
      </w:pPr>
    </w:lvl>
    <w:lvl w:ilvl="6" w:tplc="737E3FA4" w:tentative="1">
      <w:start w:val="1"/>
      <w:numFmt w:val="decimal"/>
      <w:lvlText w:val="%7."/>
      <w:lvlJc w:val="left"/>
      <w:pPr>
        <w:tabs>
          <w:tab w:val="num" w:pos="5040"/>
        </w:tabs>
        <w:ind w:left="5040" w:hanging="360"/>
      </w:pPr>
    </w:lvl>
    <w:lvl w:ilvl="7" w:tplc="F94438C8" w:tentative="1">
      <w:start w:val="1"/>
      <w:numFmt w:val="decimal"/>
      <w:lvlText w:val="%8."/>
      <w:lvlJc w:val="left"/>
      <w:pPr>
        <w:tabs>
          <w:tab w:val="num" w:pos="5760"/>
        </w:tabs>
        <w:ind w:left="5760" w:hanging="360"/>
      </w:pPr>
    </w:lvl>
    <w:lvl w:ilvl="8" w:tplc="BD8A04F2" w:tentative="1">
      <w:start w:val="1"/>
      <w:numFmt w:val="decimal"/>
      <w:lvlText w:val="%9."/>
      <w:lvlJc w:val="left"/>
      <w:pPr>
        <w:tabs>
          <w:tab w:val="num" w:pos="6480"/>
        </w:tabs>
        <w:ind w:left="6480" w:hanging="360"/>
      </w:pPr>
    </w:lvl>
  </w:abstractNum>
  <w:num w:numId="1" w16cid:durableId="364138492">
    <w:abstractNumId w:val="8"/>
  </w:num>
  <w:num w:numId="2" w16cid:durableId="883299093">
    <w:abstractNumId w:val="0"/>
  </w:num>
  <w:num w:numId="3" w16cid:durableId="1250577986">
    <w:abstractNumId w:val="15"/>
  </w:num>
  <w:num w:numId="4" w16cid:durableId="165560927">
    <w:abstractNumId w:val="13"/>
  </w:num>
  <w:num w:numId="5" w16cid:durableId="1763641228">
    <w:abstractNumId w:val="4"/>
  </w:num>
  <w:num w:numId="6" w16cid:durableId="693648856">
    <w:abstractNumId w:val="2"/>
  </w:num>
  <w:num w:numId="7" w16cid:durableId="1185289983">
    <w:abstractNumId w:val="3"/>
  </w:num>
  <w:num w:numId="8" w16cid:durableId="1919095965">
    <w:abstractNumId w:val="12"/>
    <w:lvlOverride w:ilvl="0">
      <w:lvl w:ilvl="0">
        <w:numFmt w:val="upperRoman"/>
        <w:lvlText w:val="%1."/>
        <w:lvlJc w:val="right"/>
      </w:lvl>
    </w:lvlOverride>
  </w:num>
  <w:num w:numId="9" w16cid:durableId="1564293568">
    <w:abstractNumId w:val="1"/>
  </w:num>
  <w:num w:numId="10" w16cid:durableId="116721275">
    <w:abstractNumId w:val="6"/>
    <w:lvlOverride w:ilvl="0">
      <w:lvl w:ilvl="0">
        <w:numFmt w:val="upperLetter"/>
        <w:lvlText w:val="%1."/>
        <w:lvlJc w:val="left"/>
      </w:lvl>
    </w:lvlOverride>
  </w:num>
  <w:num w:numId="11" w16cid:durableId="486674805">
    <w:abstractNumId w:val="16"/>
  </w:num>
  <w:num w:numId="12" w16cid:durableId="1026491069">
    <w:abstractNumId w:val="9"/>
  </w:num>
  <w:num w:numId="13" w16cid:durableId="32510811">
    <w:abstractNumId w:val="14"/>
  </w:num>
  <w:num w:numId="14" w16cid:durableId="1102606568">
    <w:abstractNumId w:val="5"/>
  </w:num>
  <w:num w:numId="15" w16cid:durableId="703946926">
    <w:abstractNumId w:val="10"/>
  </w:num>
  <w:num w:numId="16" w16cid:durableId="466626718">
    <w:abstractNumId w:val="7"/>
  </w:num>
  <w:num w:numId="17" w16cid:durableId="48951926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zzmp10NoTrailerPromptID" w:val="NG-C65KTEG5.4876-8988-5562.2"/>
  </w:docVars>
  <w:rsids>
    <w:rsidRoot w:val="001A227D"/>
    <w:rsid w:val="00011407"/>
    <w:rsid w:val="00011F99"/>
    <w:rsid w:val="000138DC"/>
    <w:rsid w:val="000162EA"/>
    <w:rsid w:val="00017625"/>
    <w:rsid w:val="00034C58"/>
    <w:rsid w:val="00037668"/>
    <w:rsid w:val="00037B6E"/>
    <w:rsid w:val="000428A8"/>
    <w:rsid w:val="00075A94"/>
    <w:rsid w:val="0008172D"/>
    <w:rsid w:val="000819C3"/>
    <w:rsid w:val="00086454"/>
    <w:rsid w:val="00086FA9"/>
    <w:rsid w:val="00091BC1"/>
    <w:rsid w:val="000A390B"/>
    <w:rsid w:val="000B02D3"/>
    <w:rsid w:val="000B26B7"/>
    <w:rsid w:val="000B2DF5"/>
    <w:rsid w:val="000C4331"/>
    <w:rsid w:val="000C68A0"/>
    <w:rsid w:val="000E182A"/>
    <w:rsid w:val="000E275C"/>
    <w:rsid w:val="00112B1D"/>
    <w:rsid w:val="0011583B"/>
    <w:rsid w:val="00117E5F"/>
    <w:rsid w:val="00121F19"/>
    <w:rsid w:val="00124804"/>
    <w:rsid w:val="00132855"/>
    <w:rsid w:val="00133681"/>
    <w:rsid w:val="0013640B"/>
    <w:rsid w:val="00143B8D"/>
    <w:rsid w:val="0015009E"/>
    <w:rsid w:val="00152993"/>
    <w:rsid w:val="00170297"/>
    <w:rsid w:val="001838E2"/>
    <w:rsid w:val="0019103B"/>
    <w:rsid w:val="001A227D"/>
    <w:rsid w:val="001B2059"/>
    <w:rsid w:val="001B5A01"/>
    <w:rsid w:val="001B68B5"/>
    <w:rsid w:val="001D3EBB"/>
    <w:rsid w:val="001E2032"/>
    <w:rsid w:val="001E3DA1"/>
    <w:rsid w:val="00202BF8"/>
    <w:rsid w:val="0021363E"/>
    <w:rsid w:val="00220A3D"/>
    <w:rsid w:val="00226A13"/>
    <w:rsid w:val="00232385"/>
    <w:rsid w:val="002525E7"/>
    <w:rsid w:val="00255A86"/>
    <w:rsid w:val="00262F07"/>
    <w:rsid w:val="00271E5D"/>
    <w:rsid w:val="00274DFE"/>
    <w:rsid w:val="00294AD2"/>
    <w:rsid w:val="002A113A"/>
    <w:rsid w:val="002D6F45"/>
    <w:rsid w:val="002E63DC"/>
    <w:rsid w:val="003010C0"/>
    <w:rsid w:val="00305C52"/>
    <w:rsid w:val="00311C0D"/>
    <w:rsid w:val="00317896"/>
    <w:rsid w:val="00323984"/>
    <w:rsid w:val="00332791"/>
    <w:rsid w:val="00332A97"/>
    <w:rsid w:val="003462CF"/>
    <w:rsid w:val="00350C00"/>
    <w:rsid w:val="00366113"/>
    <w:rsid w:val="0038065A"/>
    <w:rsid w:val="003A1E3D"/>
    <w:rsid w:val="003A4796"/>
    <w:rsid w:val="003C0F82"/>
    <w:rsid w:val="003C270C"/>
    <w:rsid w:val="003C493A"/>
    <w:rsid w:val="003D0994"/>
    <w:rsid w:val="003D2E68"/>
    <w:rsid w:val="003D2F05"/>
    <w:rsid w:val="003E5E6C"/>
    <w:rsid w:val="003F12AE"/>
    <w:rsid w:val="003F66D4"/>
    <w:rsid w:val="004028E4"/>
    <w:rsid w:val="004035A0"/>
    <w:rsid w:val="00406690"/>
    <w:rsid w:val="00411690"/>
    <w:rsid w:val="00414986"/>
    <w:rsid w:val="00415350"/>
    <w:rsid w:val="00423824"/>
    <w:rsid w:val="0043567D"/>
    <w:rsid w:val="0044307E"/>
    <w:rsid w:val="00443554"/>
    <w:rsid w:val="00446506"/>
    <w:rsid w:val="00447CFB"/>
    <w:rsid w:val="00451E32"/>
    <w:rsid w:val="0046420B"/>
    <w:rsid w:val="00465FEE"/>
    <w:rsid w:val="004856E9"/>
    <w:rsid w:val="00492AE8"/>
    <w:rsid w:val="00497CC1"/>
    <w:rsid w:val="004A5C79"/>
    <w:rsid w:val="004B27F2"/>
    <w:rsid w:val="004B7B90"/>
    <w:rsid w:val="004C3005"/>
    <w:rsid w:val="004C3A7B"/>
    <w:rsid w:val="004D2515"/>
    <w:rsid w:val="004D45F1"/>
    <w:rsid w:val="004E2C19"/>
    <w:rsid w:val="004E4532"/>
    <w:rsid w:val="004E68EE"/>
    <w:rsid w:val="005462A6"/>
    <w:rsid w:val="00552A06"/>
    <w:rsid w:val="00553A1A"/>
    <w:rsid w:val="005635AF"/>
    <w:rsid w:val="00567B9C"/>
    <w:rsid w:val="005968D4"/>
    <w:rsid w:val="005B39C8"/>
    <w:rsid w:val="005D2362"/>
    <w:rsid w:val="005D284C"/>
    <w:rsid w:val="005E1FAB"/>
    <w:rsid w:val="00604512"/>
    <w:rsid w:val="006079F6"/>
    <w:rsid w:val="006205D1"/>
    <w:rsid w:val="00622491"/>
    <w:rsid w:val="00632714"/>
    <w:rsid w:val="00633E23"/>
    <w:rsid w:val="00641C52"/>
    <w:rsid w:val="00652AED"/>
    <w:rsid w:val="00673B94"/>
    <w:rsid w:val="00680AC6"/>
    <w:rsid w:val="006835D8"/>
    <w:rsid w:val="00687927"/>
    <w:rsid w:val="00691FD1"/>
    <w:rsid w:val="006920FD"/>
    <w:rsid w:val="00695B0B"/>
    <w:rsid w:val="0069639B"/>
    <w:rsid w:val="006A7299"/>
    <w:rsid w:val="006C316E"/>
    <w:rsid w:val="006D0F7C"/>
    <w:rsid w:val="006E199E"/>
    <w:rsid w:val="006E62B4"/>
    <w:rsid w:val="006F4020"/>
    <w:rsid w:val="00701440"/>
    <w:rsid w:val="007142F3"/>
    <w:rsid w:val="007230D8"/>
    <w:rsid w:val="007269C4"/>
    <w:rsid w:val="00741C12"/>
    <w:rsid w:val="0074209E"/>
    <w:rsid w:val="00760815"/>
    <w:rsid w:val="0076581B"/>
    <w:rsid w:val="007A2B50"/>
    <w:rsid w:val="007B2476"/>
    <w:rsid w:val="007C4884"/>
    <w:rsid w:val="007D052C"/>
    <w:rsid w:val="007D5776"/>
    <w:rsid w:val="007D7514"/>
    <w:rsid w:val="007F2A8A"/>
    <w:rsid w:val="007F2CA8"/>
    <w:rsid w:val="007F36E4"/>
    <w:rsid w:val="007F7161"/>
    <w:rsid w:val="00800658"/>
    <w:rsid w:val="00807CC0"/>
    <w:rsid w:val="00814B07"/>
    <w:rsid w:val="00832CD1"/>
    <w:rsid w:val="00845030"/>
    <w:rsid w:val="008465AD"/>
    <w:rsid w:val="0085559E"/>
    <w:rsid w:val="00866255"/>
    <w:rsid w:val="00870A1D"/>
    <w:rsid w:val="00871F09"/>
    <w:rsid w:val="00874A0C"/>
    <w:rsid w:val="008874DF"/>
    <w:rsid w:val="00896B1B"/>
    <w:rsid w:val="008C126A"/>
    <w:rsid w:val="008C3049"/>
    <w:rsid w:val="008D724A"/>
    <w:rsid w:val="008E559E"/>
    <w:rsid w:val="008F02A7"/>
    <w:rsid w:val="008F36AE"/>
    <w:rsid w:val="00903B22"/>
    <w:rsid w:val="00916080"/>
    <w:rsid w:val="00920AAB"/>
    <w:rsid w:val="00921A68"/>
    <w:rsid w:val="00931E1A"/>
    <w:rsid w:val="0094363B"/>
    <w:rsid w:val="009717FF"/>
    <w:rsid w:val="009B1165"/>
    <w:rsid w:val="009B60D3"/>
    <w:rsid w:val="009C0F22"/>
    <w:rsid w:val="009C4804"/>
    <w:rsid w:val="009C6BA6"/>
    <w:rsid w:val="009D0705"/>
    <w:rsid w:val="009D2963"/>
    <w:rsid w:val="009E1C92"/>
    <w:rsid w:val="00A015C4"/>
    <w:rsid w:val="00A07DF2"/>
    <w:rsid w:val="00A10C0C"/>
    <w:rsid w:val="00A139B3"/>
    <w:rsid w:val="00A15172"/>
    <w:rsid w:val="00A168A0"/>
    <w:rsid w:val="00A25DC9"/>
    <w:rsid w:val="00A264DB"/>
    <w:rsid w:val="00A26A5B"/>
    <w:rsid w:val="00A272ED"/>
    <w:rsid w:val="00A32885"/>
    <w:rsid w:val="00A47A2F"/>
    <w:rsid w:val="00A55242"/>
    <w:rsid w:val="00A66219"/>
    <w:rsid w:val="00A75AC0"/>
    <w:rsid w:val="00A93869"/>
    <w:rsid w:val="00AA6CAD"/>
    <w:rsid w:val="00AA6F8D"/>
    <w:rsid w:val="00AB2B1A"/>
    <w:rsid w:val="00AB5C2A"/>
    <w:rsid w:val="00AC24F9"/>
    <w:rsid w:val="00AC4A12"/>
    <w:rsid w:val="00AD62B7"/>
    <w:rsid w:val="00AD6F2D"/>
    <w:rsid w:val="00AE4079"/>
    <w:rsid w:val="00AF3ADF"/>
    <w:rsid w:val="00B00F35"/>
    <w:rsid w:val="00B127AF"/>
    <w:rsid w:val="00B22D44"/>
    <w:rsid w:val="00B25DDB"/>
    <w:rsid w:val="00B5080A"/>
    <w:rsid w:val="00B54301"/>
    <w:rsid w:val="00B56A75"/>
    <w:rsid w:val="00B674FD"/>
    <w:rsid w:val="00B743A2"/>
    <w:rsid w:val="00B942B9"/>
    <w:rsid w:val="00B943AE"/>
    <w:rsid w:val="00BB2D2B"/>
    <w:rsid w:val="00BB34F9"/>
    <w:rsid w:val="00BB4B13"/>
    <w:rsid w:val="00BC7C89"/>
    <w:rsid w:val="00BD7258"/>
    <w:rsid w:val="00BE1CF4"/>
    <w:rsid w:val="00C0598D"/>
    <w:rsid w:val="00C11956"/>
    <w:rsid w:val="00C22FB1"/>
    <w:rsid w:val="00C24224"/>
    <w:rsid w:val="00C3197D"/>
    <w:rsid w:val="00C33A0F"/>
    <w:rsid w:val="00C347E8"/>
    <w:rsid w:val="00C36575"/>
    <w:rsid w:val="00C40105"/>
    <w:rsid w:val="00C459EE"/>
    <w:rsid w:val="00C45A24"/>
    <w:rsid w:val="00C602E5"/>
    <w:rsid w:val="00C72B8B"/>
    <w:rsid w:val="00C748FD"/>
    <w:rsid w:val="00C76D53"/>
    <w:rsid w:val="00C84429"/>
    <w:rsid w:val="00C95BC4"/>
    <w:rsid w:val="00CA17A6"/>
    <w:rsid w:val="00CA454D"/>
    <w:rsid w:val="00CC0A2C"/>
    <w:rsid w:val="00CC7B40"/>
    <w:rsid w:val="00CCA2AC"/>
    <w:rsid w:val="00CD648F"/>
    <w:rsid w:val="00CE3CA4"/>
    <w:rsid w:val="00CF5B74"/>
    <w:rsid w:val="00D07BCE"/>
    <w:rsid w:val="00D17E86"/>
    <w:rsid w:val="00D334D9"/>
    <w:rsid w:val="00D36513"/>
    <w:rsid w:val="00D37EF4"/>
    <w:rsid w:val="00D4046E"/>
    <w:rsid w:val="00D40F87"/>
    <w:rsid w:val="00D41A5B"/>
    <w:rsid w:val="00D4362F"/>
    <w:rsid w:val="00D53372"/>
    <w:rsid w:val="00D545D6"/>
    <w:rsid w:val="00D5536A"/>
    <w:rsid w:val="00D71F76"/>
    <w:rsid w:val="00D724B2"/>
    <w:rsid w:val="00D9047B"/>
    <w:rsid w:val="00D90C7D"/>
    <w:rsid w:val="00D919FE"/>
    <w:rsid w:val="00DA382D"/>
    <w:rsid w:val="00DB6FD7"/>
    <w:rsid w:val="00DC146E"/>
    <w:rsid w:val="00DD0E39"/>
    <w:rsid w:val="00DD4739"/>
    <w:rsid w:val="00DD663F"/>
    <w:rsid w:val="00DD6E95"/>
    <w:rsid w:val="00DE28E2"/>
    <w:rsid w:val="00DE5F33"/>
    <w:rsid w:val="00E07B54"/>
    <w:rsid w:val="00E11F78"/>
    <w:rsid w:val="00E20002"/>
    <w:rsid w:val="00E24A7A"/>
    <w:rsid w:val="00E30B51"/>
    <w:rsid w:val="00E45FBB"/>
    <w:rsid w:val="00E50551"/>
    <w:rsid w:val="00E50C1F"/>
    <w:rsid w:val="00E54DF7"/>
    <w:rsid w:val="00E621E1"/>
    <w:rsid w:val="00E63E4F"/>
    <w:rsid w:val="00E642FD"/>
    <w:rsid w:val="00E746F8"/>
    <w:rsid w:val="00E83354"/>
    <w:rsid w:val="00EB100A"/>
    <w:rsid w:val="00EB6083"/>
    <w:rsid w:val="00EC55B3"/>
    <w:rsid w:val="00EE6681"/>
    <w:rsid w:val="00EF758A"/>
    <w:rsid w:val="00EF787A"/>
    <w:rsid w:val="00F01CB2"/>
    <w:rsid w:val="00F01FA3"/>
    <w:rsid w:val="00F259B9"/>
    <w:rsid w:val="00F322C4"/>
    <w:rsid w:val="00F35590"/>
    <w:rsid w:val="00F36041"/>
    <w:rsid w:val="00F44C7C"/>
    <w:rsid w:val="00F563DA"/>
    <w:rsid w:val="00F579DC"/>
    <w:rsid w:val="00F66F10"/>
    <w:rsid w:val="00F80EBD"/>
    <w:rsid w:val="00F81E0A"/>
    <w:rsid w:val="00F96FB2"/>
    <w:rsid w:val="00FA43DE"/>
    <w:rsid w:val="00FB4E84"/>
    <w:rsid w:val="00FB51D8"/>
    <w:rsid w:val="00FD08E8"/>
    <w:rsid w:val="00FD4E3F"/>
    <w:rsid w:val="00FE1DDF"/>
    <w:rsid w:val="00FE63AB"/>
    <w:rsid w:val="00FF033D"/>
    <w:rsid w:val="01BA7152"/>
    <w:rsid w:val="06271385"/>
    <w:rsid w:val="066EC5CB"/>
    <w:rsid w:val="0683CF73"/>
    <w:rsid w:val="074B599A"/>
    <w:rsid w:val="08167BB3"/>
    <w:rsid w:val="09442F87"/>
    <w:rsid w:val="0A405E50"/>
    <w:rsid w:val="0A939DBB"/>
    <w:rsid w:val="0B2C36BA"/>
    <w:rsid w:val="0B61FC23"/>
    <w:rsid w:val="0B6CE983"/>
    <w:rsid w:val="0C5CA09A"/>
    <w:rsid w:val="0E9B8FC1"/>
    <w:rsid w:val="0FF722DF"/>
    <w:rsid w:val="116BEA0B"/>
    <w:rsid w:val="123838B9"/>
    <w:rsid w:val="1258251A"/>
    <w:rsid w:val="12D28590"/>
    <w:rsid w:val="13B8FEC3"/>
    <w:rsid w:val="14042F31"/>
    <w:rsid w:val="159FD1C3"/>
    <w:rsid w:val="16981010"/>
    <w:rsid w:val="1969D7CC"/>
    <w:rsid w:val="19D6BBE0"/>
    <w:rsid w:val="19F0466F"/>
    <w:rsid w:val="1B0ED13D"/>
    <w:rsid w:val="1B962D8F"/>
    <w:rsid w:val="1C233A57"/>
    <w:rsid w:val="1CF4C7D6"/>
    <w:rsid w:val="1DA43C38"/>
    <w:rsid w:val="1DF13C58"/>
    <w:rsid w:val="207EEC9E"/>
    <w:rsid w:val="22F5D8E2"/>
    <w:rsid w:val="2442828D"/>
    <w:rsid w:val="28F81C21"/>
    <w:rsid w:val="29A66843"/>
    <w:rsid w:val="29EE8F25"/>
    <w:rsid w:val="2AB5363D"/>
    <w:rsid w:val="2B630740"/>
    <w:rsid w:val="2C9439AD"/>
    <w:rsid w:val="2FB3613B"/>
    <w:rsid w:val="2FF5A3A3"/>
    <w:rsid w:val="31CD43A8"/>
    <w:rsid w:val="31D1346C"/>
    <w:rsid w:val="336CD7BC"/>
    <w:rsid w:val="339C6416"/>
    <w:rsid w:val="33A0C598"/>
    <w:rsid w:val="346C146A"/>
    <w:rsid w:val="34911D34"/>
    <w:rsid w:val="3526A435"/>
    <w:rsid w:val="3613965D"/>
    <w:rsid w:val="3691E0A7"/>
    <w:rsid w:val="36AA4A4B"/>
    <w:rsid w:val="3736AB63"/>
    <w:rsid w:val="38108395"/>
    <w:rsid w:val="39E7D3CA"/>
    <w:rsid w:val="3A2EEC2C"/>
    <w:rsid w:val="3B83A42B"/>
    <w:rsid w:val="3E4481A1"/>
    <w:rsid w:val="405E3F49"/>
    <w:rsid w:val="42FBC4E4"/>
    <w:rsid w:val="440C931B"/>
    <w:rsid w:val="44DB488E"/>
    <w:rsid w:val="45C0AF1D"/>
    <w:rsid w:val="474433DD"/>
    <w:rsid w:val="48E0043E"/>
    <w:rsid w:val="49B296B2"/>
    <w:rsid w:val="4AD301CF"/>
    <w:rsid w:val="4B3EB0AB"/>
    <w:rsid w:val="4C3EF933"/>
    <w:rsid w:val="4C9014DC"/>
    <w:rsid w:val="4D2A20FD"/>
    <w:rsid w:val="4F944F94"/>
    <w:rsid w:val="50063324"/>
    <w:rsid w:val="5007F98C"/>
    <w:rsid w:val="527AD10F"/>
    <w:rsid w:val="528329E0"/>
    <w:rsid w:val="5305D473"/>
    <w:rsid w:val="5330B32E"/>
    <w:rsid w:val="5421A022"/>
    <w:rsid w:val="556EAC82"/>
    <w:rsid w:val="55786374"/>
    <w:rsid w:val="561B44D1"/>
    <w:rsid w:val="57611615"/>
    <w:rsid w:val="57B71532"/>
    <w:rsid w:val="5825F789"/>
    <w:rsid w:val="5A12BC9A"/>
    <w:rsid w:val="5CDBCD82"/>
    <w:rsid w:val="5EA433C1"/>
    <w:rsid w:val="5EF20F08"/>
    <w:rsid w:val="5F1D036E"/>
    <w:rsid w:val="61AD6C78"/>
    <w:rsid w:val="621C3BF5"/>
    <w:rsid w:val="6232DC7C"/>
    <w:rsid w:val="645E524F"/>
    <w:rsid w:val="64B35620"/>
    <w:rsid w:val="67C88CAC"/>
    <w:rsid w:val="6867A4FD"/>
    <w:rsid w:val="68CA2B24"/>
    <w:rsid w:val="69090619"/>
    <w:rsid w:val="6A179B62"/>
    <w:rsid w:val="6A59945F"/>
    <w:rsid w:val="6AEFA2EC"/>
    <w:rsid w:val="6B291341"/>
    <w:rsid w:val="6BE25E19"/>
    <w:rsid w:val="6D0D4E55"/>
    <w:rsid w:val="6E9A87E3"/>
    <w:rsid w:val="703F3995"/>
    <w:rsid w:val="714B4EA2"/>
    <w:rsid w:val="749905C3"/>
    <w:rsid w:val="7684249F"/>
    <w:rsid w:val="76E2C2AF"/>
    <w:rsid w:val="77780AE3"/>
    <w:rsid w:val="79B61D07"/>
    <w:rsid w:val="7DC0C5B1"/>
    <w:rsid w:val="7EB8B6BB"/>
    <w:rsid w:val="7EF5C11F"/>
    <w:rsid w:val="7F30091C"/>
    <w:rsid w:val="7F71591C"/>
    <w:rsid w:val="7F74D97E"/>
    <w:rsid w:val="7FBA28B0"/>
    <w:rsid w:val="7FC58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2A86F"/>
  <w15:chartTrackingRefBased/>
  <w15:docId w15:val="{633C43D0-B48E-4EFE-81DD-463A0F9F5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2"/>
      </w:numPr>
      <w:spacing w:after="240"/>
      <w:outlineLvl w:val="0"/>
    </w:pPr>
    <w:rPr>
      <w:b/>
      <w:caps/>
      <w:szCs w:val="20"/>
    </w:rPr>
  </w:style>
  <w:style w:type="paragraph" w:styleId="Heading2">
    <w:name w:val="heading 2"/>
    <w:aliases w:val="h2"/>
    <w:basedOn w:val="Normal"/>
    <w:next w:val="Normal"/>
    <w:qFormat/>
    <w:pPr>
      <w:keepNext/>
      <w:numPr>
        <w:ilvl w:val="1"/>
        <w:numId w:val="2"/>
      </w:numPr>
      <w:spacing w:before="240" w:after="240"/>
      <w:outlineLvl w:val="1"/>
    </w:pPr>
    <w:rPr>
      <w:b/>
      <w:szCs w:val="20"/>
    </w:rPr>
  </w:style>
  <w:style w:type="paragraph" w:styleId="Heading3">
    <w:name w:val="heading 3"/>
    <w:aliases w:val="h3"/>
    <w:basedOn w:val="Normal"/>
    <w:next w:val="Normal"/>
    <w:qFormat/>
    <w:pPr>
      <w:keepNext/>
      <w:numPr>
        <w:ilvl w:val="2"/>
        <w:numId w:val="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2"/>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3"/>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styleId="FootnoteText">
    <w:name w:val="footnote text"/>
    <w:basedOn w:val="Normal"/>
    <w:link w:val="FootnoteTextChar"/>
    <w:rsid w:val="0015009E"/>
    <w:rPr>
      <w:sz w:val="20"/>
      <w:szCs w:val="20"/>
    </w:rPr>
  </w:style>
  <w:style w:type="character" w:customStyle="1" w:styleId="FootnoteTextChar">
    <w:name w:val="Footnote Text Char"/>
    <w:basedOn w:val="DefaultParagraphFont"/>
    <w:link w:val="FootnoteText"/>
    <w:rsid w:val="0015009E"/>
  </w:style>
  <w:style w:type="character" w:styleId="FootnoteReference">
    <w:name w:val="footnote reference"/>
    <w:rsid w:val="0015009E"/>
    <w:rPr>
      <w:vertAlign w:val="superscript"/>
    </w:rPr>
  </w:style>
  <w:style w:type="character" w:styleId="UnresolvedMention">
    <w:name w:val="Unresolved Mention"/>
    <w:uiPriority w:val="99"/>
    <w:semiHidden/>
    <w:unhideWhenUsed/>
    <w:rsid w:val="00F44C7C"/>
    <w:rPr>
      <w:color w:val="605E5C"/>
      <w:shd w:val="clear" w:color="auto" w:fill="E1DFDD"/>
    </w:rPr>
  </w:style>
  <w:style w:type="paragraph" w:styleId="Revision">
    <w:name w:val="Revision"/>
    <w:hidden/>
    <w:uiPriority w:val="99"/>
    <w:semiHidden/>
    <w:rsid w:val="00CE3CA4"/>
    <w:rPr>
      <w:sz w:val="24"/>
      <w:szCs w:val="24"/>
    </w:rPr>
  </w:style>
  <w:style w:type="paragraph" w:customStyle="1" w:styleId="Block">
    <w:name w:val="Block"/>
    <w:basedOn w:val="NormalArial"/>
    <w:rsid w:val="00DE28E2"/>
    <w:pPr>
      <w:spacing w:before="120"/>
      <w:ind w:firstLine="360"/>
      <w:jc w:val="both"/>
    </w:pPr>
  </w:style>
  <w:style w:type="paragraph" w:styleId="BlockText">
    <w:name w:val="Block Text"/>
    <w:basedOn w:val="Normal"/>
    <w:rsid w:val="00DE28E2"/>
    <w:pPr>
      <w:spacing w:after="120"/>
      <w:ind w:left="1440" w:right="1440"/>
    </w:pPr>
  </w:style>
  <w:style w:type="paragraph" w:styleId="NormalWeb">
    <w:name w:val="Normal (Web)"/>
    <w:basedOn w:val="Normal"/>
    <w:uiPriority w:val="99"/>
    <w:unhideWhenUsed/>
    <w:rsid w:val="00AC4A12"/>
    <w:pPr>
      <w:spacing w:before="100" w:beforeAutospacing="1" w:after="100" w:afterAutospacing="1"/>
    </w:pPr>
  </w:style>
  <w:style w:type="paragraph" w:styleId="ListParagraph">
    <w:name w:val="List Paragraph"/>
    <w:basedOn w:val="Normal"/>
    <w:uiPriority w:val="34"/>
    <w:qFormat/>
    <w:rsid w:val="00117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715530">
      <w:bodyDiv w:val="1"/>
      <w:marLeft w:val="0"/>
      <w:marRight w:val="0"/>
      <w:marTop w:val="0"/>
      <w:marBottom w:val="0"/>
      <w:divBdr>
        <w:top w:val="none" w:sz="0" w:space="0" w:color="auto"/>
        <w:left w:val="none" w:sz="0" w:space="0" w:color="auto"/>
        <w:bottom w:val="none" w:sz="0" w:space="0" w:color="auto"/>
        <w:right w:val="none" w:sz="0" w:space="0" w:color="auto"/>
      </w:divBdr>
    </w:div>
    <w:div w:id="609967803">
      <w:bodyDiv w:val="1"/>
      <w:marLeft w:val="0"/>
      <w:marRight w:val="0"/>
      <w:marTop w:val="0"/>
      <w:marBottom w:val="0"/>
      <w:divBdr>
        <w:top w:val="none" w:sz="0" w:space="0" w:color="auto"/>
        <w:left w:val="none" w:sz="0" w:space="0" w:color="auto"/>
        <w:bottom w:val="none" w:sz="0" w:space="0" w:color="auto"/>
        <w:right w:val="none" w:sz="0" w:space="0" w:color="auto"/>
      </w:divBdr>
    </w:div>
    <w:div w:id="770394154">
      <w:bodyDiv w:val="1"/>
      <w:marLeft w:val="0"/>
      <w:marRight w:val="0"/>
      <w:marTop w:val="0"/>
      <w:marBottom w:val="0"/>
      <w:divBdr>
        <w:top w:val="none" w:sz="0" w:space="0" w:color="auto"/>
        <w:left w:val="none" w:sz="0" w:space="0" w:color="auto"/>
        <w:bottom w:val="none" w:sz="0" w:space="0" w:color="auto"/>
        <w:right w:val="none" w:sz="0" w:space="0" w:color="auto"/>
      </w:divBdr>
    </w:div>
    <w:div w:id="899094096">
      <w:bodyDiv w:val="1"/>
      <w:marLeft w:val="0"/>
      <w:marRight w:val="0"/>
      <w:marTop w:val="0"/>
      <w:marBottom w:val="0"/>
      <w:divBdr>
        <w:top w:val="none" w:sz="0" w:space="0" w:color="auto"/>
        <w:left w:val="none" w:sz="0" w:space="0" w:color="auto"/>
        <w:bottom w:val="none" w:sz="0" w:space="0" w:color="auto"/>
        <w:right w:val="none" w:sz="0" w:space="0" w:color="auto"/>
      </w:divBdr>
    </w:div>
    <w:div w:id="1198012226">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aron@datacentercoalition.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PRR119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atacentercoal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4E23216D4FD449A560472802EFBDC3" ma:contentTypeVersion="13" ma:contentTypeDescription="Create a new document." ma:contentTypeScope="" ma:versionID="ca803fede5bd9e307f4fa484c94d87cc">
  <xsd:schema xmlns:xsd="http://www.w3.org/2001/XMLSchema" xmlns:xs="http://www.w3.org/2001/XMLSchema" xmlns:p="http://schemas.microsoft.com/office/2006/metadata/properties" xmlns:ns3="5703b561-a30f-44ce-a56a-19e7a50d1950" xmlns:ns4="f19aaec1-f55b-46fc-98e6-57e229118c5f" targetNamespace="http://schemas.microsoft.com/office/2006/metadata/properties" ma:root="true" ma:fieldsID="e465bb95a9c72562d9c4837ef0ff8f72" ns3:_="" ns4:_="">
    <xsd:import namespace="5703b561-a30f-44ce-a56a-19e7a50d1950"/>
    <xsd:import namespace="f19aaec1-f55b-46fc-98e6-57e229118c5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ObjectDetectorVersions" minOccurs="0"/>
                <xsd:element ref="ns4:SharedWithUsers" minOccurs="0"/>
                <xsd:element ref="ns4:SharedWithDetails" minOccurs="0"/>
                <xsd:element ref="ns4:SharingHintHash"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3b561-a30f-44ce-a56a-19e7a50d1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9aaec1-f55b-46fc-98e6-57e229118c5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703b561-a30f-44ce-a56a-19e7a50d195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B8FB73-FEF0-4EBA-A870-79338531E1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3b561-a30f-44ce-a56a-19e7a50d1950"/>
    <ds:schemaRef ds:uri="f19aaec1-f55b-46fc-98e6-57e229118c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DEE16-4E90-4CAB-ADD8-178D21762EDC}">
  <ds:schemaRefs>
    <ds:schemaRef ds:uri="http://schemas.openxmlformats.org/officeDocument/2006/bibliography"/>
  </ds:schemaRefs>
</ds:datastoreItem>
</file>

<file path=customXml/itemProps3.xml><?xml version="1.0" encoding="utf-8"?>
<ds:datastoreItem xmlns:ds="http://schemas.openxmlformats.org/officeDocument/2006/customXml" ds:itemID="{51B9316A-7999-4C8D-917B-A71A755B272A}">
  <ds:schemaRefs>
    <ds:schemaRef ds:uri="http://schemas.microsoft.com/office/2006/documentManagement/types"/>
    <ds:schemaRef ds:uri="http://www.w3.org/XML/1998/namespace"/>
    <ds:schemaRef ds:uri="http://schemas.microsoft.com/office/infopath/2007/PartnerControls"/>
    <ds:schemaRef ds:uri="http://purl.org/dc/dcmitype/"/>
    <ds:schemaRef ds:uri="http://purl.org/dc/terms/"/>
    <ds:schemaRef ds:uri="http://schemas.microsoft.com/office/2006/metadata/properties"/>
    <ds:schemaRef ds:uri="f19aaec1-f55b-46fc-98e6-57e229118c5f"/>
    <ds:schemaRef ds:uri="http://schemas.openxmlformats.org/package/2006/metadata/core-properties"/>
    <ds:schemaRef ds:uri="5703b561-a30f-44ce-a56a-19e7a50d1950"/>
    <ds:schemaRef ds:uri="http://purl.org/dc/elements/1.1/"/>
  </ds:schemaRefs>
</ds:datastoreItem>
</file>

<file path=customXml/itemProps4.xml><?xml version="1.0" encoding="utf-8"?>
<ds:datastoreItem xmlns:ds="http://schemas.openxmlformats.org/officeDocument/2006/customXml" ds:itemID="{7B7E495A-C59C-4F40-95DD-88193856C5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1055</Words>
  <Characters>6409</Characters>
  <Application>Microsoft Office Word</Application>
  <DocSecurity>0</DocSecurity>
  <Lines>53</Lines>
  <Paragraphs>14</Paragraphs>
  <ScaleCrop>false</ScaleCrop>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ERCOT Market Rules</cp:lastModifiedBy>
  <cp:revision>4</cp:revision>
  <cp:lastPrinted>2023-10-06T20:22:00Z</cp:lastPrinted>
  <dcterms:created xsi:type="dcterms:W3CDTF">2024-01-11T15:19:00Z</dcterms:created>
  <dcterms:modified xsi:type="dcterms:W3CDTF">2024-01-11T15:21:00Z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2023-08-28T20:54:12Z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ba08f73b-1c1c-45ea-8e9c-a0d4589cae60</vt:lpwstr>
  </property>
  <property fmtid="{D5CDD505-2E9C-101B-9397-08002B2CF9AE}" pid="8" name="MSIP_Label_7084cbda-52b8-46fb-a7b7-cb5bd465ed85_ContentBits">
    <vt:lpwstr>0</vt:lpwstr>
  </property>
  <property fmtid="{D5CDD505-2E9C-101B-9397-08002B2CF9AE}" pid="9" name="ContentTypeId">
    <vt:lpwstr>0x010100C64E23216D4FD449A560472802EFBDC3</vt:lpwstr>
  </property>
</Properties>
</file>