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3145" w14:textId="076E1D2C" w:rsidR="009010DD" w:rsidRPr="0068141C" w:rsidRDefault="00153EF4" w:rsidP="009010DD">
      <w:pPr>
        <w:pStyle w:val="NormalWeb"/>
        <w:rPr>
          <w:rFonts w:ascii="TradeGothic LT" w:hAnsi="TradeGothic LT"/>
          <w:sz w:val="28"/>
        </w:rPr>
      </w:pP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MWG </w:t>
      </w:r>
      <w:r w:rsidR="00C23F04">
        <w:rPr>
          <w:rFonts w:ascii="TradeGothic LT" w:hAnsi="TradeGothic LT"/>
          <w:b/>
          <w:bCs/>
          <w:color w:val="000000"/>
          <w:sz w:val="36"/>
          <w:szCs w:val="33"/>
        </w:rPr>
        <w:t>Meeting</w:t>
      </w:r>
      <w:r w:rsidR="00C23F04"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 </w:t>
      </w: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>Summary Notes</w:t>
      </w:r>
    </w:p>
    <w:p w14:paraId="6CD021DE" w14:textId="598A98E9" w:rsidR="009010DD" w:rsidRPr="00A056D5" w:rsidRDefault="005943D6" w:rsidP="009010DD">
      <w:pPr>
        <w:pStyle w:val="NormalWeb"/>
        <w:rPr>
          <w:rFonts w:ascii="TradeGothic LT" w:hAnsi="TradeGothic LT"/>
          <w:color w:val="000000"/>
          <w:sz w:val="22"/>
          <w:szCs w:val="22"/>
        </w:rPr>
      </w:pPr>
      <w:r>
        <w:rPr>
          <w:rFonts w:ascii="TradeGothic LT" w:hAnsi="TradeGothic LT"/>
          <w:b/>
          <w:bCs/>
          <w:color w:val="000000"/>
          <w:sz w:val="22"/>
          <w:szCs w:val="22"/>
        </w:rPr>
        <w:t>December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12</w:t>
      </w:r>
      <w:r w:rsidR="00BE1844">
        <w:rPr>
          <w:rFonts w:ascii="TradeGothic LT" w:hAnsi="TradeGothic LT"/>
          <w:b/>
          <w:bCs/>
          <w:color w:val="000000"/>
          <w:sz w:val="22"/>
          <w:szCs w:val="22"/>
        </w:rPr>
        <w:t>, 2023,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D22432">
        <w:rPr>
          <w:rFonts w:ascii="TradeGothic LT" w:hAnsi="TradeGothic LT"/>
          <w:b/>
          <w:bCs/>
          <w:color w:val="000000"/>
          <w:sz w:val="22"/>
          <w:szCs w:val="22"/>
        </w:rPr>
        <w:t>9</w:t>
      </w:r>
      <w:r w:rsidR="00FD38BE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3</w:t>
      </w:r>
      <w:r w:rsidR="00FD38BE">
        <w:rPr>
          <w:rFonts w:ascii="TradeGothic LT" w:hAnsi="TradeGothic LT"/>
          <w:b/>
          <w:bCs/>
          <w:color w:val="000000"/>
          <w:sz w:val="22"/>
          <w:szCs w:val="22"/>
        </w:rPr>
        <w:t xml:space="preserve">0 </w:t>
      </w:r>
      <w:r w:rsidR="00FD38BE" w:rsidRPr="00A056D5">
        <w:rPr>
          <w:rFonts w:ascii="TradeGothic LT" w:hAnsi="TradeGothic LT"/>
          <w:b/>
          <w:bCs/>
          <w:color w:val="000000"/>
          <w:sz w:val="22"/>
          <w:szCs w:val="22"/>
        </w:rPr>
        <w:t>-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D22432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 w:rsidR="002273B6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 w:rsidR="002273B6">
        <w:rPr>
          <w:rFonts w:ascii="TradeGothic LT" w:hAnsi="TradeGothic LT"/>
          <w:b/>
          <w:bCs/>
          <w:color w:val="000000"/>
          <w:sz w:val="22"/>
          <w:szCs w:val="22"/>
        </w:rPr>
        <w:t>32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(</w:t>
      </w:r>
      <w:r w:rsidR="00A1737C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 w:rsidR="002273B6">
        <w:rPr>
          <w:rFonts w:ascii="TradeGothic LT" w:hAnsi="TradeGothic LT"/>
          <w:b/>
          <w:bCs/>
          <w:color w:val="000000"/>
          <w:sz w:val="22"/>
          <w:szCs w:val="22"/>
        </w:rPr>
        <w:t>2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 w:rsidR="0061146A">
        <w:rPr>
          <w:rFonts w:ascii="TradeGothic LT" w:hAnsi="TradeGothic LT"/>
          <w:b/>
          <w:bCs/>
          <w:color w:val="000000"/>
          <w:sz w:val="22"/>
          <w:szCs w:val="22"/>
        </w:rPr>
        <w:t>0</w:t>
      </w:r>
      <w:r w:rsidR="00C62FE2">
        <w:rPr>
          <w:rFonts w:ascii="TradeGothic LT" w:hAnsi="TradeGothic LT"/>
          <w:b/>
          <w:bCs/>
          <w:color w:val="000000"/>
          <w:sz w:val="22"/>
          <w:szCs w:val="22"/>
        </w:rPr>
        <w:t>0</w:t>
      </w:r>
      <w:r w:rsidR="00F8143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scheduled)</w:t>
      </w:r>
    </w:p>
    <w:p w14:paraId="07B040F5" w14:textId="77777777" w:rsidR="009010DD" w:rsidRPr="00A056D5" w:rsidRDefault="009010DD" w:rsidP="009010DD">
      <w:pPr>
        <w:pStyle w:val="NormalWeb"/>
        <w:rPr>
          <w:rFonts w:ascii="TradeGothic LT" w:hAnsi="TradeGothic LT"/>
        </w:rPr>
      </w:pPr>
      <w:r w:rsidRPr="00A056D5">
        <w:rPr>
          <w:rFonts w:ascii="TradeGothic LT" w:hAnsi="TradeGothic LT"/>
          <w:noProof/>
        </w:rPr>
        <w:drawing>
          <wp:inline distT="0" distB="0" distL="0" distR="0" wp14:anchorId="0534A744" wp14:editId="2C83D17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9B7F" w14:textId="293994EA" w:rsidR="009010DD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>Anti-Trust Admonition</w:t>
      </w:r>
      <w:r w:rsidR="008878BE" w:rsidRPr="0063517C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E936D5" w:rsidRPr="0063517C">
        <w:rPr>
          <w:rFonts w:ascii="TradeGothic LT" w:hAnsi="TradeGothic LT"/>
          <w:color w:val="000000"/>
          <w:sz w:val="22"/>
          <w:szCs w:val="21"/>
        </w:rPr>
        <w:t xml:space="preserve">was </w:t>
      </w:r>
      <w:r w:rsidR="000B61D6" w:rsidRPr="0063517C">
        <w:rPr>
          <w:rFonts w:ascii="TradeGothic LT" w:hAnsi="TradeGothic LT"/>
          <w:color w:val="000000"/>
          <w:sz w:val="22"/>
          <w:szCs w:val="21"/>
        </w:rPr>
        <w:t>reviewed</w:t>
      </w:r>
      <w:r w:rsidR="007348DD">
        <w:rPr>
          <w:rFonts w:ascii="TradeGothic LT" w:hAnsi="TradeGothic LT"/>
          <w:color w:val="000000"/>
          <w:sz w:val="22"/>
          <w:szCs w:val="21"/>
        </w:rPr>
        <w:t xml:space="preserve"> by</w:t>
      </w:r>
      <w:r w:rsidR="00FD38BE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61146A">
        <w:rPr>
          <w:rFonts w:ascii="TradeGothic LT" w:hAnsi="TradeGothic LT"/>
          <w:color w:val="000000"/>
          <w:sz w:val="22"/>
          <w:szCs w:val="21"/>
        </w:rPr>
        <w:t>Michael</w:t>
      </w:r>
      <w:r w:rsidR="00033F10">
        <w:rPr>
          <w:rFonts w:ascii="TradeGothic LT" w:hAnsi="TradeGothic LT"/>
          <w:color w:val="000000"/>
          <w:sz w:val="22"/>
          <w:szCs w:val="21"/>
        </w:rPr>
        <w:t xml:space="preserve"> B.</w:t>
      </w:r>
      <w:r w:rsidR="00FD38BE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7343A7" w:rsidRPr="0063517C">
        <w:rPr>
          <w:rFonts w:ascii="TradeGothic LT" w:hAnsi="TradeGothic LT"/>
          <w:color w:val="000000"/>
          <w:sz w:val="22"/>
          <w:szCs w:val="21"/>
        </w:rPr>
        <w:t xml:space="preserve">of </w:t>
      </w:r>
      <w:r w:rsidR="0061146A">
        <w:rPr>
          <w:rFonts w:ascii="TradeGothic LT" w:hAnsi="TradeGothic LT"/>
          <w:color w:val="000000"/>
          <w:sz w:val="22"/>
          <w:szCs w:val="21"/>
        </w:rPr>
        <w:t>CenterPoint</w:t>
      </w:r>
    </w:p>
    <w:p w14:paraId="327F8D83" w14:textId="77777777" w:rsidR="00102E51" w:rsidRDefault="00102E51" w:rsidP="00102E51">
      <w:pPr>
        <w:pStyle w:val="NormalWeb"/>
        <w:spacing w:before="0" w:beforeAutospacing="0" w:after="0" w:afterAutospacing="0"/>
        <w:ind w:left="720"/>
        <w:rPr>
          <w:rFonts w:ascii="TradeGothic LT" w:hAnsi="TradeGothic LT"/>
          <w:color w:val="000000"/>
          <w:sz w:val="22"/>
          <w:szCs w:val="21"/>
        </w:rPr>
      </w:pPr>
    </w:p>
    <w:p w14:paraId="784CB9C4" w14:textId="4749A2B0" w:rsidR="00102E51" w:rsidRPr="0063517C" w:rsidRDefault="00BB6B01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Michael B. of CenterPoint agrees to remain Chair for 2024 and Kyle S. of Oncor agrees to remain Vice Chair for 2024. There were no other volunteers for the positions.</w:t>
      </w:r>
    </w:p>
    <w:p w14:paraId="354AF416" w14:textId="77777777" w:rsidR="0091647A" w:rsidRPr="0063517C" w:rsidRDefault="0091647A" w:rsidP="0091647A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5920A217" w14:textId="5DBC0B0C" w:rsidR="009B7592" w:rsidRDefault="0091647A" w:rsidP="009B759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NPRR1197 </w:t>
      </w:r>
      <w:r w:rsidR="009B7592">
        <w:rPr>
          <w:rFonts w:ascii="TradeGothic LT" w:hAnsi="TradeGothic LT"/>
          <w:sz w:val="22"/>
          <w:szCs w:val="21"/>
        </w:rPr>
        <w:t>regarding new EPS meters to “un-net” loads from EPS facilities was discussed.</w:t>
      </w:r>
    </w:p>
    <w:p w14:paraId="1200B7A2" w14:textId="3F4FBA34" w:rsidR="009B7592" w:rsidRDefault="00114028" w:rsidP="009B759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Donald M. of ERCOT presented the Excluded Load Example Scenarios spreadsheet.</w:t>
      </w:r>
    </w:p>
    <w:p w14:paraId="70A730E2" w14:textId="05BCD5E6" w:rsidR="00114028" w:rsidRDefault="00114028" w:rsidP="00114028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Ray C. of Oncor asked about where the losses from the power transformer located between Meter 1 and Meter 2 would be settled. Donald M. supplied that due to the netting calculation, losses would between Meter 1 and Meter 2 would be attributed to the generation facility.</w:t>
      </w:r>
    </w:p>
    <w:p w14:paraId="38669087" w14:textId="0E703F8C" w:rsidR="00385001" w:rsidRDefault="00385001" w:rsidP="00385001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Scenario 2 was reviewed, and it was pointed out that the excluded loads behind Meter 3 are always excluded from netting with the generation facility. The example is a single POI connection and therefore a single generation facility for ERCOT settlement.</w:t>
      </w:r>
    </w:p>
    <w:p w14:paraId="034284AD" w14:textId="20C97717" w:rsidR="00385001" w:rsidRDefault="00385001" w:rsidP="00385001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Scenario 3 of multiple ESRs and excluded loads was reviewed with multiple questions.</w:t>
      </w:r>
    </w:p>
    <w:p w14:paraId="2C836D25" w14:textId="60DAE9F6" w:rsidR="00385001" w:rsidRDefault="001B42EA" w:rsidP="0059017D">
      <w:pPr>
        <w:pStyle w:val="NormalWeb"/>
        <w:numPr>
          <w:ilvl w:val="4"/>
          <w:numId w:val="1"/>
        </w:numPr>
        <w:spacing w:before="0" w:beforeAutospacing="0" w:after="0" w:afterAutospacing="0"/>
        <w:ind w:left="270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Ray C. asked about limit on the number of excluded load meter points allowed. Donald M. </w:t>
      </w:r>
      <w:proofErr w:type="gramStart"/>
      <w:r>
        <w:rPr>
          <w:rFonts w:ascii="TradeGothic LT" w:hAnsi="TradeGothic LT"/>
          <w:sz w:val="22"/>
          <w:szCs w:val="21"/>
        </w:rPr>
        <w:t>provided that</w:t>
      </w:r>
      <w:proofErr w:type="gramEnd"/>
      <w:r>
        <w:rPr>
          <w:rFonts w:ascii="TradeGothic LT" w:hAnsi="TradeGothic LT"/>
          <w:sz w:val="22"/>
          <w:szCs w:val="21"/>
        </w:rPr>
        <w:t xml:space="preserve"> there is no limit included in the NPRR. Brian C. of CenterPoint added that they have internal limits on number excluded load EPS meter points allowed.</w:t>
      </w:r>
    </w:p>
    <w:p w14:paraId="494E7A7A" w14:textId="177346DF" w:rsidR="001B42EA" w:rsidRDefault="001B42EA" w:rsidP="0059017D">
      <w:pPr>
        <w:pStyle w:val="NormalWeb"/>
        <w:numPr>
          <w:ilvl w:val="4"/>
          <w:numId w:val="1"/>
        </w:numPr>
        <w:spacing w:before="0" w:beforeAutospacing="0" w:after="0" w:afterAutospacing="0"/>
        <w:ind w:left="270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Kyle S. asked about the applicability of the </w:t>
      </w:r>
      <w:r w:rsidR="009806DC">
        <w:rPr>
          <w:rFonts w:ascii="TradeGothic LT" w:hAnsi="TradeGothic LT"/>
          <w:sz w:val="22"/>
          <w:szCs w:val="21"/>
        </w:rPr>
        <w:t>400-yard</w:t>
      </w:r>
      <w:r>
        <w:rPr>
          <w:rFonts w:ascii="TradeGothic LT" w:hAnsi="TradeGothic LT"/>
          <w:sz w:val="22"/>
          <w:szCs w:val="21"/>
        </w:rPr>
        <w:t xml:space="preserve"> rule and Donald M. answered that </w:t>
      </w:r>
      <w:r w:rsidR="00323008">
        <w:rPr>
          <w:rFonts w:ascii="TradeGothic LT" w:hAnsi="TradeGothic LT"/>
          <w:sz w:val="22"/>
          <w:szCs w:val="21"/>
        </w:rPr>
        <w:t xml:space="preserve">as written the </w:t>
      </w:r>
      <w:r w:rsidR="0044691E">
        <w:rPr>
          <w:rFonts w:ascii="TradeGothic LT" w:hAnsi="TradeGothic LT"/>
          <w:sz w:val="22"/>
          <w:szCs w:val="21"/>
        </w:rPr>
        <w:t>400-yard</w:t>
      </w:r>
      <w:r w:rsidR="00323008">
        <w:rPr>
          <w:rFonts w:ascii="TradeGothic LT" w:hAnsi="TradeGothic LT"/>
          <w:sz w:val="22"/>
          <w:szCs w:val="21"/>
        </w:rPr>
        <w:t xml:space="preserve"> rule would not apply to excluded load meter points.</w:t>
      </w:r>
    </w:p>
    <w:p w14:paraId="6BE91F53" w14:textId="7309427E" w:rsidR="009806DC" w:rsidRDefault="009806DC" w:rsidP="0059017D">
      <w:pPr>
        <w:pStyle w:val="NormalWeb"/>
        <w:numPr>
          <w:ilvl w:val="4"/>
          <w:numId w:val="1"/>
        </w:numPr>
        <w:spacing w:before="0" w:beforeAutospacing="0" w:after="0" w:afterAutospacing="0"/>
        <w:ind w:left="270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Donald M. pointed out that EPS metering of excluded loads is optional and not a requirement. Protocol 10.2.3.1(1)(e) provides clarification that expenses related to non-required metering is the responsibility of the requesting entity.</w:t>
      </w:r>
    </w:p>
    <w:p w14:paraId="6C2A3CEB" w14:textId="508406E3" w:rsidR="00323008" w:rsidRDefault="00323008" w:rsidP="0059017D">
      <w:pPr>
        <w:pStyle w:val="NormalWeb"/>
        <w:numPr>
          <w:ilvl w:val="4"/>
          <w:numId w:val="1"/>
        </w:numPr>
        <w:spacing w:before="0" w:beforeAutospacing="0" w:after="0" w:afterAutospacing="0"/>
        <w:ind w:left="270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Concerns about </w:t>
      </w:r>
      <w:r w:rsidR="00DE03CD">
        <w:rPr>
          <w:rFonts w:ascii="TradeGothic LT" w:hAnsi="TradeGothic LT"/>
          <w:sz w:val="22"/>
          <w:szCs w:val="21"/>
        </w:rPr>
        <w:t xml:space="preserve">potential </w:t>
      </w:r>
      <w:r>
        <w:rPr>
          <w:rFonts w:ascii="TradeGothic LT" w:hAnsi="TradeGothic LT"/>
          <w:sz w:val="22"/>
          <w:szCs w:val="21"/>
        </w:rPr>
        <w:t>impacts to existing TDSP tariffs such as power factor.</w:t>
      </w:r>
    </w:p>
    <w:p w14:paraId="07D8ABE3" w14:textId="40BD6DB6" w:rsidR="00323008" w:rsidRDefault="00323008" w:rsidP="0059017D">
      <w:pPr>
        <w:pStyle w:val="NormalWeb"/>
        <w:numPr>
          <w:ilvl w:val="4"/>
          <w:numId w:val="1"/>
        </w:numPr>
        <w:spacing w:before="0" w:beforeAutospacing="0" w:after="0" w:afterAutospacing="0"/>
        <w:ind w:left="270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After discussions the group feedback was to confirm to WMS that the MWG believed NPRR1197 could be implemented as written from a technical metering </w:t>
      </w:r>
      <w:r w:rsidR="009806DC">
        <w:rPr>
          <w:rFonts w:ascii="TradeGothic LT" w:hAnsi="TradeGothic LT"/>
          <w:sz w:val="22"/>
          <w:szCs w:val="21"/>
        </w:rPr>
        <w:t>perspective,</w:t>
      </w:r>
      <w:r>
        <w:rPr>
          <w:rFonts w:ascii="TradeGothic LT" w:hAnsi="TradeGothic LT"/>
          <w:sz w:val="22"/>
          <w:szCs w:val="21"/>
        </w:rPr>
        <w:t xml:space="preserve"> but the MWG wanted to be sure the concerns of TDSP tariffs and </w:t>
      </w:r>
      <w:r w:rsidR="005C1911">
        <w:rPr>
          <w:rFonts w:ascii="TradeGothic LT" w:hAnsi="TradeGothic LT"/>
          <w:sz w:val="22"/>
          <w:szCs w:val="21"/>
        </w:rPr>
        <w:t>potential for excess</w:t>
      </w:r>
      <w:r w:rsidR="009806DC">
        <w:rPr>
          <w:rFonts w:ascii="TradeGothic LT" w:hAnsi="TradeGothic LT"/>
          <w:sz w:val="22"/>
          <w:szCs w:val="21"/>
        </w:rPr>
        <w:t>ive use of excluded loads is mentioned.</w:t>
      </w:r>
    </w:p>
    <w:p w14:paraId="270ADE41" w14:textId="77777777" w:rsidR="0091647A" w:rsidRDefault="0091647A" w:rsidP="0091647A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402B93AC" w14:textId="61016A74" w:rsidR="00744637" w:rsidRDefault="00D21246" w:rsidP="00D2124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SMOGRR028</w:t>
      </w:r>
      <w:r w:rsidR="00F5596A">
        <w:rPr>
          <w:rFonts w:ascii="TradeGothic LT" w:hAnsi="TradeGothic LT"/>
          <w:sz w:val="22"/>
          <w:szCs w:val="21"/>
        </w:rPr>
        <w:t xml:space="preserve"> </w:t>
      </w:r>
      <w:r w:rsidR="009806DC">
        <w:rPr>
          <w:rFonts w:ascii="TradeGothic LT" w:hAnsi="TradeGothic LT"/>
          <w:sz w:val="22"/>
          <w:szCs w:val="21"/>
        </w:rPr>
        <w:t>calculations and methodology were reviewed again after allowing MWG participates to further review the proposal.</w:t>
      </w:r>
    </w:p>
    <w:p w14:paraId="0E5DD390" w14:textId="7398769A" w:rsidR="009806DC" w:rsidRDefault="009806DC" w:rsidP="009806D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lastRenderedPageBreak/>
        <w:t xml:space="preserve">No utility members </w:t>
      </w:r>
      <w:r w:rsidR="00DE03CD">
        <w:rPr>
          <w:rFonts w:ascii="TradeGothic LT" w:hAnsi="TradeGothic LT"/>
          <w:sz w:val="22"/>
          <w:szCs w:val="21"/>
        </w:rPr>
        <w:t>provided feedback to</w:t>
      </w:r>
      <w:r>
        <w:rPr>
          <w:rFonts w:ascii="TradeGothic LT" w:hAnsi="TradeGothic LT"/>
          <w:sz w:val="22"/>
          <w:szCs w:val="21"/>
        </w:rPr>
        <w:t xml:space="preserve"> the calculations for accuracy</w:t>
      </w:r>
      <w:r w:rsidR="00DE03CD">
        <w:rPr>
          <w:rFonts w:ascii="TradeGothic LT" w:hAnsi="TradeGothic LT"/>
          <w:sz w:val="22"/>
          <w:szCs w:val="21"/>
        </w:rPr>
        <w:t>.</w:t>
      </w:r>
      <w:r>
        <w:rPr>
          <w:rFonts w:ascii="TradeGothic LT" w:hAnsi="TradeGothic LT"/>
          <w:sz w:val="22"/>
          <w:szCs w:val="21"/>
        </w:rPr>
        <w:t xml:space="preserve"> Brian C. commented that the </w:t>
      </w:r>
      <w:r w:rsidR="00D758E4">
        <w:rPr>
          <w:rFonts w:ascii="TradeGothic LT" w:hAnsi="TradeGothic LT"/>
          <w:sz w:val="22"/>
          <w:szCs w:val="21"/>
        </w:rPr>
        <w:t>v</w:t>
      </w:r>
      <w:r w:rsidR="00C42C2D">
        <w:rPr>
          <w:rFonts w:ascii="TradeGothic LT" w:hAnsi="TradeGothic LT"/>
          <w:sz w:val="22"/>
          <w:szCs w:val="21"/>
        </w:rPr>
        <w:t xml:space="preserve">endors of the meters are the </w:t>
      </w:r>
      <w:r w:rsidR="00A0713D">
        <w:rPr>
          <w:rFonts w:ascii="TradeGothic LT" w:hAnsi="TradeGothic LT"/>
          <w:sz w:val="22"/>
          <w:szCs w:val="21"/>
        </w:rPr>
        <w:t xml:space="preserve">technical </w:t>
      </w:r>
      <w:r w:rsidR="00C42C2D">
        <w:rPr>
          <w:rFonts w:ascii="TradeGothic LT" w:hAnsi="TradeGothic LT"/>
          <w:sz w:val="22"/>
          <w:szCs w:val="21"/>
        </w:rPr>
        <w:t>exp</w:t>
      </w:r>
      <w:r w:rsidR="00991093">
        <w:rPr>
          <w:rFonts w:ascii="TradeGothic LT" w:hAnsi="TradeGothic LT"/>
          <w:sz w:val="22"/>
          <w:szCs w:val="21"/>
        </w:rPr>
        <w:t>erts</w:t>
      </w:r>
      <w:r w:rsidR="00C42C2D">
        <w:rPr>
          <w:rFonts w:ascii="TradeGothic LT" w:hAnsi="TradeGothic LT"/>
          <w:sz w:val="22"/>
          <w:szCs w:val="21"/>
        </w:rPr>
        <w:t xml:space="preserve"> in </w:t>
      </w:r>
      <w:r w:rsidR="003216C3">
        <w:rPr>
          <w:rFonts w:ascii="TradeGothic LT" w:hAnsi="TradeGothic LT"/>
          <w:sz w:val="22"/>
          <w:szCs w:val="21"/>
        </w:rPr>
        <w:t>what</w:t>
      </w:r>
      <w:r w:rsidR="007C3F0A">
        <w:rPr>
          <w:rFonts w:ascii="TradeGothic LT" w:hAnsi="TradeGothic LT"/>
          <w:sz w:val="22"/>
          <w:szCs w:val="21"/>
        </w:rPr>
        <w:t xml:space="preserve"> the meters are capable </w:t>
      </w:r>
      <w:proofErr w:type="gramStart"/>
      <w:r w:rsidR="007C3F0A">
        <w:rPr>
          <w:rFonts w:ascii="TradeGothic LT" w:hAnsi="TradeGothic LT"/>
          <w:sz w:val="22"/>
          <w:szCs w:val="21"/>
        </w:rPr>
        <w:t>of</w:t>
      </w:r>
      <w:proofErr w:type="gramEnd"/>
      <w:r w:rsidR="007C3F0A">
        <w:rPr>
          <w:rFonts w:ascii="TradeGothic LT" w:hAnsi="TradeGothic LT"/>
          <w:sz w:val="22"/>
          <w:szCs w:val="21"/>
        </w:rPr>
        <w:t xml:space="preserve"> and</w:t>
      </w:r>
      <w:r w:rsidR="004E0B1B">
        <w:rPr>
          <w:rFonts w:ascii="TradeGothic LT" w:hAnsi="TradeGothic LT"/>
          <w:sz w:val="22"/>
          <w:szCs w:val="21"/>
        </w:rPr>
        <w:t xml:space="preserve"> </w:t>
      </w:r>
      <w:r w:rsidR="00EC4B56">
        <w:rPr>
          <w:rFonts w:ascii="TradeGothic LT" w:hAnsi="TradeGothic LT"/>
          <w:sz w:val="22"/>
          <w:szCs w:val="21"/>
        </w:rPr>
        <w:t>the vendors should provide example(s) of the process for their meter in</w:t>
      </w:r>
      <w:r w:rsidR="00FF415D">
        <w:rPr>
          <w:rFonts w:ascii="TradeGothic LT" w:hAnsi="TradeGothic LT"/>
          <w:sz w:val="22"/>
          <w:szCs w:val="21"/>
        </w:rPr>
        <w:t xml:space="preserve">cluding </w:t>
      </w:r>
      <w:r w:rsidR="00750A48">
        <w:rPr>
          <w:rFonts w:ascii="TradeGothic LT" w:hAnsi="TradeGothic LT"/>
          <w:sz w:val="22"/>
          <w:szCs w:val="21"/>
        </w:rPr>
        <w:t>what</w:t>
      </w:r>
      <w:r w:rsidR="00FF415D">
        <w:rPr>
          <w:rFonts w:ascii="TradeGothic LT" w:hAnsi="TradeGothic LT"/>
          <w:sz w:val="22"/>
          <w:szCs w:val="21"/>
        </w:rPr>
        <w:t xml:space="preserve"> input</w:t>
      </w:r>
      <w:r w:rsidR="00750A48">
        <w:rPr>
          <w:rFonts w:ascii="TradeGothic LT" w:hAnsi="TradeGothic LT"/>
          <w:sz w:val="22"/>
          <w:szCs w:val="21"/>
        </w:rPr>
        <w:t xml:space="preserve"> data is required</w:t>
      </w:r>
      <w:r w:rsidR="00FF415D">
        <w:rPr>
          <w:rFonts w:ascii="TradeGothic LT" w:hAnsi="TradeGothic LT"/>
          <w:sz w:val="22"/>
          <w:szCs w:val="21"/>
        </w:rPr>
        <w:t>, necessary calculations for inputting the data to the meter</w:t>
      </w:r>
      <w:r w:rsidR="00457DD2">
        <w:rPr>
          <w:rFonts w:ascii="TradeGothic LT" w:hAnsi="TradeGothic LT"/>
          <w:sz w:val="22"/>
          <w:szCs w:val="21"/>
        </w:rPr>
        <w:t>, and details of any</w:t>
      </w:r>
      <w:r w:rsidR="007C3F0A">
        <w:rPr>
          <w:rFonts w:ascii="TradeGothic LT" w:hAnsi="TradeGothic LT"/>
          <w:sz w:val="22"/>
          <w:szCs w:val="21"/>
        </w:rPr>
        <w:t xml:space="preserve"> </w:t>
      </w:r>
      <w:r w:rsidR="001509F0">
        <w:rPr>
          <w:rFonts w:ascii="TradeGothic LT" w:hAnsi="TradeGothic LT"/>
          <w:sz w:val="22"/>
          <w:szCs w:val="21"/>
        </w:rPr>
        <w:t>modifications</w:t>
      </w:r>
      <w:r w:rsidR="00457DD2">
        <w:rPr>
          <w:rFonts w:ascii="TradeGothic LT" w:hAnsi="TradeGothic LT"/>
          <w:sz w:val="22"/>
          <w:szCs w:val="21"/>
        </w:rPr>
        <w:t>, such as firmware updates</w:t>
      </w:r>
      <w:r w:rsidR="00393FC7">
        <w:rPr>
          <w:rFonts w:ascii="TradeGothic LT" w:hAnsi="TradeGothic LT"/>
          <w:sz w:val="22"/>
          <w:szCs w:val="21"/>
        </w:rPr>
        <w:t>, needed to correctly</w:t>
      </w:r>
      <w:r w:rsidR="00A54533">
        <w:rPr>
          <w:rFonts w:ascii="TradeGothic LT" w:hAnsi="TradeGothic LT"/>
          <w:sz w:val="22"/>
          <w:szCs w:val="21"/>
        </w:rPr>
        <w:t xml:space="preserve"> </w:t>
      </w:r>
      <w:r w:rsidR="00957AAC">
        <w:rPr>
          <w:rFonts w:ascii="TradeGothic LT" w:hAnsi="TradeGothic LT"/>
          <w:sz w:val="22"/>
          <w:szCs w:val="21"/>
        </w:rPr>
        <w:t>compensate for losses</w:t>
      </w:r>
      <w:r w:rsidR="00361D2C">
        <w:rPr>
          <w:rFonts w:ascii="TradeGothic LT" w:hAnsi="TradeGothic LT"/>
          <w:sz w:val="22"/>
          <w:szCs w:val="21"/>
        </w:rPr>
        <w:t>.</w:t>
      </w:r>
      <w:r w:rsidR="00783931">
        <w:rPr>
          <w:rFonts w:ascii="TradeGothic LT" w:hAnsi="TradeGothic LT"/>
          <w:sz w:val="22"/>
          <w:szCs w:val="21"/>
        </w:rPr>
        <w:t xml:space="preserve"> </w:t>
      </w:r>
    </w:p>
    <w:p w14:paraId="221C0ABD" w14:textId="691F1ADE" w:rsidR="00F27E5A" w:rsidRPr="00465FD2" w:rsidRDefault="00E84BEF" w:rsidP="00465FD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Donald M. stated that there are missing steps that ERCOT has identified between what was included in the initial SMOGRR submittal and what is needed to calculate the compensation. To</w:t>
      </w:r>
      <w:r w:rsidR="00F27E5A">
        <w:rPr>
          <w:rFonts w:ascii="TradeGothic LT" w:hAnsi="TradeGothic LT"/>
          <w:sz w:val="22"/>
          <w:szCs w:val="21"/>
        </w:rPr>
        <w:t>m from RWE offered to work with ERCOT to submit updated comments on the SMOGRR to resolve these issues.</w:t>
      </w:r>
    </w:p>
    <w:p w14:paraId="57C57342" w14:textId="77777777" w:rsidR="00F27E5A" w:rsidRPr="00F27E5A" w:rsidRDefault="00F27E5A" w:rsidP="00F27E5A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5EF9B558" w14:textId="097F8439" w:rsidR="001962D3" w:rsidRDefault="0044691E" w:rsidP="00FA352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Calvin O. of ERCOT provided an update on SMOGRR027.</w:t>
      </w:r>
    </w:p>
    <w:p w14:paraId="5B0DE4B3" w14:textId="64C04CBE" w:rsidR="00BA1975" w:rsidRDefault="0044691E" w:rsidP="00BA197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The additional field of DSP information has been removed.</w:t>
      </w:r>
    </w:p>
    <w:p w14:paraId="404D0305" w14:textId="5B2763A3" w:rsidR="0044691E" w:rsidRDefault="0044691E" w:rsidP="00BA197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Section 3.4 of the SMOG has been modified but re-added to keep the reference to MWG review of EPS metering forms that are not incorporated into the SMOG.</w:t>
      </w:r>
    </w:p>
    <w:p w14:paraId="1B881A0D" w14:textId="5482CF54" w:rsidR="00FA3524" w:rsidRDefault="0044691E" w:rsidP="007D5ED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Brittney A. of ERCOT added that the other forms currently on the list of Other Binding Documents (</w:t>
      </w:r>
      <w:hyperlink r:id="rId9" w:history="1">
        <w:r w:rsidRPr="00867728">
          <w:rPr>
            <w:rStyle w:val="Hyperlink"/>
            <w:rFonts w:ascii="TradeGothic LT" w:hAnsi="TradeGothic LT"/>
            <w:sz w:val="22"/>
            <w:szCs w:val="21"/>
          </w:rPr>
          <w:t>https://www.ercot.com/mktrules/obd/obdlist</w:t>
        </w:r>
      </w:hyperlink>
      <w:r>
        <w:rPr>
          <w:rFonts w:ascii="TradeGothic LT" w:hAnsi="TradeGothic LT"/>
          <w:sz w:val="22"/>
          <w:szCs w:val="21"/>
        </w:rPr>
        <w:t>) will be moved into the SMOG via future SMOGRRs.</w:t>
      </w:r>
    </w:p>
    <w:p w14:paraId="3958B39D" w14:textId="2DCBF660" w:rsidR="006A7983" w:rsidRDefault="006A7983" w:rsidP="006A7983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Future SMOGRRs moving forms with no changes will be sent to the </w:t>
      </w:r>
      <w:proofErr w:type="spellStart"/>
      <w:r>
        <w:rPr>
          <w:rFonts w:ascii="TradeGothic LT" w:hAnsi="TradeGothic LT"/>
          <w:sz w:val="22"/>
          <w:szCs w:val="21"/>
        </w:rPr>
        <w:t>MeteringSubcommitee</w:t>
      </w:r>
      <w:proofErr w:type="spellEnd"/>
      <w:r>
        <w:rPr>
          <w:rFonts w:ascii="TradeGothic LT" w:hAnsi="TradeGothic LT"/>
          <w:sz w:val="22"/>
          <w:szCs w:val="21"/>
        </w:rPr>
        <w:t xml:space="preserve"> email list.</w:t>
      </w:r>
    </w:p>
    <w:p w14:paraId="04B77F85" w14:textId="0B5D09E1" w:rsidR="006A7983" w:rsidRDefault="006A7983" w:rsidP="00502F73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If there are </w:t>
      </w:r>
      <w:r w:rsidR="005A5DBE">
        <w:rPr>
          <w:rFonts w:ascii="TradeGothic LT" w:hAnsi="TradeGothic LT"/>
          <w:sz w:val="22"/>
          <w:szCs w:val="21"/>
        </w:rPr>
        <w:t>no</w:t>
      </w:r>
      <w:r>
        <w:rPr>
          <w:rFonts w:ascii="TradeGothic LT" w:hAnsi="TradeGothic LT"/>
          <w:sz w:val="22"/>
          <w:szCs w:val="21"/>
        </w:rPr>
        <w:t xml:space="preserve"> questions or comments on the SMOGRRs moving forms within a set time limit, then the SMOGRR will be moved forward without a meeting. If question or comments are brought/needed, then a MWG meeting will be scheduled.</w:t>
      </w:r>
    </w:p>
    <w:p w14:paraId="1C9ECB77" w14:textId="27D79A42" w:rsidR="007B01C9" w:rsidRDefault="007B01C9" w:rsidP="007D5ED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The MWG recommends approval of SMOGRR027 with ERCOT 12</w:t>
      </w:r>
      <w:r w:rsidR="003B5445">
        <w:rPr>
          <w:rFonts w:ascii="TradeGothic LT" w:hAnsi="TradeGothic LT"/>
          <w:sz w:val="22"/>
          <w:szCs w:val="21"/>
        </w:rPr>
        <w:t>/</w:t>
      </w:r>
      <w:r>
        <w:rPr>
          <w:rFonts w:ascii="TradeGothic LT" w:hAnsi="TradeGothic LT"/>
          <w:sz w:val="22"/>
          <w:szCs w:val="21"/>
        </w:rPr>
        <w:t>05</w:t>
      </w:r>
      <w:r w:rsidR="003B5445">
        <w:rPr>
          <w:rFonts w:ascii="TradeGothic LT" w:hAnsi="TradeGothic LT"/>
          <w:sz w:val="22"/>
          <w:szCs w:val="21"/>
        </w:rPr>
        <w:t>/</w:t>
      </w:r>
      <w:r>
        <w:rPr>
          <w:rFonts w:ascii="TradeGothic LT" w:hAnsi="TradeGothic LT"/>
          <w:sz w:val="22"/>
          <w:szCs w:val="21"/>
        </w:rPr>
        <w:t>23 comments.</w:t>
      </w:r>
    </w:p>
    <w:p w14:paraId="2F040299" w14:textId="77777777" w:rsidR="00D94D96" w:rsidRPr="00D94D96" w:rsidRDefault="00D94D96" w:rsidP="00D94D96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7CEC1450" w14:textId="7A0DE8F1" w:rsidR="006C0384" w:rsidRDefault="006C0384" w:rsidP="006C038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Donald M. </w:t>
      </w:r>
      <w:r w:rsidR="007B01C9">
        <w:rPr>
          <w:rFonts w:ascii="TradeGothic LT" w:hAnsi="TradeGothic LT"/>
          <w:sz w:val="22"/>
          <w:szCs w:val="21"/>
        </w:rPr>
        <w:t>presented the new guidelines ERCOT has developed for approval of temporary exemptions.</w:t>
      </w:r>
    </w:p>
    <w:p w14:paraId="53C2A6B6" w14:textId="68ED6F89" w:rsidR="00F67D5D" w:rsidRDefault="00F67D5D" w:rsidP="007B01C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The new guidelines will be posted to the ERCOT EPS metering webpage.</w:t>
      </w:r>
    </w:p>
    <w:p w14:paraId="6A32FE8A" w14:textId="3CBC803C" w:rsidR="00744637" w:rsidRDefault="007B01C9" w:rsidP="007B01C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Some issues that were previously granted temporary exemptions will now be reported as protocol violations via ERCOT internal processes.</w:t>
      </w:r>
    </w:p>
    <w:p w14:paraId="29425750" w14:textId="3C2D1FBE" w:rsidR="007B01C9" w:rsidRDefault="007B01C9" w:rsidP="007B01C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Debbie G. of Oncor asked about notifications of the </w:t>
      </w:r>
      <w:r w:rsidR="00890725">
        <w:rPr>
          <w:rFonts w:ascii="TradeGothic LT" w:hAnsi="TradeGothic LT"/>
          <w:sz w:val="22"/>
          <w:szCs w:val="21"/>
        </w:rPr>
        <w:t xml:space="preserve">violation </w:t>
      </w:r>
      <w:r>
        <w:rPr>
          <w:rFonts w:ascii="TradeGothic LT" w:hAnsi="TradeGothic LT"/>
          <w:sz w:val="22"/>
          <w:szCs w:val="21"/>
        </w:rPr>
        <w:t>reports and Donald M. expounded that ERCOT will inform the TDSPs of any reports they make and as the process develop</w:t>
      </w:r>
      <w:r w:rsidR="003B5445">
        <w:rPr>
          <w:rFonts w:ascii="TradeGothic LT" w:hAnsi="TradeGothic LT"/>
          <w:sz w:val="22"/>
          <w:szCs w:val="21"/>
        </w:rPr>
        <w:t>s</w:t>
      </w:r>
      <w:r>
        <w:rPr>
          <w:rFonts w:ascii="TradeGothic LT" w:hAnsi="TradeGothic LT"/>
          <w:sz w:val="22"/>
          <w:szCs w:val="21"/>
        </w:rPr>
        <w:t xml:space="preserve"> will provide further information.</w:t>
      </w:r>
    </w:p>
    <w:p w14:paraId="4CD6049A" w14:textId="77777777" w:rsidR="007B01C9" w:rsidRDefault="007B01C9" w:rsidP="007B01C9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13BA2B00" w14:textId="0A963ECE" w:rsidR="004E2FEA" w:rsidRDefault="00733F4F" w:rsidP="004E2FE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 </w:t>
      </w:r>
      <w:r w:rsidR="00EA29CF">
        <w:rPr>
          <w:rFonts w:ascii="TradeGothic LT" w:hAnsi="TradeGothic LT"/>
          <w:sz w:val="22"/>
          <w:szCs w:val="21"/>
        </w:rPr>
        <w:t>New or other business items:</w:t>
      </w:r>
      <w:r w:rsidR="004E2FEA">
        <w:rPr>
          <w:rFonts w:ascii="TradeGothic LT" w:hAnsi="TradeGothic LT"/>
          <w:sz w:val="22"/>
          <w:szCs w:val="21"/>
        </w:rPr>
        <w:t xml:space="preserve"> </w:t>
      </w:r>
    </w:p>
    <w:p w14:paraId="40F41C83" w14:textId="779455DC" w:rsidR="004E2FEA" w:rsidRPr="004E2FEA" w:rsidRDefault="007B01C9" w:rsidP="004E2FEA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Another WebEx meeting will be scheduled to complete review of SMOGRR028.</w:t>
      </w:r>
    </w:p>
    <w:p w14:paraId="101E49D8" w14:textId="77777777" w:rsidR="008B5B52" w:rsidRDefault="008B5B52" w:rsidP="008B5B52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4C911924" w14:textId="2785C71C" w:rsidR="00870098" w:rsidRPr="004F59DC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>Meeting Summary and Closing Remarks</w:t>
      </w:r>
      <w:r w:rsidR="00153EF4" w:rsidRPr="0063517C">
        <w:rPr>
          <w:rFonts w:ascii="TradeGothic LT" w:hAnsi="TradeGothic LT"/>
          <w:color w:val="000000"/>
          <w:sz w:val="22"/>
          <w:szCs w:val="21"/>
        </w:rPr>
        <w:t xml:space="preserve">: </w:t>
      </w:r>
      <w:r w:rsidR="004E2FEA">
        <w:rPr>
          <w:rFonts w:ascii="TradeGothic LT" w:hAnsi="TradeGothic LT"/>
          <w:color w:val="000000"/>
          <w:sz w:val="22"/>
          <w:szCs w:val="21"/>
        </w:rPr>
        <w:t>Michael</w:t>
      </w:r>
      <w:r w:rsidR="00467440">
        <w:rPr>
          <w:rFonts w:ascii="TradeGothic LT" w:hAnsi="TradeGothic LT"/>
          <w:color w:val="000000"/>
          <w:sz w:val="22"/>
          <w:szCs w:val="21"/>
        </w:rPr>
        <w:t xml:space="preserve"> B.</w:t>
      </w:r>
    </w:p>
    <w:p w14:paraId="0B0EC09C" w14:textId="3A9BB5B9" w:rsidR="004F59DC" w:rsidRDefault="007B01C9" w:rsidP="004F59D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b/>
          <w:bCs/>
          <w:sz w:val="22"/>
          <w:szCs w:val="21"/>
        </w:rPr>
        <w:t>MWG to recommend</w:t>
      </w:r>
      <w:r w:rsidR="006C04BE">
        <w:rPr>
          <w:rFonts w:ascii="TradeGothic LT" w:hAnsi="TradeGothic LT"/>
          <w:b/>
          <w:bCs/>
          <w:sz w:val="22"/>
          <w:szCs w:val="21"/>
        </w:rPr>
        <w:t xml:space="preserve"> to WMS</w:t>
      </w:r>
      <w:r>
        <w:rPr>
          <w:rFonts w:ascii="TradeGothic LT" w:hAnsi="TradeGothic LT"/>
          <w:b/>
          <w:bCs/>
          <w:sz w:val="22"/>
          <w:szCs w:val="21"/>
        </w:rPr>
        <w:t xml:space="preserve"> approval of:</w:t>
      </w:r>
    </w:p>
    <w:p w14:paraId="4F0103E2" w14:textId="4D3341C2" w:rsidR="004E2FEA" w:rsidRDefault="007B01C9" w:rsidP="00265BB7">
      <w:pPr>
        <w:pStyle w:val="NormalWeb"/>
        <w:numPr>
          <w:ilvl w:val="0"/>
          <w:numId w:val="7"/>
        </w:numPr>
        <w:tabs>
          <w:tab w:val="left" w:pos="1710"/>
        </w:tabs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NPRR197 with statements</w:t>
      </w:r>
      <w:r w:rsidR="00890725">
        <w:rPr>
          <w:rFonts w:ascii="TradeGothic LT" w:hAnsi="TradeGothic LT"/>
          <w:sz w:val="22"/>
          <w:szCs w:val="21"/>
        </w:rPr>
        <w:t xml:space="preserve"> t</w:t>
      </w:r>
      <w:r>
        <w:rPr>
          <w:rFonts w:ascii="TradeGothic LT" w:hAnsi="TradeGothic LT"/>
          <w:sz w:val="22"/>
          <w:szCs w:val="21"/>
        </w:rPr>
        <w:t>hat TDSP</w:t>
      </w:r>
      <w:r w:rsidR="00890725">
        <w:rPr>
          <w:rFonts w:ascii="TradeGothic LT" w:hAnsi="TradeGothic LT"/>
          <w:sz w:val="22"/>
          <w:szCs w:val="21"/>
        </w:rPr>
        <w:t>s</w:t>
      </w:r>
      <w:r>
        <w:rPr>
          <w:rFonts w:ascii="TradeGothic LT" w:hAnsi="TradeGothic LT"/>
          <w:sz w:val="22"/>
          <w:szCs w:val="21"/>
        </w:rPr>
        <w:t xml:space="preserve"> may need to review their tariffs for potential impacts and </w:t>
      </w:r>
      <w:r w:rsidR="00890725">
        <w:rPr>
          <w:rFonts w:ascii="TradeGothic LT" w:hAnsi="TradeGothic LT"/>
          <w:sz w:val="22"/>
          <w:szCs w:val="21"/>
        </w:rPr>
        <w:t>there are concerns over excessive use of excluded load EPS meter points.</w:t>
      </w:r>
    </w:p>
    <w:p w14:paraId="275D72FB" w14:textId="26BB5D95" w:rsidR="00FA3524" w:rsidRDefault="00890725" w:rsidP="00265BB7">
      <w:pPr>
        <w:pStyle w:val="NormalWeb"/>
        <w:numPr>
          <w:ilvl w:val="0"/>
          <w:numId w:val="7"/>
        </w:numPr>
        <w:tabs>
          <w:tab w:val="left" w:pos="1710"/>
        </w:tabs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SMOGRR027 with the ERCOT 120523 comments.</w:t>
      </w:r>
    </w:p>
    <w:p w14:paraId="156D78BD" w14:textId="7A3356E4" w:rsidR="00480A95" w:rsidRDefault="00480A95" w:rsidP="00480A95">
      <w:pPr>
        <w:pStyle w:val="NormalWeb"/>
        <w:tabs>
          <w:tab w:val="left" w:pos="1710"/>
        </w:tabs>
        <w:spacing w:before="0" w:beforeAutospacing="0" w:after="0" w:afterAutospacing="0"/>
        <w:ind w:left="2160"/>
        <w:rPr>
          <w:rFonts w:ascii="TradeGothic LT" w:hAnsi="TradeGothic LT"/>
          <w:sz w:val="22"/>
          <w:szCs w:val="21"/>
        </w:rPr>
      </w:pPr>
    </w:p>
    <w:p w14:paraId="7B945959" w14:textId="6C75E7ED" w:rsidR="00493217" w:rsidRPr="0063517C" w:rsidRDefault="004D3FEE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E</w:t>
      </w:r>
      <w:r w:rsidR="009010DD" w:rsidRPr="0063517C">
        <w:rPr>
          <w:rFonts w:ascii="TradeGothic LT" w:hAnsi="TradeGothic LT"/>
          <w:color w:val="000000"/>
          <w:sz w:val="22"/>
          <w:szCs w:val="21"/>
        </w:rPr>
        <w:t xml:space="preserve">nd of Meeting </w:t>
      </w:r>
      <w:r w:rsidR="005B5CEE" w:rsidRPr="0063517C">
        <w:rPr>
          <w:rFonts w:ascii="TradeGothic LT" w:hAnsi="TradeGothic LT"/>
          <w:color w:val="000000"/>
          <w:sz w:val="22"/>
          <w:szCs w:val="21"/>
        </w:rPr>
        <w:t>(</w:t>
      </w:r>
      <w:r w:rsidR="00581547">
        <w:rPr>
          <w:rFonts w:ascii="TradeGothic LT" w:hAnsi="TradeGothic LT"/>
          <w:color w:val="000000"/>
          <w:sz w:val="22"/>
          <w:szCs w:val="21"/>
        </w:rPr>
        <w:t>1</w:t>
      </w:r>
      <w:r w:rsidR="00890725">
        <w:rPr>
          <w:rFonts w:ascii="TradeGothic LT" w:hAnsi="TradeGothic LT"/>
          <w:color w:val="000000"/>
          <w:sz w:val="22"/>
          <w:szCs w:val="21"/>
        </w:rPr>
        <w:t>1</w:t>
      </w:r>
      <w:r w:rsidR="00324C25" w:rsidRPr="0063517C">
        <w:rPr>
          <w:rFonts w:ascii="TradeGothic LT" w:hAnsi="TradeGothic LT"/>
          <w:color w:val="000000"/>
          <w:sz w:val="22"/>
          <w:szCs w:val="21"/>
        </w:rPr>
        <w:t>:</w:t>
      </w:r>
      <w:r w:rsidR="00890725">
        <w:rPr>
          <w:rFonts w:ascii="TradeGothic LT" w:hAnsi="TradeGothic LT"/>
          <w:color w:val="000000"/>
          <w:sz w:val="22"/>
          <w:szCs w:val="21"/>
        </w:rPr>
        <w:t>32</w:t>
      </w:r>
      <w:r w:rsidR="00EA29CF">
        <w:rPr>
          <w:rFonts w:ascii="TradeGothic LT" w:hAnsi="TradeGothic LT"/>
          <w:color w:val="000000"/>
          <w:sz w:val="22"/>
          <w:szCs w:val="21"/>
        </w:rPr>
        <w:t>)</w:t>
      </w:r>
    </w:p>
    <w:sectPr w:rsidR="00493217" w:rsidRPr="0063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5FA5" w14:textId="77777777" w:rsidR="0025113F" w:rsidRDefault="0025113F" w:rsidP="006D7668">
      <w:pPr>
        <w:spacing w:after="0" w:line="240" w:lineRule="auto"/>
      </w:pPr>
      <w:r>
        <w:separator/>
      </w:r>
    </w:p>
  </w:endnote>
  <w:endnote w:type="continuationSeparator" w:id="0">
    <w:p w14:paraId="3D1041A9" w14:textId="77777777" w:rsidR="0025113F" w:rsidRDefault="0025113F" w:rsidP="006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altName w:val="Calibri"/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F312" w14:textId="77777777" w:rsidR="0025113F" w:rsidRDefault="0025113F" w:rsidP="006D7668">
      <w:pPr>
        <w:spacing w:after="0" w:line="240" w:lineRule="auto"/>
      </w:pPr>
      <w:r>
        <w:separator/>
      </w:r>
    </w:p>
  </w:footnote>
  <w:footnote w:type="continuationSeparator" w:id="0">
    <w:p w14:paraId="49F71ACC" w14:textId="77777777" w:rsidR="0025113F" w:rsidRDefault="0025113F" w:rsidP="006D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5AC8"/>
    <w:multiLevelType w:val="hybridMultilevel"/>
    <w:tmpl w:val="EF065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0857960"/>
    <w:multiLevelType w:val="hybridMultilevel"/>
    <w:tmpl w:val="4D564FE8"/>
    <w:lvl w:ilvl="0" w:tplc="F814D83E">
      <w:start w:val="8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A05EF"/>
    <w:multiLevelType w:val="hybridMultilevel"/>
    <w:tmpl w:val="478AF60E"/>
    <w:lvl w:ilvl="0" w:tplc="3C9E0B9A">
      <w:start w:val="3"/>
      <w:numFmt w:val="decimal"/>
      <w:lvlText w:val="%1."/>
      <w:lvlJc w:val="left"/>
      <w:pPr>
        <w:ind w:left="162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B37B71"/>
    <w:multiLevelType w:val="hybridMultilevel"/>
    <w:tmpl w:val="EC8EABEE"/>
    <w:lvl w:ilvl="0" w:tplc="102CE996">
      <w:start w:val="12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21F69"/>
    <w:multiLevelType w:val="hybridMultilevel"/>
    <w:tmpl w:val="74822310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6A447A57"/>
    <w:multiLevelType w:val="hybridMultilevel"/>
    <w:tmpl w:val="2AA43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F6BA2"/>
    <w:multiLevelType w:val="hybridMultilevel"/>
    <w:tmpl w:val="F2B80D5A"/>
    <w:lvl w:ilvl="0" w:tplc="742295F0">
      <w:start w:val="2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78200">
    <w:abstractNumId w:val="5"/>
  </w:num>
  <w:num w:numId="2" w16cid:durableId="1751999036">
    <w:abstractNumId w:val="0"/>
  </w:num>
  <w:num w:numId="3" w16cid:durableId="717708246">
    <w:abstractNumId w:val="3"/>
  </w:num>
  <w:num w:numId="4" w16cid:durableId="606422921">
    <w:abstractNumId w:val="1"/>
  </w:num>
  <w:num w:numId="5" w16cid:durableId="1852375548">
    <w:abstractNumId w:val="2"/>
  </w:num>
  <w:num w:numId="6" w16cid:durableId="1388529240">
    <w:abstractNumId w:val="6"/>
  </w:num>
  <w:num w:numId="7" w16cid:durableId="123352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DD"/>
    <w:rsid w:val="0000313F"/>
    <w:rsid w:val="000043E7"/>
    <w:rsid w:val="000138A4"/>
    <w:rsid w:val="00015C2E"/>
    <w:rsid w:val="000239D6"/>
    <w:rsid w:val="0003082E"/>
    <w:rsid w:val="00032FC1"/>
    <w:rsid w:val="00033F10"/>
    <w:rsid w:val="0004359C"/>
    <w:rsid w:val="00043EFE"/>
    <w:rsid w:val="00044A20"/>
    <w:rsid w:val="00052FD1"/>
    <w:rsid w:val="0005406E"/>
    <w:rsid w:val="00056B71"/>
    <w:rsid w:val="0007455A"/>
    <w:rsid w:val="000769CA"/>
    <w:rsid w:val="0007799E"/>
    <w:rsid w:val="00087C27"/>
    <w:rsid w:val="000913A4"/>
    <w:rsid w:val="000A70FB"/>
    <w:rsid w:val="000A71AA"/>
    <w:rsid w:val="000B0C30"/>
    <w:rsid w:val="000B61D6"/>
    <w:rsid w:val="000B6C4D"/>
    <w:rsid w:val="000B7175"/>
    <w:rsid w:val="000C3240"/>
    <w:rsid w:val="000E124C"/>
    <w:rsid w:val="000E733E"/>
    <w:rsid w:val="000E739A"/>
    <w:rsid w:val="000F3E95"/>
    <w:rsid w:val="000F7984"/>
    <w:rsid w:val="00102AB9"/>
    <w:rsid w:val="00102E51"/>
    <w:rsid w:val="00111166"/>
    <w:rsid w:val="0011338F"/>
    <w:rsid w:val="00113861"/>
    <w:rsid w:val="00114028"/>
    <w:rsid w:val="001176E3"/>
    <w:rsid w:val="0014220B"/>
    <w:rsid w:val="001470BC"/>
    <w:rsid w:val="001509F0"/>
    <w:rsid w:val="00153EF4"/>
    <w:rsid w:val="00171205"/>
    <w:rsid w:val="00174D1D"/>
    <w:rsid w:val="00176304"/>
    <w:rsid w:val="00177D70"/>
    <w:rsid w:val="00184D2D"/>
    <w:rsid w:val="0019124B"/>
    <w:rsid w:val="001962D3"/>
    <w:rsid w:val="0019795B"/>
    <w:rsid w:val="001A0A5F"/>
    <w:rsid w:val="001A3914"/>
    <w:rsid w:val="001A3EF9"/>
    <w:rsid w:val="001B040C"/>
    <w:rsid w:val="001B0C6D"/>
    <w:rsid w:val="001B1D30"/>
    <w:rsid w:val="001B42EA"/>
    <w:rsid w:val="001B4B49"/>
    <w:rsid w:val="001B73AC"/>
    <w:rsid w:val="001C6DD8"/>
    <w:rsid w:val="001D3DD1"/>
    <w:rsid w:val="001F14E4"/>
    <w:rsid w:val="002014F2"/>
    <w:rsid w:val="00210478"/>
    <w:rsid w:val="0021396E"/>
    <w:rsid w:val="00217A2B"/>
    <w:rsid w:val="00220A26"/>
    <w:rsid w:val="002273B6"/>
    <w:rsid w:val="0023011A"/>
    <w:rsid w:val="00246D2A"/>
    <w:rsid w:val="0025113F"/>
    <w:rsid w:val="00263D93"/>
    <w:rsid w:val="00265BB7"/>
    <w:rsid w:val="00271B53"/>
    <w:rsid w:val="00273B7B"/>
    <w:rsid w:val="00275040"/>
    <w:rsid w:val="00284814"/>
    <w:rsid w:val="00292C64"/>
    <w:rsid w:val="002B24F7"/>
    <w:rsid w:val="002B4E62"/>
    <w:rsid w:val="002C3C42"/>
    <w:rsid w:val="002D329A"/>
    <w:rsid w:val="002D6A51"/>
    <w:rsid w:val="002E27A3"/>
    <w:rsid w:val="002F41DB"/>
    <w:rsid w:val="002F4BB8"/>
    <w:rsid w:val="002F7495"/>
    <w:rsid w:val="00302D97"/>
    <w:rsid w:val="0031246D"/>
    <w:rsid w:val="0031584B"/>
    <w:rsid w:val="003204BC"/>
    <w:rsid w:val="00320DEE"/>
    <w:rsid w:val="003216C3"/>
    <w:rsid w:val="00323008"/>
    <w:rsid w:val="00324C25"/>
    <w:rsid w:val="00326086"/>
    <w:rsid w:val="00340CC7"/>
    <w:rsid w:val="003513CF"/>
    <w:rsid w:val="0035426A"/>
    <w:rsid w:val="00356DD1"/>
    <w:rsid w:val="00360078"/>
    <w:rsid w:val="003606F6"/>
    <w:rsid w:val="00361D2C"/>
    <w:rsid w:val="00361D76"/>
    <w:rsid w:val="00363F4B"/>
    <w:rsid w:val="00377384"/>
    <w:rsid w:val="00381164"/>
    <w:rsid w:val="00385001"/>
    <w:rsid w:val="00385E36"/>
    <w:rsid w:val="0038730D"/>
    <w:rsid w:val="0039115A"/>
    <w:rsid w:val="00392596"/>
    <w:rsid w:val="00392D6B"/>
    <w:rsid w:val="00393FC7"/>
    <w:rsid w:val="0039491F"/>
    <w:rsid w:val="00396A03"/>
    <w:rsid w:val="00397913"/>
    <w:rsid w:val="003A38B8"/>
    <w:rsid w:val="003A6A54"/>
    <w:rsid w:val="003B5445"/>
    <w:rsid w:val="003B6581"/>
    <w:rsid w:val="003C05BB"/>
    <w:rsid w:val="003C27E3"/>
    <w:rsid w:val="003C4D82"/>
    <w:rsid w:val="003C7E44"/>
    <w:rsid w:val="003D100A"/>
    <w:rsid w:val="003D15A6"/>
    <w:rsid w:val="003D3312"/>
    <w:rsid w:val="003D5B53"/>
    <w:rsid w:val="003D7E79"/>
    <w:rsid w:val="003E3E79"/>
    <w:rsid w:val="003E46D3"/>
    <w:rsid w:val="003F24B8"/>
    <w:rsid w:val="003F451F"/>
    <w:rsid w:val="003F642A"/>
    <w:rsid w:val="00404B2B"/>
    <w:rsid w:val="00407B8F"/>
    <w:rsid w:val="00412B87"/>
    <w:rsid w:val="00420CF8"/>
    <w:rsid w:val="0042303F"/>
    <w:rsid w:val="004237AE"/>
    <w:rsid w:val="00430C6E"/>
    <w:rsid w:val="004427AE"/>
    <w:rsid w:val="00442A2C"/>
    <w:rsid w:val="0044691E"/>
    <w:rsid w:val="004469BC"/>
    <w:rsid w:val="00451272"/>
    <w:rsid w:val="00457DD2"/>
    <w:rsid w:val="00465FD2"/>
    <w:rsid w:val="0046615E"/>
    <w:rsid w:val="00467440"/>
    <w:rsid w:val="0047060F"/>
    <w:rsid w:val="00472762"/>
    <w:rsid w:val="004730C7"/>
    <w:rsid w:val="004734AC"/>
    <w:rsid w:val="00480A95"/>
    <w:rsid w:val="00481434"/>
    <w:rsid w:val="00490ECD"/>
    <w:rsid w:val="00491628"/>
    <w:rsid w:val="00491E6F"/>
    <w:rsid w:val="00493217"/>
    <w:rsid w:val="004A7C8F"/>
    <w:rsid w:val="004B5BC4"/>
    <w:rsid w:val="004C3608"/>
    <w:rsid w:val="004D3CA4"/>
    <w:rsid w:val="004D3FEE"/>
    <w:rsid w:val="004E0B1B"/>
    <w:rsid w:val="004E2FEA"/>
    <w:rsid w:val="004E462D"/>
    <w:rsid w:val="004E5766"/>
    <w:rsid w:val="004F2611"/>
    <w:rsid w:val="004F50DC"/>
    <w:rsid w:val="004F59DC"/>
    <w:rsid w:val="0050072C"/>
    <w:rsid w:val="00501B21"/>
    <w:rsid w:val="00502F73"/>
    <w:rsid w:val="00512A02"/>
    <w:rsid w:val="00512D0B"/>
    <w:rsid w:val="00530F39"/>
    <w:rsid w:val="005351B7"/>
    <w:rsid w:val="00541C28"/>
    <w:rsid w:val="00542855"/>
    <w:rsid w:val="005436D7"/>
    <w:rsid w:val="00551065"/>
    <w:rsid w:val="00552CA2"/>
    <w:rsid w:val="00561E6B"/>
    <w:rsid w:val="00562D1E"/>
    <w:rsid w:val="00567D6D"/>
    <w:rsid w:val="00572186"/>
    <w:rsid w:val="005730B8"/>
    <w:rsid w:val="00581547"/>
    <w:rsid w:val="00581FB3"/>
    <w:rsid w:val="00583A94"/>
    <w:rsid w:val="00587DFA"/>
    <w:rsid w:val="0059017D"/>
    <w:rsid w:val="00591480"/>
    <w:rsid w:val="005943D6"/>
    <w:rsid w:val="00597D96"/>
    <w:rsid w:val="005A287D"/>
    <w:rsid w:val="005A3AA3"/>
    <w:rsid w:val="005A5DBE"/>
    <w:rsid w:val="005B5B6A"/>
    <w:rsid w:val="005B5CEE"/>
    <w:rsid w:val="005C1911"/>
    <w:rsid w:val="005C2E2B"/>
    <w:rsid w:val="005D3F5D"/>
    <w:rsid w:val="005D5946"/>
    <w:rsid w:val="005E0933"/>
    <w:rsid w:val="005E4609"/>
    <w:rsid w:val="005F7702"/>
    <w:rsid w:val="00606D50"/>
    <w:rsid w:val="0061146A"/>
    <w:rsid w:val="0061391C"/>
    <w:rsid w:val="00621E7D"/>
    <w:rsid w:val="006316E6"/>
    <w:rsid w:val="00631E07"/>
    <w:rsid w:val="00633977"/>
    <w:rsid w:val="0063399C"/>
    <w:rsid w:val="00634411"/>
    <w:rsid w:val="0063517C"/>
    <w:rsid w:val="0063751E"/>
    <w:rsid w:val="00641385"/>
    <w:rsid w:val="0064554F"/>
    <w:rsid w:val="00646E1D"/>
    <w:rsid w:val="00650213"/>
    <w:rsid w:val="00651CF8"/>
    <w:rsid w:val="00655981"/>
    <w:rsid w:val="00655F14"/>
    <w:rsid w:val="00657354"/>
    <w:rsid w:val="00673079"/>
    <w:rsid w:val="006738A0"/>
    <w:rsid w:val="0068141C"/>
    <w:rsid w:val="006848DC"/>
    <w:rsid w:val="00692635"/>
    <w:rsid w:val="00697C95"/>
    <w:rsid w:val="006A0590"/>
    <w:rsid w:val="006A130C"/>
    <w:rsid w:val="006A5D0D"/>
    <w:rsid w:val="006A63A2"/>
    <w:rsid w:val="006A6E27"/>
    <w:rsid w:val="006A7983"/>
    <w:rsid w:val="006B17D1"/>
    <w:rsid w:val="006B242C"/>
    <w:rsid w:val="006B38B6"/>
    <w:rsid w:val="006C0384"/>
    <w:rsid w:val="006C04BE"/>
    <w:rsid w:val="006D36F3"/>
    <w:rsid w:val="006D4117"/>
    <w:rsid w:val="006D563A"/>
    <w:rsid w:val="006D7668"/>
    <w:rsid w:val="006F0A82"/>
    <w:rsid w:val="006F4729"/>
    <w:rsid w:val="006F71A1"/>
    <w:rsid w:val="00703ACD"/>
    <w:rsid w:val="00703B46"/>
    <w:rsid w:val="0071317E"/>
    <w:rsid w:val="0072692C"/>
    <w:rsid w:val="00733F4F"/>
    <w:rsid w:val="007343A7"/>
    <w:rsid w:val="007348DD"/>
    <w:rsid w:val="00735D61"/>
    <w:rsid w:val="007422E8"/>
    <w:rsid w:val="007438A0"/>
    <w:rsid w:val="00744637"/>
    <w:rsid w:val="00750139"/>
    <w:rsid w:val="00750A48"/>
    <w:rsid w:val="00750FBE"/>
    <w:rsid w:val="00753818"/>
    <w:rsid w:val="0076668F"/>
    <w:rsid w:val="0077709F"/>
    <w:rsid w:val="00783931"/>
    <w:rsid w:val="00785747"/>
    <w:rsid w:val="007968AA"/>
    <w:rsid w:val="007A6809"/>
    <w:rsid w:val="007A6D34"/>
    <w:rsid w:val="007B01C9"/>
    <w:rsid w:val="007B06D2"/>
    <w:rsid w:val="007B097B"/>
    <w:rsid w:val="007B3120"/>
    <w:rsid w:val="007B6C4D"/>
    <w:rsid w:val="007C358B"/>
    <w:rsid w:val="007C3F0A"/>
    <w:rsid w:val="007D0324"/>
    <w:rsid w:val="007D1A1E"/>
    <w:rsid w:val="007D2E27"/>
    <w:rsid w:val="007D2ED7"/>
    <w:rsid w:val="007D5EDF"/>
    <w:rsid w:val="007E1F56"/>
    <w:rsid w:val="007E277B"/>
    <w:rsid w:val="007E353D"/>
    <w:rsid w:val="007E3755"/>
    <w:rsid w:val="007E5175"/>
    <w:rsid w:val="007E6A2D"/>
    <w:rsid w:val="008039FA"/>
    <w:rsid w:val="008073BB"/>
    <w:rsid w:val="00810136"/>
    <w:rsid w:val="008128B8"/>
    <w:rsid w:val="00813997"/>
    <w:rsid w:val="00815C00"/>
    <w:rsid w:val="00823B2A"/>
    <w:rsid w:val="008250B3"/>
    <w:rsid w:val="008324C0"/>
    <w:rsid w:val="008344ED"/>
    <w:rsid w:val="008455B8"/>
    <w:rsid w:val="00852670"/>
    <w:rsid w:val="00854236"/>
    <w:rsid w:val="00860637"/>
    <w:rsid w:val="00862222"/>
    <w:rsid w:val="008628B9"/>
    <w:rsid w:val="008678B3"/>
    <w:rsid w:val="00870098"/>
    <w:rsid w:val="00872601"/>
    <w:rsid w:val="00873582"/>
    <w:rsid w:val="00882179"/>
    <w:rsid w:val="008824AD"/>
    <w:rsid w:val="008878BE"/>
    <w:rsid w:val="00890725"/>
    <w:rsid w:val="00893F73"/>
    <w:rsid w:val="00895AD6"/>
    <w:rsid w:val="008B0981"/>
    <w:rsid w:val="008B32B3"/>
    <w:rsid w:val="008B4141"/>
    <w:rsid w:val="008B5B52"/>
    <w:rsid w:val="008C21A4"/>
    <w:rsid w:val="008C62F5"/>
    <w:rsid w:val="008D41AE"/>
    <w:rsid w:val="008D4E18"/>
    <w:rsid w:val="008E25F0"/>
    <w:rsid w:val="008E339B"/>
    <w:rsid w:val="008E4E15"/>
    <w:rsid w:val="008F0BDA"/>
    <w:rsid w:val="008F302F"/>
    <w:rsid w:val="009010DD"/>
    <w:rsid w:val="00911840"/>
    <w:rsid w:val="00912E17"/>
    <w:rsid w:val="0091647A"/>
    <w:rsid w:val="00931D27"/>
    <w:rsid w:val="00943D0E"/>
    <w:rsid w:val="009500DA"/>
    <w:rsid w:val="00951AE4"/>
    <w:rsid w:val="00951DEB"/>
    <w:rsid w:val="00954EFC"/>
    <w:rsid w:val="00955D7F"/>
    <w:rsid w:val="00956E2A"/>
    <w:rsid w:val="00957AAC"/>
    <w:rsid w:val="0096358F"/>
    <w:rsid w:val="00965F14"/>
    <w:rsid w:val="00966EF8"/>
    <w:rsid w:val="0097518A"/>
    <w:rsid w:val="009806DC"/>
    <w:rsid w:val="0098249F"/>
    <w:rsid w:val="00984B46"/>
    <w:rsid w:val="00991093"/>
    <w:rsid w:val="009979F7"/>
    <w:rsid w:val="009A2165"/>
    <w:rsid w:val="009A2AF4"/>
    <w:rsid w:val="009B2E16"/>
    <w:rsid w:val="009B7592"/>
    <w:rsid w:val="009C6AA2"/>
    <w:rsid w:val="009E3358"/>
    <w:rsid w:val="009F080B"/>
    <w:rsid w:val="009F4281"/>
    <w:rsid w:val="009F7FD6"/>
    <w:rsid w:val="00A04916"/>
    <w:rsid w:val="00A056D5"/>
    <w:rsid w:val="00A0713D"/>
    <w:rsid w:val="00A1737C"/>
    <w:rsid w:val="00A2090E"/>
    <w:rsid w:val="00A22725"/>
    <w:rsid w:val="00A34706"/>
    <w:rsid w:val="00A4710C"/>
    <w:rsid w:val="00A54533"/>
    <w:rsid w:val="00A5538E"/>
    <w:rsid w:val="00A624D1"/>
    <w:rsid w:val="00A82080"/>
    <w:rsid w:val="00A93F87"/>
    <w:rsid w:val="00A95A4C"/>
    <w:rsid w:val="00AA10E5"/>
    <w:rsid w:val="00AA1497"/>
    <w:rsid w:val="00AA505C"/>
    <w:rsid w:val="00AA57CC"/>
    <w:rsid w:val="00AB1006"/>
    <w:rsid w:val="00AB1C90"/>
    <w:rsid w:val="00AB7B9A"/>
    <w:rsid w:val="00AC0AF5"/>
    <w:rsid w:val="00AC2634"/>
    <w:rsid w:val="00AC351F"/>
    <w:rsid w:val="00AC6683"/>
    <w:rsid w:val="00AC6F06"/>
    <w:rsid w:val="00AE251F"/>
    <w:rsid w:val="00AE5326"/>
    <w:rsid w:val="00AF11F1"/>
    <w:rsid w:val="00AF3D2E"/>
    <w:rsid w:val="00AF418C"/>
    <w:rsid w:val="00AF6CD7"/>
    <w:rsid w:val="00B0433C"/>
    <w:rsid w:val="00B07069"/>
    <w:rsid w:val="00B14E32"/>
    <w:rsid w:val="00B237A3"/>
    <w:rsid w:val="00B26DC3"/>
    <w:rsid w:val="00B301E9"/>
    <w:rsid w:val="00B322FC"/>
    <w:rsid w:val="00B36BB7"/>
    <w:rsid w:val="00B556F2"/>
    <w:rsid w:val="00B570F2"/>
    <w:rsid w:val="00B61B00"/>
    <w:rsid w:val="00B61C26"/>
    <w:rsid w:val="00B923AD"/>
    <w:rsid w:val="00B92EEE"/>
    <w:rsid w:val="00BA1975"/>
    <w:rsid w:val="00BA1C87"/>
    <w:rsid w:val="00BA7596"/>
    <w:rsid w:val="00BB0342"/>
    <w:rsid w:val="00BB29BA"/>
    <w:rsid w:val="00BB641F"/>
    <w:rsid w:val="00BB6B01"/>
    <w:rsid w:val="00BC57C2"/>
    <w:rsid w:val="00BC5F6E"/>
    <w:rsid w:val="00BC7253"/>
    <w:rsid w:val="00BD555D"/>
    <w:rsid w:val="00BE1844"/>
    <w:rsid w:val="00BE348C"/>
    <w:rsid w:val="00BE5D75"/>
    <w:rsid w:val="00BF3287"/>
    <w:rsid w:val="00BF475F"/>
    <w:rsid w:val="00BF61FB"/>
    <w:rsid w:val="00C01429"/>
    <w:rsid w:val="00C21378"/>
    <w:rsid w:val="00C23F04"/>
    <w:rsid w:val="00C27829"/>
    <w:rsid w:val="00C33652"/>
    <w:rsid w:val="00C35C66"/>
    <w:rsid w:val="00C404A1"/>
    <w:rsid w:val="00C42C2D"/>
    <w:rsid w:val="00C43399"/>
    <w:rsid w:val="00C44CE0"/>
    <w:rsid w:val="00C54112"/>
    <w:rsid w:val="00C54D21"/>
    <w:rsid w:val="00C62FE2"/>
    <w:rsid w:val="00C776B2"/>
    <w:rsid w:val="00C80333"/>
    <w:rsid w:val="00C80660"/>
    <w:rsid w:val="00C85022"/>
    <w:rsid w:val="00CA3FE0"/>
    <w:rsid w:val="00CA51B9"/>
    <w:rsid w:val="00CB4A74"/>
    <w:rsid w:val="00CD460D"/>
    <w:rsid w:val="00CE0B73"/>
    <w:rsid w:val="00CE27FE"/>
    <w:rsid w:val="00CF2587"/>
    <w:rsid w:val="00CF71B0"/>
    <w:rsid w:val="00D0258E"/>
    <w:rsid w:val="00D03190"/>
    <w:rsid w:val="00D03ABB"/>
    <w:rsid w:val="00D121A1"/>
    <w:rsid w:val="00D16017"/>
    <w:rsid w:val="00D17FE5"/>
    <w:rsid w:val="00D21246"/>
    <w:rsid w:val="00D22432"/>
    <w:rsid w:val="00D22D4A"/>
    <w:rsid w:val="00D342CA"/>
    <w:rsid w:val="00D37ACA"/>
    <w:rsid w:val="00D403BF"/>
    <w:rsid w:val="00D409A9"/>
    <w:rsid w:val="00D42538"/>
    <w:rsid w:val="00D43DF9"/>
    <w:rsid w:val="00D5666E"/>
    <w:rsid w:val="00D64366"/>
    <w:rsid w:val="00D758E4"/>
    <w:rsid w:val="00D84575"/>
    <w:rsid w:val="00D85BE2"/>
    <w:rsid w:val="00D85F2A"/>
    <w:rsid w:val="00D94D96"/>
    <w:rsid w:val="00D95221"/>
    <w:rsid w:val="00DB4D46"/>
    <w:rsid w:val="00DB56FA"/>
    <w:rsid w:val="00DC1C9A"/>
    <w:rsid w:val="00DC5B1B"/>
    <w:rsid w:val="00DD6BFA"/>
    <w:rsid w:val="00DE0314"/>
    <w:rsid w:val="00DE03CD"/>
    <w:rsid w:val="00DE1B9F"/>
    <w:rsid w:val="00DE373F"/>
    <w:rsid w:val="00DF0405"/>
    <w:rsid w:val="00DF2D11"/>
    <w:rsid w:val="00DF4C82"/>
    <w:rsid w:val="00DF4E48"/>
    <w:rsid w:val="00DF6F1A"/>
    <w:rsid w:val="00DF77DA"/>
    <w:rsid w:val="00E2029A"/>
    <w:rsid w:val="00E23DF0"/>
    <w:rsid w:val="00E3115B"/>
    <w:rsid w:val="00E34388"/>
    <w:rsid w:val="00E34700"/>
    <w:rsid w:val="00E37FED"/>
    <w:rsid w:val="00E42FB4"/>
    <w:rsid w:val="00E43C19"/>
    <w:rsid w:val="00E46209"/>
    <w:rsid w:val="00E4672B"/>
    <w:rsid w:val="00E54B80"/>
    <w:rsid w:val="00E61D47"/>
    <w:rsid w:val="00E67194"/>
    <w:rsid w:val="00E67DFD"/>
    <w:rsid w:val="00E74B66"/>
    <w:rsid w:val="00E750DD"/>
    <w:rsid w:val="00E82931"/>
    <w:rsid w:val="00E82A1D"/>
    <w:rsid w:val="00E842AB"/>
    <w:rsid w:val="00E84BEF"/>
    <w:rsid w:val="00E87348"/>
    <w:rsid w:val="00E91A73"/>
    <w:rsid w:val="00E9274E"/>
    <w:rsid w:val="00E936D5"/>
    <w:rsid w:val="00EA29CF"/>
    <w:rsid w:val="00EA3B38"/>
    <w:rsid w:val="00EB48A8"/>
    <w:rsid w:val="00EB791B"/>
    <w:rsid w:val="00EC4B56"/>
    <w:rsid w:val="00EC5E04"/>
    <w:rsid w:val="00ED2372"/>
    <w:rsid w:val="00ED5DFB"/>
    <w:rsid w:val="00EE2335"/>
    <w:rsid w:val="00EE39F2"/>
    <w:rsid w:val="00EE3D47"/>
    <w:rsid w:val="00EE5E3C"/>
    <w:rsid w:val="00EF4566"/>
    <w:rsid w:val="00F118AF"/>
    <w:rsid w:val="00F2364B"/>
    <w:rsid w:val="00F256F4"/>
    <w:rsid w:val="00F27E5A"/>
    <w:rsid w:val="00F40078"/>
    <w:rsid w:val="00F42CC6"/>
    <w:rsid w:val="00F431E5"/>
    <w:rsid w:val="00F447FF"/>
    <w:rsid w:val="00F50BE0"/>
    <w:rsid w:val="00F54E3F"/>
    <w:rsid w:val="00F5596A"/>
    <w:rsid w:val="00F67D5D"/>
    <w:rsid w:val="00F7200D"/>
    <w:rsid w:val="00F8143D"/>
    <w:rsid w:val="00F81796"/>
    <w:rsid w:val="00F81805"/>
    <w:rsid w:val="00FA248C"/>
    <w:rsid w:val="00FA3524"/>
    <w:rsid w:val="00FA4BFF"/>
    <w:rsid w:val="00FB190B"/>
    <w:rsid w:val="00FD2DE4"/>
    <w:rsid w:val="00FD38BE"/>
    <w:rsid w:val="00FE16E9"/>
    <w:rsid w:val="00FE1756"/>
    <w:rsid w:val="00FE6566"/>
    <w:rsid w:val="00FE767C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D5A2"/>
  <w15:docId w15:val="{4C502342-A156-4735-8A97-3880D2B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6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68"/>
  </w:style>
  <w:style w:type="paragraph" w:styleId="Footer">
    <w:name w:val="footer"/>
    <w:basedOn w:val="Normal"/>
    <w:link w:val="FooterChar"/>
    <w:uiPriority w:val="99"/>
    <w:unhideWhenUsed/>
    <w:rsid w:val="006D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68"/>
  </w:style>
  <w:style w:type="paragraph" w:styleId="Revision">
    <w:name w:val="Revision"/>
    <w:hidden/>
    <w:uiPriority w:val="99"/>
    <w:semiHidden/>
    <w:rsid w:val="00E23DF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46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rcot.com/mktrules/obd/obd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BE2A-96A5-4D17-92D6-B0D9F46A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Tony</dc:creator>
  <cp:lastModifiedBy>Maul, Donald</cp:lastModifiedBy>
  <cp:revision>2</cp:revision>
  <cp:lastPrinted>2023-03-30T14:46:00Z</cp:lastPrinted>
  <dcterms:created xsi:type="dcterms:W3CDTF">2024-01-05T22:16:00Z</dcterms:created>
  <dcterms:modified xsi:type="dcterms:W3CDTF">2024-01-05T22:16:00Z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422ea052dd6307f943faeacd451ab0449f57c9501c8b0c51b169516f28646da2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2023-11-09T14:04:15Z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df907e6c-2902-415a-abd4-cd177fab378b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e3ac3a1a-de19-428b-b395-6d250d7743fb_Enabled">
    <vt:lpwstr>true</vt:lpwstr>
  </property>
  <property fmtid="{D5CDD505-2E9C-101B-9397-08002B2CF9AE}" pid="11" name="MSIP_Label_e3ac3a1a-de19-428b-b395-6d250d7743fb_SetDate">
    <vt:lpwstr>2023-11-10T20:24:20Z</vt:lpwstr>
  </property>
  <property fmtid="{D5CDD505-2E9C-101B-9397-08002B2CF9AE}" pid="12" name="MSIP_Label_e3ac3a1a-de19-428b-b395-6d250d7743fb_Method">
    <vt:lpwstr>Standard</vt:lpwstr>
  </property>
  <property fmtid="{D5CDD505-2E9C-101B-9397-08002B2CF9AE}" pid="13" name="MSIP_Label_e3ac3a1a-de19-428b-b395-6d250d7743fb_Name">
    <vt:lpwstr>Internal Use Only</vt:lpwstr>
  </property>
  <property fmtid="{D5CDD505-2E9C-101B-9397-08002B2CF9AE}" pid="14" name="MSIP_Label_e3ac3a1a-de19-428b-b395-6d250d7743fb_SiteId">
    <vt:lpwstr>88cc5fd7-fd78-44b6-ad75-b6915088974f</vt:lpwstr>
  </property>
  <property fmtid="{D5CDD505-2E9C-101B-9397-08002B2CF9AE}" pid="15" name="MSIP_Label_e3ac3a1a-de19-428b-b395-6d250d7743fb_ActionId">
    <vt:lpwstr>d47cdf01-6645-4f52-a4c2-1feed5b0e58d</vt:lpwstr>
  </property>
  <property fmtid="{D5CDD505-2E9C-101B-9397-08002B2CF9AE}" pid="16" name="MSIP_Label_e3ac3a1a-de19-428b-b395-6d250d7743fb_ContentBits">
    <vt:lpwstr>0</vt:lpwstr>
  </property>
</Properties>
</file>