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1440"/>
        <w:gridCol w:w="6120"/>
      </w:tblGrid>
      <w:tr w:rsidR="00152993" w14:paraId="56871E10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EFE4249" w14:textId="77777777" w:rsidR="00152993" w:rsidRDefault="00D825C5">
            <w:pPr>
              <w:pStyle w:val="Header"/>
              <w:rPr>
                <w:rFonts w:ascii="Verdana" w:hAnsi="Verdana"/>
                <w:sz w:val="22"/>
              </w:rPr>
            </w:pPr>
            <w:r>
              <w:t>NOG</w:t>
            </w:r>
            <w:r w:rsidR="00C158EE">
              <w:t xml:space="preserve">RR </w:t>
            </w:r>
            <w:r w:rsidR="00152993"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0B41B740" w14:textId="32404C3D" w:rsidR="00152993" w:rsidRDefault="00427626" w:rsidP="00427626">
            <w:pPr>
              <w:pStyle w:val="Header"/>
              <w:jc w:val="center"/>
            </w:pPr>
            <w:hyperlink r:id="rId8" w:history="1">
              <w:r w:rsidR="0070230D" w:rsidRPr="008B554B">
                <w:rPr>
                  <w:rStyle w:val="Hyperlink"/>
                </w:rPr>
                <w:t>255</w:t>
              </w:r>
            </w:hyperlink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31FC5B9" w14:textId="77777777" w:rsidR="00152993" w:rsidRDefault="00D825C5">
            <w:pPr>
              <w:pStyle w:val="Header"/>
            </w:pPr>
            <w:r>
              <w:t>NOG</w:t>
            </w:r>
            <w:r w:rsidR="00C158EE">
              <w:t xml:space="preserve">RR </w:t>
            </w:r>
            <w:r w:rsidR="00152993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24F1423F" w14:textId="10A5FCF8" w:rsidR="00152993" w:rsidRPr="00427626" w:rsidRDefault="00067106">
            <w:pPr>
              <w:pStyle w:val="Header"/>
            </w:pPr>
            <w:r w:rsidRPr="00427626">
              <w:t>High Resolution Data Requirements</w:t>
            </w:r>
          </w:p>
        </w:tc>
      </w:tr>
    </w:tbl>
    <w:p w14:paraId="469F6555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515C518D" w14:textId="77777777">
        <w:trPr>
          <w:trHeight w:val="44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F3A9A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82626" w14:textId="436B87BA" w:rsidR="00152993" w:rsidRDefault="0070230D">
            <w:pPr>
              <w:pStyle w:val="NormalArial"/>
            </w:pPr>
            <w:r>
              <w:t xml:space="preserve">December </w:t>
            </w:r>
            <w:r w:rsidR="00427626">
              <w:t>20</w:t>
            </w:r>
            <w:r w:rsidR="005F11B3">
              <w:t>, 2023</w:t>
            </w:r>
          </w:p>
        </w:tc>
      </w:tr>
    </w:tbl>
    <w:p w14:paraId="7AEC143B" w14:textId="77777777" w:rsidR="002771E6" w:rsidRDefault="002771E6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152993" w14:paraId="6810058D" w14:textId="77777777">
        <w:trPr>
          <w:trHeight w:val="440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D10DEC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1B107F40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49B1E4DD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vAlign w:val="center"/>
          </w:tcPr>
          <w:p w14:paraId="48A5C8AD" w14:textId="6EDA45DC" w:rsidR="00152993" w:rsidRDefault="00DC1EC1">
            <w:pPr>
              <w:pStyle w:val="NormalArial"/>
            </w:pPr>
            <w:r>
              <w:t>Kenneth A. Donohoo</w:t>
            </w:r>
          </w:p>
        </w:tc>
      </w:tr>
      <w:tr w:rsidR="00152993" w14:paraId="07EA21DA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62EE6B07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vAlign w:val="center"/>
          </w:tcPr>
          <w:p w14:paraId="6F8CCEE5" w14:textId="2FAAF7AA" w:rsidR="00152993" w:rsidRDefault="00427626">
            <w:pPr>
              <w:pStyle w:val="NormalArial"/>
            </w:pPr>
            <w:hyperlink r:id="rId9" w:history="1">
              <w:r w:rsidR="00DC15AF" w:rsidRPr="00243FBA">
                <w:rPr>
                  <w:rStyle w:val="Hyperlink"/>
                </w:rPr>
                <w:t>kdonohoo@owlerc.com</w:t>
              </w:r>
            </w:hyperlink>
            <w:r w:rsidR="00DC15AF">
              <w:t xml:space="preserve"> </w:t>
            </w:r>
          </w:p>
        </w:tc>
      </w:tr>
      <w:tr w:rsidR="00152993" w14:paraId="1AFD2376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3C216902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vAlign w:val="center"/>
          </w:tcPr>
          <w:p w14:paraId="68C65022" w14:textId="041F32A1" w:rsidR="00152993" w:rsidRDefault="00DC1EC1">
            <w:pPr>
              <w:pStyle w:val="NormalArial"/>
            </w:pPr>
            <w:r>
              <w:t>Advanced Power Alliance</w:t>
            </w:r>
          </w:p>
        </w:tc>
      </w:tr>
      <w:tr w:rsidR="00152993" w14:paraId="5992A8A9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462A0C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2AC819CD" w14:textId="3BE60070" w:rsidR="00152993" w:rsidRDefault="00DC1EC1">
            <w:pPr>
              <w:pStyle w:val="NormalArial"/>
            </w:pPr>
            <w:r>
              <w:t>817</w:t>
            </w:r>
            <w:r w:rsidR="00F721C8">
              <w:t>-</w:t>
            </w:r>
            <w:r>
              <w:t>483-8620</w:t>
            </w:r>
          </w:p>
        </w:tc>
      </w:tr>
      <w:tr w:rsidR="00152993" w14:paraId="0B0EA3D1" w14:textId="77777777">
        <w:trPr>
          <w:trHeight w:val="350"/>
        </w:trPr>
        <w:tc>
          <w:tcPr>
            <w:tcW w:w="2880" w:type="dxa"/>
            <w:shd w:val="clear" w:color="auto" w:fill="FFFFFF"/>
            <w:vAlign w:val="center"/>
          </w:tcPr>
          <w:p w14:paraId="6A5D3767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vAlign w:val="center"/>
          </w:tcPr>
          <w:p w14:paraId="15236CB9" w14:textId="01AB9A24" w:rsidR="00152993" w:rsidRDefault="00DC1EC1">
            <w:pPr>
              <w:pStyle w:val="NormalArial"/>
            </w:pPr>
            <w:r>
              <w:t>817</w:t>
            </w:r>
            <w:r w:rsidR="00F721C8">
              <w:t>-</w:t>
            </w:r>
            <w:r>
              <w:t>483-8620</w:t>
            </w:r>
          </w:p>
        </w:tc>
      </w:tr>
      <w:tr w:rsidR="00075A94" w14:paraId="671BE1D6" w14:textId="77777777">
        <w:trPr>
          <w:trHeight w:val="350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BAF3BA7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14:paraId="1C904E63" w14:textId="77777777" w:rsidR="00075A94" w:rsidRDefault="005F11B3">
            <w:pPr>
              <w:pStyle w:val="NormalArial"/>
            </w:pPr>
            <w:r>
              <w:t>Independent Generators</w:t>
            </w:r>
          </w:p>
        </w:tc>
      </w:tr>
    </w:tbl>
    <w:p w14:paraId="11C9A61A" w14:textId="77777777" w:rsidR="00075A94" w:rsidRDefault="00075A94">
      <w:pPr>
        <w:pStyle w:val="NormalArial"/>
      </w:pP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5"/>
      </w:tblGrid>
      <w:tr w:rsidR="00075A94" w:rsidRPr="004D37D7" w14:paraId="17B71CC3" w14:textId="77777777" w:rsidTr="00DC15AF">
        <w:trPr>
          <w:trHeight w:val="422"/>
          <w:jc w:val="center"/>
        </w:trPr>
        <w:tc>
          <w:tcPr>
            <w:tcW w:w="10175" w:type="dxa"/>
            <w:vAlign w:val="center"/>
          </w:tcPr>
          <w:p w14:paraId="7FF5E74B" w14:textId="77777777" w:rsidR="00075A94" w:rsidRPr="00075A94" w:rsidRDefault="00075A94" w:rsidP="004D37D7">
            <w:pPr>
              <w:pStyle w:val="Header"/>
              <w:jc w:val="center"/>
            </w:pPr>
            <w:r w:rsidRPr="00075A94">
              <w:t>Comments</w:t>
            </w:r>
          </w:p>
        </w:tc>
      </w:tr>
    </w:tbl>
    <w:p w14:paraId="1DBA6ED7" w14:textId="12BB8D70" w:rsidR="000270DA" w:rsidRDefault="00FB5828" w:rsidP="00DC15AF">
      <w:pPr>
        <w:pStyle w:val="NormalArial"/>
        <w:spacing w:before="120" w:after="120"/>
      </w:pPr>
      <w:r>
        <w:t>The Advanced Power Alliance (APA) appreciates ERCOT’s focus on ensuring and maintaining reliability</w:t>
      </w:r>
      <w:r w:rsidR="007C354C">
        <w:t xml:space="preserve">. </w:t>
      </w:r>
      <w:r w:rsidR="00D123CC">
        <w:t>We also</w:t>
      </w:r>
      <w:r w:rsidR="00E71ED2">
        <w:t xml:space="preserve"> </w:t>
      </w:r>
      <w:r w:rsidR="00E71ED2" w:rsidRPr="00E71ED2">
        <w:t xml:space="preserve">appreciate the opportunity to provide feedback and comments </w:t>
      </w:r>
      <w:r w:rsidR="00EE02AD">
        <w:t xml:space="preserve">on Nodal Operating Guide Revision Request (NOGRR) 255 </w:t>
      </w:r>
      <w:r w:rsidR="00E71ED2">
        <w:t xml:space="preserve">based </w:t>
      </w:r>
      <w:r w:rsidR="00E71ED2" w:rsidRPr="00E71ED2">
        <w:t xml:space="preserve">on the </w:t>
      </w:r>
      <w:r w:rsidR="00DC15AF">
        <w:t xml:space="preserve">11/1/23 </w:t>
      </w:r>
      <w:r w:rsidR="00E71ED2" w:rsidRPr="00E71ED2">
        <w:t>ERCOT comments.</w:t>
      </w:r>
    </w:p>
    <w:p w14:paraId="523AC906" w14:textId="6224C73A" w:rsidR="00E71ED2" w:rsidRDefault="00950C91" w:rsidP="00DC15AF">
      <w:pPr>
        <w:pStyle w:val="NormalArial"/>
        <w:spacing w:before="120" w:after="120"/>
      </w:pPr>
      <w:r>
        <w:t>APA understands</w:t>
      </w:r>
      <w:r w:rsidRPr="00950C91">
        <w:t xml:space="preserve"> the </w:t>
      </w:r>
      <w:r w:rsidR="00B0022C">
        <w:t>B</w:t>
      </w:r>
      <w:r w:rsidRPr="00950C91">
        <w:t xml:space="preserve">usiness </w:t>
      </w:r>
      <w:r w:rsidR="00B0022C">
        <w:t>C</w:t>
      </w:r>
      <w:r w:rsidRPr="00950C91">
        <w:t>ase presented by ERCOT for NOGRR</w:t>
      </w:r>
      <w:r w:rsidR="00F721C8">
        <w:t>255</w:t>
      </w:r>
      <w:r w:rsidRPr="00950C91">
        <w:t xml:space="preserve"> and ERCOT’s desire to move forward expeditiously</w:t>
      </w:r>
      <w:r w:rsidR="002E1F2A">
        <w:t>;</w:t>
      </w:r>
      <w:r w:rsidR="009439E5">
        <w:t xml:space="preserve"> however, </w:t>
      </w:r>
      <w:r w:rsidR="00EE02AD">
        <w:t xml:space="preserve">APA </w:t>
      </w:r>
      <w:r w:rsidR="009439E5">
        <w:t xml:space="preserve">agrees with the </w:t>
      </w:r>
      <w:r w:rsidR="00DC15AF">
        <w:t xml:space="preserve"> 12/4/23 </w:t>
      </w:r>
      <w:r w:rsidR="009439E5">
        <w:t>AEP Service Corporation (AEPSC)</w:t>
      </w:r>
      <w:r w:rsidR="00DC15AF">
        <w:t xml:space="preserve"> comments</w:t>
      </w:r>
      <w:r w:rsidR="009439E5">
        <w:t>, wh</w:t>
      </w:r>
      <w:r w:rsidR="00F721C8">
        <w:t>ich</w:t>
      </w:r>
      <w:r w:rsidR="009439E5">
        <w:t xml:space="preserve"> state </w:t>
      </w:r>
      <w:r w:rsidR="009439E5" w:rsidRPr="00950C91">
        <w:t>that a consensus has</w:t>
      </w:r>
      <w:r w:rsidR="009439E5">
        <w:t xml:space="preserve"> not</w:t>
      </w:r>
      <w:r w:rsidR="009439E5" w:rsidRPr="00950C91">
        <w:t xml:space="preserve"> been developed a</w:t>
      </w:r>
      <w:r w:rsidR="00EF245C">
        <w:t xml:space="preserve">mong the relevant ERCOT working groups </w:t>
      </w:r>
      <w:r w:rsidR="00B0022C">
        <w:t xml:space="preserve">with </w:t>
      </w:r>
      <w:r w:rsidR="00300C14">
        <w:t>regard</w:t>
      </w:r>
      <w:r w:rsidR="00E62FDA">
        <w:t xml:space="preserve"> </w:t>
      </w:r>
      <w:r w:rsidR="00B0022C">
        <w:t xml:space="preserve">to </w:t>
      </w:r>
      <w:r w:rsidR="00E62FDA">
        <w:t xml:space="preserve">the impacts of </w:t>
      </w:r>
      <w:r w:rsidR="009439E5" w:rsidRPr="00950C91">
        <w:t>NOGRR255</w:t>
      </w:r>
      <w:r w:rsidR="00F721C8">
        <w:t>.</w:t>
      </w:r>
      <w:r w:rsidR="009439E5" w:rsidRPr="00950C91">
        <w:t xml:space="preserve"> </w:t>
      </w:r>
      <w:r w:rsidR="00E62FDA">
        <w:t xml:space="preserve">APA urges further review and analysis </w:t>
      </w:r>
      <w:r w:rsidR="009439E5" w:rsidRPr="00950C91">
        <w:t xml:space="preserve">by </w:t>
      </w:r>
      <w:r w:rsidR="009439E5">
        <w:t>the System Protection Working Group (</w:t>
      </w:r>
      <w:r w:rsidR="009439E5" w:rsidRPr="00950C91">
        <w:t>SPWG</w:t>
      </w:r>
      <w:r w:rsidR="009439E5">
        <w:t>)</w:t>
      </w:r>
      <w:r w:rsidR="009439E5" w:rsidRPr="00950C91">
        <w:t>, Dynamics Working Group (DWG)</w:t>
      </w:r>
      <w:r w:rsidR="00F721C8">
        <w:t>,</w:t>
      </w:r>
      <w:r w:rsidR="009439E5" w:rsidRPr="00950C91">
        <w:t xml:space="preserve"> </w:t>
      </w:r>
      <w:r w:rsidR="00E62FDA">
        <w:t xml:space="preserve">and </w:t>
      </w:r>
      <w:r w:rsidR="009439E5" w:rsidRPr="00950C91">
        <w:t xml:space="preserve">the </w:t>
      </w:r>
      <w:r w:rsidR="00DC15AF">
        <w:t>Inverter-Based Resource (</w:t>
      </w:r>
      <w:r w:rsidR="009439E5" w:rsidRPr="00950C91">
        <w:t>IBR</w:t>
      </w:r>
      <w:r w:rsidR="00DC15AF">
        <w:t>)</w:t>
      </w:r>
      <w:r w:rsidR="009439E5" w:rsidRPr="00950C91">
        <w:t xml:space="preserve"> Working Group (IBRWG)</w:t>
      </w:r>
      <w:r w:rsidR="00EE02AD">
        <w:t xml:space="preserve"> </w:t>
      </w:r>
      <w:r w:rsidR="009439E5" w:rsidRPr="00950C91">
        <w:t>before moving forward</w:t>
      </w:r>
      <w:r w:rsidR="000270DA">
        <w:t xml:space="preserve"> with adoption of NOGRR255</w:t>
      </w:r>
      <w:r w:rsidR="009439E5">
        <w:t>.</w:t>
      </w:r>
      <w:r w:rsidR="007C354C">
        <w:t xml:space="preserve"> </w:t>
      </w:r>
    </w:p>
    <w:p w14:paraId="6C0B5580" w14:textId="79E7EE58" w:rsidR="00BD28CB" w:rsidRDefault="00E71ED2" w:rsidP="00DC15AF">
      <w:pPr>
        <w:pStyle w:val="NormalArial"/>
        <w:spacing w:before="120" w:after="120"/>
      </w:pPr>
      <w:r w:rsidRPr="00E71ED2">
        <w:t>ERCOT has stated that the</w:t>
      </w:r>
      <w:r w:rsidR="000270DA">
        <w:t>ir</w:t>
      </w:r>
      <w:r w:rsidRPr="00E71ED2">
        <w:t xml:space="preserve"> intention </w:t>
      </w:r>
      <w:r w:rsidR="000270DA" w:rsidRPr="00E71ED2">
        <w:t xml:space="preserve">is to </w:t>
      </w:r>
      <w:r w:rsidR="000270DA">
        <w:t xml:space="preserve">align </w:t>
      </w:r>
      <w:r w:rsidRPr="00E71ED2">
        <w:t xml:space="preserve">NOGRR255 </w:t>
      </w:r>
      <w:r>
        <w:t>with</w:t>
      </w:r>
      <w:r w:rsidRPr="00E71ED2">
        <w:t xml:space="preserve"> North American Electric Reliability (NERC) Reliability Standard </w:t>
      </w:r>
      <w:r w:rsidR="006E66DC">
        <w:t>Protection and Control (</w:t>
      </w:r>
      <w:r w:rsidRPr="00E71ED2">
        <w:t>PRC</w:t>
      </w:r>
      <w:r w:rsidR="006E66DC">
        <w:t>)</w:t>
      </w:r>
      <w:r w:rsidRPr="00E71ED2">
        <w:t>-028</w:t>
      </w:r>
      <w:r>
        <w:t>,</w:t>
      </w:r>
      <w:r w:rsidRPr="00E71ED2">
        <w:t xml:space="preserve"> Disturbance Monitoring and Reporting Requirements for IBRs.</w:t>
      </w:r>
      <w:r w:rsidR="00CE06B1" w:rsidRPr="00CE06B1">
        <w:t xml:space="preserve"> </w:t>
      </w:r>
      <w:r w:rsidR="00E62FDA">
        <w:t xml:space="preserve">However, </w:t>
      </w:r>
      <w:r w:rsidR="00CE06B1">
        <w:t xml:space="preserve">NERC </w:t>
      </w:r>
      <w:r w:rsidR="00CE06B1" w:rsidRPr="00CE06B1">
        <w:t xml:space="preserve">PRC-028 is still </w:t>
      </w:r>
      <w:r w:rsidR="00CE06B1">
        <w:t>under d</w:t>
      </w:r>
      <w:r w:rsidR="00CE06B1" w:rsidRPr="00CE06B1">
        <w:t xml:space="preserve">evelopment </w:t>
      </w:r>
      <w:r w:rsidR="00CE06B1">
        <w:t xml:space="preserve">and did not pass its initial ballot. </w:t>
      </w:r>
      <w:r w:rsidR="000270DA">
        <w:t xml:space="preserve">NERC </w:t>
      </w:r>
      <w:r w:rsidR="006E66DC">
        <w:t xml:space="preserve">PRC-028 </w:t>
      </w:r>
      <w:r w:rsidR="00CE06B1" w:rsidRPr="00CE06B1">
        <w:t>is</w:t>
      </w:r>
      <w:r w:rsidR="00CE06B1">
        <w:t xml:space="preserve"> </w:t>
      </w:r>
      <w:r w:rsidR="00CE06B1" w:rsidRPr="00CE06B1">
        <w:t xml:space="preserve">currently in a comment period </w:t>
      </w:r>
      <w:r w:rsidR="000270DA">
        <w:t xml:space="preserve">and </w:t>
      </w:r>
      <w:r w:rsidR="00CE06B1" w:rsidRPr="00CE06B1">
        <w:t>NERC’s revised draft</w:t>
      </w:r>
      <w:r w:rsidR="00CE06B1">
        <w:t xml:space="preserve"> </w:t>
      </w:r>
      <w:r w:rsidR="00CE06B1" w:rsidRPr="00CE06B1">
        <w:t xml:space="preserve">is not expected </w:t>
      </w:r>
      <w:r w:rsidR="00E62FDA">
        <w:t xml:space="preserve">to be published </w:t>
      </w:r>
      <w:r w:rsidR="00CE06B1" w:rsidRPr="00CE06B1">
        <w:t>until sometime in January 2024</w:t>
      </w:r>
      <w:r w:rsidR="00884546">
        <w:t>,</w:t>
      </w:r>
      <w:r w:rsidR="006E66DC">
        <w:t xml:space="preserve"> with </w:t>
      </w:r>
      <w:r w:rsidR="000270DA">
        <w:t xml:space="preserve">final </w:t>
      </w:r>
      <w:r w:rsidR="006E66DC">
        <w:t>adoption</w:t>
      </w:r>
      <w:r w:rsidR="000270DA">
        <w:t xml:space="preserve"> expected</w:t>
      </w:r>
      <w:r w:rsidR="006E66DC">
        <w:t xml:space="preserve"> at a date “to be determine</w:t>
      </w:r>
      <w:r w:rsidR="000270DA">
        <w:t>d</w:t>
      </w:r>
      <w:r w:rsidR="00CE06B1">
        <w:t>.</w:t>
      </w:r>
      <w:r w:rsidR="00884546">
        <w:t>”</w:t>
      </w:r>
      <w:r w:rsidR="00CE06B1" w:rsidRPr="00CE06B1">
        <w:t xml:space="preserve"> </w:t>
      </w:r>
      <w:r w:rsidR="00E62FDA">
        <w:t xml:space="preserve">Once </w:t>
      </w:r>
      <w:r w:rsidR="00CE06B1" w:rsidRPr="00CE06B1">
        <w:t>a final draft</w:t>
      </w:r>
      <w:r w:rsidR="00E62FDA">
        <w:t xml:space="preserve"> is adopted</w:t>
      </w:r>
      <w:r w:rsidR="00CE06B1" w:rsidRPr="00CE06B1">
        <w:t>,</w:t>
      </w:r>
      <w:r w:rsidR="00CE06B1">
        <w:t xml:space="preserve"> it then must go through the NERC and F</w:t>
      </w:r>
      <w:r w:rsidR="00E62FDA">
        <w:t xml:space="preserve">ederal </w:t>
      </w:r>
      <w:r w:rsidR="00CE06B1">
        <w:t>E</w:t>
      </w:r>
      <w:r w:rsidR="00E62FDA">
        <w:t xml:space="preserve">lectric </w:t>
      </w:r>
      <w:r w:rsidR="00CE06B1">
        <w:t>R</w:t>
      </w:r>
      <w:r w:rsidR="00E62FDA">
        <w:t xml:space="preserve">egulatory </w:t>
      </w:r>
      <w:r w:rsidR="00CE06B1">
        <w:t>C</w:t>
      </w:r>
      <w:r w:rsidR="00E62FDA">
        <w:t>ommission (FERC)</w:t>
      </w:r>
      <w:r w:rsidR="00CE06B1">
        <w:t xml:space="preserve"> approval process. It</w:t>
      </w:r>
      <w:r w:rsidR="00E62FDA">
        <w:t xml:space="preserve"> </w:t>
      </w:r>
      <w:r w:rsidR="00884546">
        <w:t xml:space="preserve">would be </w:t>
      </w:r>
      <w:r w:rsidR="00CE06B1">
        <w:t xml:space="preserve">premature </w:t>
      </w:r>
      <w:r w:rsidR="00E62FDA">
        <w:t xml:space="preserve">for </w:t>
      </w:r>
      <w:r w:rsidR="00CE06B1">
        <w:t xml:space="preserve">ERCOT </w:t>
      </w:r>
      <w:r w:rsidR="00E62FDA">
        <w:t xml:space="preserve">to </w:t>
      </w:r>
      <w:r w:rsidR="00CE06B1">
        <w:t xml:space="preserve">implement NOGRR255 </w:t>
      </w:r>
      <w:r w:rsidR="00884546">
        <w:t xml:space="preserve">ahead of </w:t>
      </w:r>
      <w:r w:rsidR="00067106">
        <w:t>the final</w:t>
      </w:r>
      <w:r w:rsidR="00CE06B1">
        <w:t xml:space="preserve"> standard</w:t>
      </w:r>
      <w:r w:rsidRPr="00E71ED2">
        <w:t xml:space="preserve"> language</w:t>
      </w:r>
      <w:r w:rsidR="00CE06B1">
        <w:t xml:space="preserve"> </w:t>
      </w:r>
      <w:r w:rsidR="00884546">
        <w:t>from</w:t>
      </w:r>
      <w:r w:rsidR="006E66DC">
        <w:t xml:space="preserve"> NERC and FERC</w:t>
      </w:r>
      <w:r w:rsidR="00884546">
        <w:t>,</w:t>
      </w:r>
      <w:r w:rsidR="00BD28CB">
        <w:t xml:space="preserve"> </w:t>
      </w:r>
      <w:r w:rsidR="00884546">
        <w:t>as</w:t>
      </w:r>
      <w:r w:rsidR="00BD28CB">
        <w:t xml:space="preserve"> the standard adopted by ERCOT</w:t>
      </w:r>
      <w:r w:rsidR="00884546">
        <w:t xml:space="preserve"> may</w:t>
      </w:r>
      <w:r w:rsidR="00BD28CB">
        <w:t xml:space="preserve"> conflict with</w:t>
      </w:r>
      <w:r w:rsidR="00884546">
        <w:t xml:space="preserve"> the final adopted version of</w:t>
      </w:r>
      <w:r w:rsidR="00DE6656">
        <w:t xml:space="preserve"> </w:t>
      </w:r>
      <w:r w:rsidR="000270DA">
        <w:t xml:space="preserve">NERC </w:t>
      </w:r>
      <w:r w:rsidR="00BD28CB">
        <w:t>PRC-028</w:t>
      </w:r>
      <w:r w:rsidRPr="00E71ED2">
        <w:t>.</w:t>
      </w:r>
    </w:p>
    <w:p w14:paraId="4B16F3FE" w14:textId="51AFAC04" w:rsidR="00950C91" w:rsidRDefault="006E66DC" w:rsidP="00DC15AF">
      <w:pPr>
        <w:pStyle w:val="NormalArial"/>
        <w:spacing w:before="120" w:after="120"/>
      </w:pPr>
      <w:r>
        <w:t>NERC introduced PRC-028 in January 2021 and</w:t>
      </w:r>
      <w:r w:rsidR="00BC194F">
        <w:t xml:space="preserve"> the process for developing the proposed standards</w:t>
      </w:r>
      <w:r>
        <w:t xml:space="preserve"> has</w:t>
      </w:r>
      <w:r w:rsidR="00BC194F">
        <w:t xml:space="preserve"> been</w:t>
      </w:r>
      <w:r>
        <w:t xml:space="preserve"> thoughtful</w:t>
      </w:r>
      <w:r w:rsidR="00BC194F">
        <w:t xml:space="preserve"> and</w:t>
      </w:r>
      <w:r>
        <w:t xml:space="preserve"> deliberative.</w:t>
      </w:r>
      <w:r w:rsidR="00950C91" w:rsidRPr="00950C91">
        <w:t xml:space="preserve"> </w:t>
      </w:r>
      <w:r>
        <w:t>Conversely, ERCOT</w:t>
      </w:r>
      <w:r w:rsidR="00BC194F">
        <w:t xml:space="preserve"> only recently</w:t>
      </w:r>
      <w:r>
        <w:t xml:space="preserve"> introduced NOGRR255 in June of 2023</w:t>
      </w:r>
      <w:r w:rsidR="00BC194F">
        <w:t>, and adoption at this point would come</w:t>
      </w:r>
      <w:r>
        <w:t xml:space="preserve"> </w:t>
      </w:r>
      <w:r>
        <w:lastRenderedPageBreak/>
        <w:t>without the necessary deliberation</w:t>
      </w:r>
      <w:r w:rsidR="00F45A0C">
        <w:t xml:space="preserve"> and consensus</w:t>
      </w:r>
      <w:r>
        <w:t xml:space="preserve"> </w:t>
      </w:r>
      <w:r w:rsidR="00DE6656">
        <w:t>among</w:t>
      </w:r>
      <w:r>
        <w:t xml:space="preserve"> </w:t>
      </w:r>
      <w:r w:rsidR="00F45A0C">
        <w:t xml:space="preserve">the requisite </w:t>
      </w:r>
      <w:r>
        <w:t>stakeholder</w:t>
      </w:r>
      <w:r w:rsidR="00DE6656">
        <w:t xml:space="preserve"> group</w:t>
      </w:r>
      <w:r>
        <w:t>s</w:t>
      </w:r>
      <w:r w:rsidR="00BD28CB">
        <w:t xml:space="preserve">. </w:t>
      </w:r>
      <w:r w:rsidR="00950C91">
        <w:t>I</w:t>
      </w:r>
      <w:r w:rsidR="00950C91" w:rsidRPr="00950C91">
        <w:t xml:space="preserve">t is too soon to be sure what will </w:t>
      </w:r>
      <w:r w:rsidR="00253FAC">
        <w:t xml:space="preserve">ultimately </w:t>
      </w:r>
      <w:r w:rsidR="00950C91" w:rsidRPr="00950C91">
        <w:t xml:space="preserve">be approved </w:t>
      </w:r>
      <w:r w:rsidR="00253FAC">
        <w:t xml:space="preserve">by </w:t>
      </w:r>
      <w:r w:rsidR="00950C91" w:rsidRPr="00950C91">
        <w:t xml:space="preserve">NERC </w:t>
      </w:r>
      <w:r w:rsidR="00253FAC">
        <w:t>and FERC</w:t>
      </w:r>
      <w:r w:rsidR="00F45A0C">
        <w:t xml:space="preserve"> and, as such,</w:t>
      </w:r>
      <w:r w:rsidR="00DE6656">
        <w:t xml:space="preserve"> APA urges ERCOT </w:t>
      </w:r>
      <w:r w:rsidR="00067106">
        <w:t>to wait</w:t>
      </w:r>
      <w:r w:rsidR="00F45A0C">
        <w:t xml:space="preserve"> before adopting NOGRR255, </w:t>
      </w:r>
      <w:r w:rsidR="00DE6656">
        <w:t>to</w:t>
      </w:r>
      <w:r w:rsidR="00F45A0C">
        <w:t xml:space="preserve"> allow time to</w:t>
      </w:r>
      <w:r w:rsidR="00DE6656">
        <w:t xml:space="preserve"> align with the final version of NERC PRC-028.</w:t>
      </w:r>
    </w:p>
    <w:p w14:paraId="6125B370" w14:textId="21174345" w:rsidR="00B87D4C" w:rsidRDefault="00B925B5" w:rsidP="00DC15AF">
      <w:pPr>
        <w:pStyle w:val="NormalArial"/>
        <w:spacing w:before="120" w:after="120"/>
      </w:pPr>
      <w:r>
        <w:t xml:space="preserve">APA </w:t>
      </w:r>
      <w:r w:rsidR="00DE6656">
        <w:t>believes it is important for</w:t>
      </w:r>
      <w:r>
        <w:t xml:space="preserve"> </w:t>
      </w:r>
      <w:r w:rsidR="00B87D4C">
        <w:t>ERCOT to recognize that r</w:t>
      </w:r>
      <w:r w:rsidR="00CE06B1" w:rsidRPr="00CE06B1">
        <w:t xml:space="preserve">equiring the installation of additional equipment </w:t>
      </w:r>
      <w:r w:rsidR="00DE6656">
        <w:t xml:space="preserve">to meet retroactive requirements </w:t>
      </w:r>
      <w:r w:rsidR="00CE06B1" w:rsidRPr="00CE06B1">
        <w:t xml:space="preserve">comes with </w:t>
      </w:r>
      <w:r>
        <w:t>associated</w:t>
      </w:r>
      <w:r w:rsidR="00CE06B1" w:rsidRPr="00CE06B1">
        <w:t xml:space="preserve"> cost</w:t>
      </w:r>
      <w:r w:rsidR="00501B70">
        <w:t>s</w:t>
      </w:r>
      <w:r w:rsidR="00D123CC">
        <w:t xml:space="preserve"> </w:t>
      </w:r>
      <w:r w:rsidR="00DE6656">
        <w:t xml:space="preserve">and complications </w:t>
      </w:r>
      <w:r w:rsidR="00D123CC">
        <w:t>including</w:t>
      </w:r>
      <w:r w:rsidR="00CE06B1" w:rsidRPr="00CE06B1">
        <w:t xml:space="preserve"> </w:t>
      </w:r>
      <w:r>
        <w:t xml:space="preserve">but not limited to </w:t>
      </w:r>
      <w:r w:rsidR="00CE06B1" w:rsidRPr="00CE06B1">
        <w:t>outage time onsite</w:t>
      </w:r>
      <w:r>
        <w:t>,</w:t>
      </w:r>
      <w:r w:rsidR="00CE06B1" w:rsidRPr="00CE06B1">
        <w:t xml:space="preserve"> missed market revenues, new equipment</w:t>
      </w:r>
      <w:r>
        <w:t xml:space="preserve"> costs</w:t>
      </w:r>
      <w:r w:rsidR="00CE06B1" w:rsidRPr="00CE06B1">
        <w:t>,</w:t>
      </w:r>
      <w:r w:rsidR="00950C91">
        <w:t xml:space="preserve"> </w:t>
      </w:r>
      <w:r>
        <w:t xml:space="preserve">and </w:t>
      </w:r>
      <w:r w:rsidR="00CE06B1" w:rsidRPr="00CE06B1">
        <w:t>field labor for installation and commissioning.</w:t>
      </w:r>
      <w:r w:rsidR="00FE53B0" w:rsidRPr="00FE53B0">
        <w:t xml:space="preserve"> </w:t>
      </w:r>
      <w:r w:rsidR="00FE53B0">
        <w:t xml:space="preserve">In general, generators will need to </w:t>
      </w:r>
      <w:r w:rsidR="00501B70">
        <w:t>ensure</w:t>
      </w:r>
      <w:r w:rsidR="00FE53B0">
        <w:t xml:space="preserve"> they have the necessary hardware in place to meet the </w:t>
      </w:r>
      <w:r w:rsidR="00DC15AF">
        <w:t>p</w:t>
      </w:r>
      <w:r w:rsidR="000270DA">
        <w:t xml:space="preserve">hasor </w:t>
      </w:r>
      <w:r w:rsidR="00DC15AF">
        <w:t>m</w:t>
      </w:r>
      <w:r w:rsidR="000270DA">
        <w:t xml:space="preserve">easurement </w:t>
      </w:r>
      <w:r w:rsidR="00DC15AF">
        <w:t>u</w:t>
      </w:r>
      <w:r w:rsidR="000270DA">
        <w:t>nit</w:t>
      </w:r>
      <w:r w:rsidR="00FE53B0">
        <w:t xml:space="preserve"> requirements. The </w:t>
      </w:r>
      <w:r w:rsidR="00067106">
        <w:t xml:space="preserve">high </w:t>
      </w:r>
      <w:r w:rsidR="006C270B">
        <w:t>costs</w:t>
      </w:r>
      <w:r w:rsidR="00FE53B0">
        <w:t xml:space="preserve"> associated with on-site feeders, and lack of available knowledge </w:t>
      </w:r>
      <w:r w:rsidR="00067106">
        <w:t>of</w:t>
      </w:r>
      <w:r w:rsidR="00FE53B0">
        <w:t xml:space="preserve"> how many will be required</w:t>
      </w:r>
      <w:r w:rsidR="00B0022C">
        <w:t xml:space="preserve"> coupled </w:t>
      </w:r>
      <w:r w:rsidR="00067106">
        <w:t>with the</w:t>
      </w:r>
      <w:r w:rsidR="00FE53B0">
        <w:t xml:space="preserve"> costs, liability, and obligations surrounding data retention is a challenge for retrofitting legacy sites.</w:t>
      </w:r>
      <w:r w:rsidR="00050C2A">
        <w:t xml:space="preserve"> Communications, bandwidth</w:t>
      </w:r>
      <w:r w:rsidR="00F45A0C">
        <w:t>,</w:t>
      </w:r>
      <w:r w:rsidR="00050C2A">
        <w:t xml:space="preserve"> and data storage at some locations may be extremely problematic.</w:t>
      </w:r>
      <w:r>
        <w:t xml:space="preserve"> Resource owners will have to rely on </w:t>
      </w:r>
      <w:r w:rsidR="00DC15AF">
        <w:t>o</w:t>
      </w:r>
      <w:r>
        <w:t xml:space="preserve">riginal </w:t>
      </w:r>
      <w:r w:rsidR="00DC15AF">
        <w:t>e</w:t>
      </w:r>
      <w:r>
        <w:t xml:space="preserve">quipment </w:t>
      </w:r>
      <w:r w:rsidR="00DC15AF">
        <w:t>m</w:t>
      </w:r>
      <w:r>
        <w:t>anufacturers to meet the compliance requirements outlined in NOGRR255</w:t>
      </w:r>
      <w:r w:rsidR="00F45A0C">
        <w:t>,</w:t>
      </w:r>
      <w:r>
        <w:t xml:space="preserve"> and </w:t>
      </w:r>
      <w:r w:rsidR="00DC15AF">
        <w:t>original equipment manufacturers</w:t>
      </w:r>
      <w:r>
        <w:t xml:space="preserve"> will be stretched to provide the necessary retrofits across the country. As Southern</w:t>
      </w:r>
      <w:r w:rsidR="002E1F2A">
        <w:t xml:space="preserve"> Power</w:t>
      </w:r>
      <w:r>
        <w:t xml:space="preserve"> Company and Invenergy point out in </w:t>
      </w:r>
      <w:r w:rsidR="00DC15AF">
        <w:t>the 12/4/23 SPC and Invenergy comments,</w:t>
      </w:r>
      <w:r>
        <w:t xml:space="preserve"> the pressure on </w:t>
      </w:r>
      <w:r w:rsidR="00DC15AF">
        <w:t>original equipment manufacturers</w:t>
      </w:r>
      <w:r>
        <w:t xml:space="preserve"> </w:t>
      </w:r>
      <w:r w:rsidR="00300C14">
        <w:t>because of</w:t>
      </w:r>
      <w:r>
        <w:t xml:space="preserve"> NOGRR</w:t>
      </w:r>
      <w:r w:rsidR="00F45A0C">
        <w:t>255</w:t>
      </w:r>
      <w:r>
        <w:t xml:space="preserve"> is compounded by the proposed changes ERCOT is seeking in NOGRR245, Inverter</w:t>
      </w:r>
      <w:r w:rsidR="00890990">
        <w:t>-</w:t>
      </w:r>
      <w:r>
        <w:t xml:space="preserve">Based </w:t>
      </w:r>
      <w:r w:rsidR="00890990">
        <w:t xml:space="preserve">Resource (IBR) Ride-Through Requirements. </w:t>
      </w:r>
      <w:r>
        <w:t xml:space="preserve">ERCOT must be realistic with its compliance </w:t>
      </w:r>
      <w:r w:rsidR="00C8383C">
        <w:t xml:space="preserve">requirements and </w:t>
      </w:r>
      <w:r>
        <w:t>timelines</w:t>
      </w:r>
      <w:r w:rsidR="00F00A8B">
        <w:t xml:space="preserve"> in both NOGRR255 and NOGRR245</w:t>
      </w:r>
      <w:r w:rsidR="00F45A0C">
        <w:t>,</w:t>
      </w:r>
      <w:r w:rsidR="00F00A8B">
        <w:t xml:space="preserve"> as</w:t>
      </w:r>
      <w:r w:rsidR="00C8383C">
        <w:t xml:space="preserve"> solutions to meet the requirements are not yet understood nor is there an understanding </w:t>
      </w:r>
      <w:r w:rsidR="00DE6656">
        <w:t xml:space="preserve">at this time </w:t>
      </w:r>
      <w:r w:rsidR="00C8383C">
        <w:t xml:space="preserve">of when </w:t>
      </w:r>
      <w:r w:rsidR="006324A0">
        <w:t xml:space="preserve">and if </w:t>
      </w:r>
      <w:r w:rsidR="00C8383C">
        <w:t xml:space="preserve">solutions </w:t>
      </w:r>
      <w:r w:rsidR="00501B70">
        <w:t>can</w:t>
      </w:r>
      <w:r w:rsidR="00C8383C">
        <w:t xml:space="preserve"> be developed</w:t>
      </w:r>
      <w:r w:rsidR="006324A0">
        <w:t xml:space="preserve"> for legacy IBRs</w:t>
      </w:r>
      <w:r>
        <w:t>.</w:t>
      </w:r>
      <w:r w:rsidR="00DE6656">
        <w:t xml:space="preserve"> </w:t>
      </w:r>
    </w:p>
    <w:p w14:paraId="0A9D9BFB" w14:textId="034C5C72" w:rsidR="00FE53B0" w:rsidRDefault="00DC15AF" w:rsidP="00DC15AF">
      <w:pPr>
        <w:pStyle w:val="NormalArial"/>
        <w:spacing w:before="120" w:after="120"/>
      </w:pPr>
      <w:r>
        <w:t>Original equipment manufacturers</w:t>
      </w:r>
      <w:r w:rsidR="00B87D4C" w:rsidRPr="00B87D4C">
        <w:t xml:space="preserve"> or other software/hardware vendors </w:t>
      </w:r>
      <w:r w:rsidR="00F01D71">
        <w:t>will have to develop the necessary equipment and software to meet the</w:t>
      </w:r>
      <w:r w:rsidR="00B87D4C" w:rsidRPr="00B87D4C">
        <w:t xml:space="preserve"> requirements </w:t>
      </w:r>
      <w:r w:rsidR="00F01D71">
        <w:t>of NOGRR255 because solutions</w:t>
      </w:r>
      <w:r w:rsidR="00B87D4C" w:rsidRPr="00B87D4C">
        <w:t xml:space="preserve"> </w:t>
      </w:r>
      <w:r w:rsidR="00F01D71">
        <w:t xml:space="preserve">do </w:t>
      </w:r>
      <w:r w:rsidR="00B87D4C" w:rsidRPr="00B87D4C">
        <w:t xml:space="preserve">not </w:t>
      </w:r>
      <w:r w:rsidR="00F01D71">
        <w:t>exist</w:t>
      </w:r>
      <w:r w:rsidR="00B87D4C" w:rsidRPr="00B87D4C">
        <w:t xml:space="preserve"> today</w:t>
      </w:r>
      <w:r w:rsidR="00F01D71">
        <w:t xml:space="preserve">. ERCOT should set </w:t>
      </w:r>
      <w:r w:rsidR="00797F19">
        <w:t>reasonable</w:t>
      </w:r>
      <w:r w:rsidR="00D01F7B">
        <w:t xml:space="preserve"> and</w:t>
      </w:r>
      <w:r w:rsidR="00797F19">
        <w:t xml:space="preserve"> </w:t>
      </w:r>
      <w:r w:rsidR="00F01D71">
        <w:t xml:space="preserve">achievable </w:t>
      </w:r>
      <w:r w:rsidR="00DE6656">
        <w:t xml:space="preserve">compliance </w:t>
      </w:r>
      <w:r w:rsidR="00F01D71">
        <w:t xml:space="preserve">timelines </w:t>
      </w:r>
      <w:r w:rsidR="00797F19">
        <w:t>for</w:t>
      </w:r>
      <w:r w:rsidR="00F01D71">
        <w:t xml:space="preserve"> NOGRR255 in alignment with what </w:t>
      </w:r>
      <w:r>
        <w:t>original equipment manufacturers</w:t>
      </w:r>
      <w:r w:rsidR="00F01D71">
        <w:t xml:space="preserve"> and other software/hardware vendors believe is attainable</w:t>
      </w:r>
      <w:r w:rsidR="00D01F7B">
        <w:t>.</w:t>
      </w:r>
    </w:p>
    <w:p w14:paraId="77CF9FBE" w14:textId="29F0FDEB" w:rsidR="00193BCE" w:rsidRDefault="007C354C" w:rsidP="00DC15AF">
      <w:pPr>
        <w:pStyle w:val="NormalArial"/>
        <w:spacing w:before="120" w:after="120"/>
        <w:rPr>
          <w:color w:val="000000"/>
        </w:rPr>
      </w:pPr>
      <w:r>
        <w:t>I</w:t>
      </w:r>
      <w:r w:rsidR="00FE53B0">
        <w:t xml:space="preserve">n </w:t>
      </w:r>
      <w:r w:rsidR="00797F19">
        <w:t>S</w:t>
      </w:r>
      <w:r w:rsidR="00FE53B0">
        <w:t>ection 6.1.4.1.2</w:t>
      </w:r>
      <w:r w:rsidR="00F95A38">
        <w:t>, Fault Recording Data and Triggering Requirements,</w:t>
      </w:r>
      <w:r w:rsidR="00FE53B0">
        <w:t xml:space="preserve"> </w:t>
      </w:r>
      <w:r w:rsidR="00F95A38">
        <w:t>p</w:t>
      </w:r>
      <w:r w:rsidR="00FE53B0">
        <w:t xml:space="preserve">hase under and over-voltage fault record triggering requirements of 0.9 and </w:t>
      </w:r>
      <w:r w:rsidR="007E5DCB">
        <w:t>1.1</w:t>
      </w:r>
      <w:r w:rsidR="00FE53B0">
        <w:t>, respectively, for "two cycles or longer" is confusing language</w:t>
      </w:r>
      <w:r w:rsidR="00F01D71">
        <w:t xml:space="preserve"> at best</w:t>
      </w:r>
      <w:r w:rsidR="00DE6656">
        <w:t>.</w:t>
      </w:r>
      <w:r w:rsidR="00193BCE">
        <w:t xml:space="preserve"> </w:t>
      </w:r>
      <w:r w:rsidR="00DE6656">
        <w:t>A</w:t>
      </w:r>
      <w:r w:rsidR="00FE53B0">
        <w:t>t two cycles</w:t>
      </w:r>
      <w:r w:rsidR="00DE6656">
        <w:t>,</w:t>
      </w:r>
      <w:r w:rsidR="00FE53B0">
        <w:t xml:space="preserve"> these limits are within the </w:t>
      </w:r>
      <w:r w:rsidR="00F01D71">
        <w:t xml:space="preserve">NERC </w:t>
      </w:r>
      <w:r w:rsidR="00FE53B0">
        <w:t>PRC-024-3 "No Trip Zone" and would trigger unnecessary records. In this same section</w:t>
      </w:r>
      <w:r w:rsidR="00193BCE">
        <w:t>,</w:t>
      </w:r>
      <w:r w:rsidR="00FE53B0">
        <w:t xml:space="preserve"> the under and over-frequency requirements do not match what was issued in </w:t>
      </w:r>
      <w:r w:rsidR="00F01D71">
        <w:t xml:space="preserve">NERC </w:t>
      </w:r>
      <w:r w:rsidR="00FE53B0">
        <w:t xml:space="preserve">PRC-024-3. This was referenced </w:t>
      </w:r>
      <w:r w:rsidR="00F95A38">
        <w:t>in item 1 of the preamble comments of the 11/1/23 ERCOT comments</w:t>
      </w:r>
      <w:r w:rsidR="00B0022C">
        <w:t xml:space="preserve"> which </w:t>
      </w:r>
      <w:r w:rsidR="00FE53B0">
        <w:t>stat</w:t>
      </w:r>
      <w:r w:rsidR="00797F19">
        <w:t>es</w:t>
      </w:r>
      <w:r w:rsidR="00FE53B0">
        <w:t xml:space="preserve"> </w:t>
      </w:r>
      <w:r w:rsidR="00B0022C">
        <w:t xml:space="preserve">that </w:t>
      </w:r>
      <w:r w:rsidR="00FE53B0">
        <w:t xml:space="preserve">frequency triggers should be adjusted from 59.3 to 59.5 and 60.6 to 60.5, respectively. </w:t>
      </w:r>
      <w:r w:rsidR="00797F19">
        <w:t>However, t</w:t>
      </w:r>
      <w:r w:rsidR="00FE53B0">
        <w:t xml:space="preserve">he </w:t>
      </w:r>
      <w:r w:rsidR="00F01D71">
        <w:t xml:space="preserve">NERC </w:t>
      </w:r>
      <w:r w:rsidR="00FE53B0">
        <w:t>PRC-024-3 "No Trip Zone" limits for under and over-frequency are 59.4 and 60.6, respectively.</w:t>
      </w:r>
      <w:r w:rsidR="00F01D71">
        <w:t xml:space="preserve"> APA urges ERCOT to align</w:t>
      </w:r>
      <w:r w:rsidR="00797F19">
        <w:t xml:space="preserve"> NOGRR255</w:t>
      </w:r>
      <w:r w:rsidR="00F01D71">
        <w:t xml:space="preserve"> with NERC standards </w:t>
      </w:r>
      <w:r w:rsidR="00797F19">
        <w:t xml:space="preserve">to ensure that resource owners can comply with </w:t>
      </w:r>
      <w:r w:rsidR="00DE6656">
        <w:t xml:space="preserve">both </w:t>
      </w:r>
      <w:r w:rsidR="00797F19">
        <w:t>ERCOT</w:t>
      </w:r>
      <w:r w:rsidR="00DE6656">
        <w:t xml:space="preserve"> and NERC requirements</w:t>
      </w:r>
      <w:r w:rsidR="00F01D71">
        <w:t xml:space="preserve">. </w:t>
      </w:r>
      <w:r w:rsidR="00D01F7B">
        <w:t xml:space="preserve">As stated in the </w:t>
      </w:r>
      <w:r w:rsidR="00F95A38">
        <w:t xml:space="preserve">12/7/23 </w:t>
      </w:r>
      <w:r w:rsidR="00D01F7B">
        <w:t>Engie</w:t>
      </w:r>
      <w:r w:rsidR="00F95A38">
        <w:t xml:space="preserve"> comments</w:t>
      </w:r>
      <w:r w:rsidR="00D01F7B">
        <w:t>,</w:t>
      </w:r>
      <w:r w:rsidR="001B7AD9">
        <w:t xml:space="preserve"> </w:t>
      </w:r>
      <w:r w:rsidR="005051FD">
        <w:rPr>
          <w:color w:val="000000"/>
        </w:rPr>
        <w:t>a</w:t>
      </w:r>
      <w:r w:rsidR="00520461" w:rsidRPr="00520461">
        <w:rPr>
          <w:color w:val="000000"/>
        </w:rPr>
        <w:t xml:space="preserve"> single North American reliability standard will allow the industry to focus its efforts to</w:t>
      </w:r>
      <w:r w:rsidR="001B7AD9">
        <w:rPr>
          <w:color w:val="000000"/>
        </w:rPr>
        <w:t>ward</w:t>
      </w:r>
      <w:r w:rsidR="00520461" w:rsidRPr="00520461">
        <w:rPr>
          <w:color w:val="000000"/>
        </w:rPr>
        <w:t xml:space="preserve"> complying with one, mandatory standard rather than numerous different regional standards</w:t>
      </w:r>
      <w:r w:rsidR="00193BCE">
        <w:rPr>
          <w:color w:val="000000"/>
        </w:rPr>
        <w:t xml:space="preserve">. Further, </w:t>
      </w:r>
      <w:r w:rsidR="005051FD">
        <w:rPr>
          <w:color w:val="000000"/>
        </w:rPr>
        <w:t xml:space="preserve">APA </w:t>
      </w:r>
      <w:r w:rsidR="00193BCE">
        <w:rPr>
          <w:color w:val="000000"/>
        </w:rPr>
        <w:t>supports</w:t>
      </w:r>
      <w:r w:rsidR="00520461" w:rsidRPr="00520461">
        <w:rPr>
          <w:color w:val="000000"/>
        </w:rPr>
        <w:t xml:space="preserve"> Engie</w:t>
      </w:r>
      <w:r w:rsidR="005051FD">
        <w:rPr>
          <w:color w:val="000000"/>
        </w:rPr>
        <w:t>’s recommendation</w:t>
      </w:r>
      <w:r w:rsidR="00520461" w:rsidRPr="00520461">
        <w:rPr>
          <w:color w:val="000000"/>
        </w:rPr>
        <w:t xml:space="preserve"> that ERCOT issue a Request For Information to </w:t>
      </w:r>
      <w:r w:rsidR="00F95A38">
        <w:t xml:space="preserve">original equipment </w:t>
      </w:r>
      <w:r w:rsidR="00F95A38">
        <w:lastRenderedPageBreak/>
        <w:t>manufacturers</w:t>
      </w:r>
      <w:r w:rsidR="00520461" w:rsidRPr="00520461">
        <w:rPr>
          <w:color w:val="000000"/>
        </w:rPr>
        <w:t xml:space="preserve"> specifically addressing the IBR unit level data recording requirements to gain further context on the ability of existing IBR units to comply without retrofit.</w:t>
      </w:r>
      <w:r w:rsidR="00405CF9" w:rsidRPr="00405CF9">
        <w:rPr>
          <w:color w:val="000000"/>
        </w:rPr>
        <w:t xml:space="preserve"> </w:t>
      </w:r>
    </w:p>
    <w:p w14:paraId="7EA24CC0" w14:textId="1E38B42B" w:rsidR="0055032D" w:rsidRPr="00405CF9" w:rsidRDefault="00D01F7B" w:rsidP="00DC15AF">
      <w:pPr>
        <w:pStyle w:val="NormalArial"/>
        <w:spacing w:before="120" w:after="120"/>
      </w:pPr>
      <w:r>
        <w:t xml:space="preserve">In summary, </w:t>
      </w:r>
      <w:r w:rsidR="00193BCE">
        <w:t xml:space="preserve">APA recommends that NOGRR255 remain tabled at ROS to allow for alignment with the final NERC PRC-028 standard and to provide an opportunity for the </w:t>
      </w:r>
      <w:r w:rsidR="00B0022C">
        <w:t xml:space="preserve">aforementioned </w:t>
      </w:r>
      <w:r w:rsidR="00067106">
        <w:t>ERCOT</w:t>
      </w:r>
      <w:r w:rsidR="00193BCE">
        <w:t xml:space="preserve"> working groups to have time to deliberate the appropriate path forward for NOGRR255 implementation</w:t>
      </w:r>
      <w:r w:rsidR="00193BCE" w:rsidRPr="00520461">
        <w:t>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55032D" w14:paraId="1D17C291" w14:textId="77777777" w:rsidTr="004D37D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3674D93" w14:textId="77777777" w:rsidR="0055032D" w:rsidRDefault="0055032D" w:rsidP="004D37D7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338FF710" w14:textId="77777777" w:rsidR="0055032D" w:rsidRPr="007967F0" w:rsidRDefault="007967F0" w:rsidP="00DC15AF">
      <w:pPr>
        <w:pStyle w:val="BodyTex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None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410BEEBD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505F81B" w14:textId="77777777" w:rsidR="00152993" w:rsidRDefault="00152993">
            <w:pPr>
              <w:pStyle w:val="Header"/>
              <w:jc w:val="center"/>
            </w:pPr>
            <w:r>
              <w:t xml:space="preserve">Revised Proposed </w:t>
            </w:r>
            <w:r w:rsidR="00C158EE">
              <w:t xml:space="preserve">Guide </w:t>
            </w:r>
            <w:r>
              <w:t>Language</w:t>
            </w:r>
          </w:p>
        </w:tc>
      </w:tr>
    </w:tbl>
    <w:p w14:paraId="01D294B7" w14:textId="77777777" w:rsidR="007967F0" w:rsidRDefault="007967F0" w:rsidP="00DC15AF">
      <w:pPr>
        <w:pStyle w:val="BodyText"/>
        <w:rPr>
          <w:rFonts w:ascii="Arial" w:hAnsi="Arial" w:cs="Arial"/>
          <w:bCs/>
        </w:rPr>
      </w:pPr>
      <w:r w:rsidRPr="007967F0">
        <w:rPr>
          <w:rFonts w:ascii="Arial" w:hAnsi="Arial" w:cs="Arial"/>
          <w:bCs/>
        </w:rPr>
        <w:t>None</w:t>
      </w:r>
    </w:p>
    <w:p w14:paraId="069FF1F9" w14:textId="77777777" w:rsidR="00152993" w:rsidRDefault="00152993" w:rsidP="00194801">
      <w:pPr>
        <w:keepNext/>
        <w:tabs>
          <w:tab w:val="left" w:pos="1008"/>
        </w:tabs>
        <w:spacing w:after="240"/>
        <w:ind w:left="720" w:hanging="720"/>
        <w:outlineLvl w:val="2"/>
      </w:pPr>
    </w:p>
    <w:sectPr w:rsidR="00152993" w:rsidSect="00467C2C">
      <w:headerReference w:type="default" r:id="rId10"/>
      <w:footerReference w:type="default" r:id="rId11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9C81" w14:textId="77777777" w:rsidR="00C87D31" w:rsidRDefault="00C87D31">
      <w:r>
        <w:separator/>
      </w:r>
    </w:p>
  </w:endnote>
  <w:endnote w:type="continuationSeparator" w:id="0">
    <w:p w14:paraId="0BC968C7" w14:textId="77777777" w:rsidR="00C87D31" w:rsidRDefault="00C87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DC03E" w14:textId="7099877B" w:rsidR="003D0994" w:rsidRPr="006A2BB0" w:rsidRDefault="007967F0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 w:rsidRPr="006A2BB0">
      <w:rPr>
        <w:rFonts w:ascii="Arial" w:hAnsi="Arial"/>
        <w:sz w:val="18"/>
      </w:rPr>
      <w:t>2</w:t>
    </w:r>
    <w:r w:rsidR="0070230D" w:rsidRPr="006A2BB0">
      <w:rPr>
        <w:rFonts w:ascii="Arial" w:hAnsi="Arial"/>
        <w:sz w:val="18"/>
      </w:rPr>
      <w:t>55</w:t>
    </w:r>
    <w:r w:rsidR="007F4D61">
      <w:rPr>
        <w:rFonts w:ascii="Arial" w:hAnsi="Arial"/>
        <w:sz w:val="18"/>
      </w:rPr>
      <w:fldChar w:fldCharType="begin"/>
    </w:r>
    <w:r w:rsidR="007F4D61" w:rsidRPr="006A2BB0">
      <w:rPr>
        <w:rFonts w:ascii="Arial" w:hAnsi="Arial"/>
        <w:sz w:val="18"/>
      </w:rPr>
      <w:instrText xml:space="preserve"> FILENAME   \* MERGEFORMAT </w:instrText>
    </w:r>
    <w:r w:rsidR="007F4D61">
      <w:rPr>
        <w:rFonts w:ascii="Arial" w:hAnsi="Arial"/>
        <w:sz w:val="18"/>
      </w:rPr>
      <w:fldChar w:fldCharType="separate"/>
    </w:r>
    <w:r w:rsidR="007F4D61" w:rsidRPr="006A2BB0">
      <w:rPr>
        <w:rFonts w:ascii="Arial" w:hAnsi="Arial"/>
        <w:noProof/>
        <w:sz w:val="18"/>
      </w:rPr>
      <w:t>NOGRR</w:t>
    </w:r>
    <w:r w:rsidR="00722A33" w:rsidRPr="006A2BB0">
      <w:rPr>
        <w:rFonts w:ascii="Arial" w:hAnsi="Arial"/>
        <w:noProof/>
        <w:sz w:val="18"/>
      </w:rPr>
      <w:t>-</w:t>
    </w:r>
    <w:r w:rsidR="00427626">
      <w:rPr>
        <w:rFonts w:ascii="Arial" w:hAnsi="Arial"/>
        <w:noProof/>
        <w:sz w:val="18"/>
      </w:rPr>
      <w:t>12</w:t>
    </w:r>
    <w:r w:rsidR="007F4D61" w:rsidRPr="006A2BB0">
      <w:rPr>
        <w:rFonts w:ascii="Arial" w:hAnsi="Arial"/>
        <w:noProof/>
        <w:sz w:val="18"/>
      </w:rPr>
      <w:t xml:space="preserve"> </w:t>
    </w:r>
    <w:r w:rsidR="00FB5828" w:rsidRPr="006A2BB0">
      <w:rPr>
        <w:rFonts w:ascii="Arial" w:hAnsi="Arial"/>
        <w:noProof/>
        <w:sz w:val="18"/>
      </w:rPr>
      <w:t>A</w:t>
    </w:r>
    <w:r w:rsidR="00225E8D" w:rsidRPr="006A2BB0">
      <w:rPr>
        <w:rFonts w:ascii="Arial" w:hAnsi="Arial"/>
        <w:noProof/>
        <w:sz w:val="18"/>
      </w:rPr>
      <w:t xml:space="preserve">dvanced </w:t>
    </w:r>
    <w:r w:rsidR="00FB5828" w:rsidRPr="006A2BB0">
      <w:rPr>
        <w:rFonts w:ascii="Arial" w:hAnsi="Arial"/>
        <w:noProof/>
        <w:sz w:val="18"/>
      </w:rPr>
      <w:t>P</w:t>
    </w:r>
    <w:r w:rsidR="00225E8D" w:rsidRPr="006A2BB0">
      <w:rPr>
        <w:rFonts w:ascii="Arial" w:hAnsi="Arial"/>
        <w:noProof/>
        <w:sz w:val="18"/>
      </w:rPr>
      <w:t xml:space="preserve">ower </w:t>
    </w:r>
    <w:r w:rsidR="00FB5828" w:rsidRPr="006A2BB0">
      <w:rPr>
        <w:rFonts w:ascii="Arial" w:hAnsi="Arial"/>
        <w:noProof/>
        <w:sz w:val="18"/>
      </w:rPr>
      <w:t>A</w:t>
    </w:r>
    <w:r w:rsidR="00225E8D" w:rsidRPr="006A2BB0">
      <w:rPr>
        <w:rFonts w:ascii="Arial" w:hAnsi="Arial"/>
        <w:noProof/>
        <w:sz w:val="18"/>
      </w:rPr>
      <w:t>lliance</w:t>
    </w:r>
    <w:r w:rsidRPr="006A2BB0">
      <w:rPr>
        <w:rFonts w:ascii="Arial" w:hAnsi="Arial"/>
        <w:noProof/>
        <w:sz w:val="18"/>
      </w:rPr>
      <w:t xml:space="preserve"> Comments</w:t>
    </w:r>
    <w:r w:rsidR="00DC15AF">
      <w:rPr>
        <w:rFonts w:ascii="Arial" w:hAnsi="Arial"/>
        <w:noProof/>
        <w:sz w:val="18"/>
      </w:rPr>
      <w:t xml:space="preserve"> 12</w:t>
    </w:r>
    <w:r w:rsidR="00427626">
      <w:rPr>
        <w:rFonts w:ascii="Arial" w:hAnsi="Arial"/>
        <w:noProof/>
        <w:sz w:val="18"/>
      </w:rPr>
      <w:t>20</w:t>
    </w:r>
    <w:r w:rsidR="00DC15AF">
      <w:rPr>
        <w:rFonts w:ascii="Arial" w:hAnsi="Arial"/>
        <w:noProof/>
        <w:sz w:val="18"/>
      </w:rPr>
      <w:t>23</w:t>
    </w:r>
    <w:r w:rsidRPr="006A2BB0">
      <w:rPr>
        <w:rFonts w:ascii="Arial" w:hAnsi="Arial"/>
        <w:noProof/>
        <w:sz w:val="18"/>
      </w:rPr>
      <w:t xml:space="preserve"> </w:t>
    </w:r>
    <w:r w:rsidR="007F4D61">
      <w:rPr>
        <w:rFonts w:ascii="Arial" w:hAnsi="Arial"/>
        <w:sz w:val="18"/>
      </w:rPr>
      <w:fldChar w:fldCharType="end"/>
    </w:r>
    <w:r w:rsidR="003D0994" w:rsidRPr="006A2BB0">
      <w:rPr>
        <w:rFonts w:ascii="Arial" w:hAnsi="Arial"/>
        <w:sz w:val="18"/>
      </w:rPr>
      <w:tab/>
      <w:t xml:space="preserve">Page </w:t>
    </w:r>
    <w:r w:rsidR="003D0994">
      <w:rPr>
        <w:rFonts w:ascii="Arial" w:hAnsi="Arial"/>
        <w:sz w:val="18"/>
      </w:rPr>
      <w:fldChar w:fldCharType="begin"/>
    </w:r>
    <w:r w:rsidR="003D0994" w:rsidRPr="006A2BB0">
      <w:rPr>
        <w:rFonts w:ascii="Arial" w:hAnsi="Arial"/>
        <w:sz w:val="18"/>
      </w:rPr>
      <w:instrText xml:space="preserve"> PAGE </w:instrText>
    </w:r>
    <w:r w:rsidR="003D0994">
      <w:rPr>
        <w:rFonts w:ascii="Arial" w:hAnsi="Arial"/>
        <w:sz w:val="18"/>
      </w:rPr>
      <w:fldChar w:fldCharType="separate"/>
    </w:r>
    <w:r w:rsidR="007F4D61" w:rsidRPr="006A2BB0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  <w:r w:rsidR="003D0994" w:rsidRPr="006A2BB0">
      <w:rPr>
        <w:rFonts w:ascii="Arial" w:hAnsi="Arial"/>
        <w:sz w:val="18"/>
      </w:rPr>
      <w:t xml:space="preserve"> of </w:t>
    </w:r>
    <w:r w:rsidR="003D0994">
      <w:rPr>
        <w:rFonts w:ascii="Arial" w:hAnsi="Arial"/>
        <w:sz w:val="18"/>
      </w:rPr>
      <w:fldChar w:fldCharType="begin"/>
    </w:r>
    <w:r w:rsidR="003D0994" w:rsidRPr="006A2BB0">
      <w:rPr>
        <w:rFonts w:ascii="Arial" w:hAnsi="Arial"/>
        <w:sz w:val="18"/>
      </w:rPr>
      <w:instrText xml:space="preserve"> NUMPAGES </w:instrText>
    </w:r>
    <w:r w:rsidR="003D0994">
      <w:rPr>
        <w:rFonts w:ascii="Arial" w:hAnsi="Arial"/>
        <w:sz w:val="18"/>
      </w:rPr>
      <w:fldChar w:fldCharType="separate"/>
    </w:r>
    <w:r w:rsidR="007F4D61" w:rsidRPr="006A2BB0">
      <w:rPr>
        <w:rFonts w:ascii="Arial" w:hAnsi="Arial"/>
        <w:noProof/>
        <w:sz w:val="18"/>
      </w:rPr>
      <w:t>1</w:t>
    </w:r>
    <w:r w:rsidR="003D0994">
      <w:rPr>
        <w:rFonts w:ascii="Arial" w:hAnsi="Arial"/>
        <w:sz w:val="18"/>
      </w:rPr>
      <w:fldChar w:fldCharType="end"/>
    </w:r>
  </w:p>
  <w:p w14:paraId="1EA4E99C" w14:textId="77777777" w:rsidR="00FD08E8" w:rsidRDefault="00FD08E8" w:rsidP="003C405A">
    <w:pPr>
      <w:pStyle w:val="Footer"/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94AC" w14:textId="77777777" w:rsidR="00C87D31" w:rsidRDefault="00C87D31">
      <w:r>
        <w:separator/>
      </w:r>
    </w:p>
  </w:footnote>
  <w:footnote w:type="continuationSeparator" w:id="0">
    <w:p w14:paraId="550DAF93" w14:textId="77777777" w:rsidR="00C87D31" w:rsidRDefault="00C87D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509A0" w14:textId="77777777" w:rsidR="003D0994" w:rsidRDefault="00D825C5">
    <w:pPr>
      <w:pStyle w:val="Header"/>
      <w:jc w:val="center"/>
      <w:rPr>
        <w:sz w:val="32"/>
      </w:rPr>
    </w:pPr>
    <w:r>
      <w:rPr>
        <w:sz w:val="32"/>
      </w:rPr>
      <w:t>NOG</w:t>
    </w:r>
    <w:r w:rsidR="00C158EE">
      <w:rPr>
        <w:sz w:val="32"/>
      </w:rPr>
      <w:t xml:space="preserve">RR </w:t>
    </w:r>
    <w:r w:rsidR="003D0994">
      <w:rPr>
        <w:sz w:val="32"/>
      </w:rPr>
      <w:t>Comments</w:t>
    </w:r>
  </w:p>
  <w:p w14:paraId="1A3F445A" w14:textId="77777777" w:rsidR="003D0994" w:rsidRDefault="003D09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33CE137D"/>
    <w:multiLevelType w:val="hybridMultilevel"/>
    <w:tmpl w:val="F0A0B060"/>
    <w:lvl w:ilvl="0" w:tplc="4C3AA2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932322938">
    <w:abstractNumId w:val="0"/>
  </w:num>
  <w:num w:numId="2" w16cid:durableId="1580213736">
    <w:abstractNumId w:val="2"/>
  </w:num>
  <w:num w:numId="3" w16cid:durableId="16504760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012122"/>
    <w:rsid w:val="000270DA"/>
    <w:rsid w:val="0003103C"/>
    <w:rsid w:val="00032392"/>
    <w:rsid w:val="00035277"/>
    <w:rsid w:val="00036C55"/>
    <w:rsid w:val="00037668"/>
    <w:rsid w:val="0004521F"/>
    <w:rsid w:val="00046CD4"/>
    <w:rsid w:val="00050C2A"/>
    <w:rsid w:val="00051C5B"/>
    <w:rsid w:val="00067106"/>
    <w:rsid w:val="00075A94"/>
    <w:rsid w:val="000879AE"/>
    <w:rsid w:val="000A6F5F"/>
    <w:rsid w:val="000B46FA"/>
    <w:rsid w:val="000C073E"/>
    <w:rsid w:val="000C5F58"/>
    <w:rsid w:val="000C7FAE"/>
    <w:rsid w:val="000E5E9A"/>
    <w:rsid w:val="000F02AC"/>
    <w:rsid w:val="001120F7"/>
    <w:rsid w:val="00120283"/>
    <w:rsid w:val="00132855"/>
    <w:rsid w:val="00152993"/>
    <w:rsid w:val="0015646A"/>
    <w:rsid w:val="00170297"/>
    <w:rsid w:val="001705F0"/>
    <w:rsid w:val="00193BCE"/>
    <w:rsid w:val="00194801"/>
    <w:rsid w:val="001A227D"/>
    <w:rsid w:val="001A2F2E"/>
    <w:rsid w:val="001B3548"/>
    <w:rsid w:val="001B7AD9"/>
    <w:rsid w:val="001E2032"/>
    <w:rsid w:val="001E409D"/>
    <w:rsid w:val="001F11D1"/>
    <w:rsid w:val="001F3F45"/>
    <w:rsid w:val="00207937"/>
    <w:rsid w:val="00223593"/>
    <w:rsid w:val="00225E8D"/>
    <w:rsid w:val="00226C9D"/>
    <w:rsid w:val="00235BE6"/>
    <w:rsid w:val="00237F13"/>
    <w:rsid w:val="00253FAC"/>
    <w:rsid w:val="00260ADE"/>
    <w:rsid w:val="00261AF5"/>
    <w:rsid w:val="00273F5A"/>
    <w:rsid w:val="0027498A"/>
    <w:rsid w:val="002771E6"/>
    <w:rsid w:val="00285D95"/>
    <w:rsid w:val="002A0CED"/>
    <w:rsid w:val="002A2E04"/>
    <w:rsid w:val="002B1C8C"/>
    <w:rsid w:val="002B69D0"/>
    <w:rsid w:val="002D33C1"/>
    <w:rsid w:val="002E1F2A"/>
    <w:rsid w:val="00300220"/>
    <w:rsid w:val="00300C14"/>
    <w:rsid w:val="003010C0"/>
    <w:rsid w:val="00312A08"/>
    <w:rsid w:val="00332A97"/>
    <w:rsid w:val="00350C00"/>
    <w:rsid w:val="003604B2"/>
    <w:rsid w:val="00366113"/>
    <w:rsid w:val="003713CE"/>
    <w:rsid w:val="00374E22"/>
    <w:rsid w:val="00377AB8"/>
    <w:rsid w:val="00391C9A"/>
    <w:rsid w:val="003A269A"/>
    <w:rsid w:val="003A69B0"/>
    <w:rsid w:val="003B0923"/>
    <w:rsid w:val="003C270C"/>
    <w:rsid w:val="003C405A"/>
    <w:rsid w:val="003D0994"/>
    <w:rsid w:val="003D294E"/>
    <w:rsid w:val="003E009E"/>
    <w:rsid w:val="003E7D74"/>
    <w:rsid w:val="003F1034"/>
    <w:rsid w:val="00405CF9"/>
    <w:rsid w:val="00406E72"/>
    <w:rsid w:val="00411AF5"/>
    <w:rsid w:val="004125DE"/>
    <w:rsid w:val="00423824"/>
    <w:rsid w:val="00427626"/>
    <w:rsid w:val="0043567D"/>
    <w:rsid w:val="00444EBF"/>
    <w:rsid w:val="00453940"/>
    <w:rsid w:val="00467C2C"/>
    <w:rsid w:val="0047789B"/>
    <w:rsid w:val="004A09F1"/>
    <w:rsid w:val="004A3F72"/>
    <w:rsid w:val="004B0BA6"/>
    <w:rsid w:val="004B7B90"/>
    <w:rsid w:val="004C2123"/>
    <w:rsid w:val="004C2590"/>
    <w:rsid w:val="004C6602"/>
    <w:rsid w:val="004D37D7"/>
    <w:rsid w:val="004E0B88"/>
    <w:rsid w:val="004E2C19"/>
    <w:rsid w:val="004E7EA7"/>
    <w:rsid w:val="00500CFF"/>
    <w:rsid w:val="00501B70"/>
    <w:rsid w:val="0050326C"/>
    <w:rsid w:val="005051FD"/>
    <w:rsid w:val="00507FF4"/>
    <w:rsid w:val="00511268"/>
    <w:rsid w:val="00516387"/>
    <w:rsid w:val="00520461"/>
    <w:rsid w:val="00530B33"/>
    <w:rsid w:val="00532F2B"/>
    <w:rsid w:val="0055032D"/>
    <w:rsid w:val="0056457F"/>
    <w:rsid w:val="00595BB5"/>
    <w:rsid w:val="005B378E"/>
    <w:rsid w:val="005C019D"/>
    <w:rsid w:val="005C0A3B"/>
    <w:rsid w:val="005D1CD6"/>
    <w:rsid w:val="005D284C"/>
    <w:rsid w:val="005E08B9"/>
    <w:rsid w:val="005E67A2"/>
    <w:rsid w:val="005F11B3"/>
    <w:rsid w:val="005F2402"/>
    <w:rsid w:val="0060231D"/>
    <w:rsid w:val="00612006"/>
    <w:rsid w:val="0062470F"/>
    <w:rsid w:val="006324A0"/>
    <w:rsid w:val="00633E23"/>
    <w:rsid w:val="00641B64"/>
    <w:rsid w:val="006437DF"/>
    <w:rsid w:val="00655CD9"/>
    <w:rsid w:val="00661EA1"/>
    <w:rsid w:val="00673B94"/>
    <w:rsid w:val="00680AC6"/>
    <w:rsid w:val="006835D8"/>
    <w:rsid w:val="00693B7A"/>
    <w:rsid w:val="006A2BB0"/>
    <w:rsid w:val="006A42D5"/>
    <w:rsid w:val="006C270B"/>
    <w:rsid w:val="006C316E"/>
    <w:rsid w:val="006C3443"/>
    <w:rsid w:val="006D00BD"/>
    <w:rsid w:val="006D0F7C"/>
    <w:rsid w:val="006D640F"/>
    <w:rsid w:val="006E66DC"/>
    <w:rsid w:val="006F1859"/>
    <w:rsid w:val="0070230D"/>
    <w:rsid w:val="00720D84"/>
    <w:rsid w:val="00722A33"/>
    <w:rsid w:val="007269C4"/>
    <w:rsid w:val="00734EAF"/>
    <w:rsid w:val="0074209E"/>
    <w:rsid w:val="00785D4A"/>
    <w:rsid w:val="007948D8"/>
    <w:rsid w:val="007967F0"/>
    <w:rsid w:val="00797787"/>
    <w:rsid w:val="00797F19"/>
    <w:rsid w:val="007B045B"/>
    <w:rsid w:val="007B4BAA"/>
    <w:rsid w:val="007C354C"/>
    <w:rsid w:val="007C5618"/>
    <w:rsid w:val="007D0F0E"/>
    <w:rsid w:val="007E5DCB"/>
    <w:rsid w:val="007F2CA8"/>
    <w:rsid w:val="007F4D61"/>
    <w:rsid w:val="007F680C"/>
    <w:rsid w:val="007F7161"/>
    <w:rsid w:val="00845ACA"/>
    <w:rsid w:val="0085559E"/>
    <w:rsid w:val="00884546"/>
    <w:rsid w:val="00890990"/>
    <w:rsid w:val="00896B1B"/>
    <w:rsid w:val="008C7DCD"/>
    <w:rsid w:val="008E559E"/>
    <w:rsid w:val="008E5B98"/>
    <w:rsid w:val="00916080"/>
    <w:rsid w:val="00921A68"/>
    <w:rsid w:val="00921FDC"/>
    <w:rsid w:val="00924B61"/>
    <w:rsid w:val="009439E5"/>
    <w:rsid w:val="00950C91"/>
    <w:rsid w:val="00960706"/>
    <w:rsid w:val="00961D0F"/>
    <w:rsid w:val="009A06F0"/>
    <w:rsid w:val="009C7C20"/>
    <w:rsid w:val="009D0510"/>
    <w:rsid w:val="009F535B"/>
    <w:rsid w:val="00A015C4"/>
    <w:rsid w:val="00A04C96"/>
    <w:rsid w:val="00A06643"/>
    <w:rsid w:val="00A1052B"/>
    <w:rsid w:val="00A15172"/>
    <w:rsid w:val="00A216B0"/>
    <w:rsid w:val="00A36F38"/>
    <w:rsid w:val="00A42462"/>
    <w:rsid w:val="00A5662D"/>
    <w:rsid w:val="00A57708"/>
    <w:rsid w:val="00A60964"/>
    <w:rsid w:val="00A7151E"/>
    <w:rsid w:val="00A72975"/>
    <w:rsid w:val="00A94535"/>
    <w:rsid w:val="00A94C31"/>
    <w:rsid w:val="00AA115D"/>
    <w:rsid w:val="00AB15BE"/>
    <w:rsid w:val="00AB4F47"/>
    <w:rsid w:val="00AD4B5B"/>
    <w:rsid w:val="00AE4688"/>
    <w:rsid w:val="00B0022C"/>
    <w:rsid w:val="00B265C4"/>
    <w:rsid w:val="00B45BAD"/>
    <w:rsid w:val="00B56AE6"/>
    <w:rsid w:val="00B7350C"/>
    <w:rsid w:val="00B81D8E"/>
    <w:rsid w:val="00B87D4C"/>
    <w:rsid w:val="00B925B5"/>
    <w:rsid w:val="00B94AC6"/>
    <w:rsid w:val="00B96183"/>
    <w:rsid w:val="00BA72B8"/>
    <w:rsid w:val="00BC194F"/>
    <w:rsid w:val="00BD28CB"/>
    <w:rsid w:val="00BF6DA1"/>
    <w:rsid w:val="00C0598D"/>
    <w:rsid w:val="00C069B9"/>
    <w:rsid w:val="00C10A18"/>
    <w:rsid w:val="00C10B1F"/>
    <w:rsid w:val="00C11956"/>
    <w:rsid w:val="00C158EE"/>
    <w:rsid w:val="00C3044C"/>
    <w:rsid w:val="00C35908"/>
    <w:rsid w:val="00C510C1"/>
    <w:rsid w:val="00C5128B"/>
    <w:rsid w:val="00C602E5"/>
    <w:rsid w:val="00C609E6"/>
    <w:rsid w:val="00C71B42"/>
    <w:rsid w:val="00C748FD"/>
    <w:rsid w:val="00C8383C"/>
    <w:rsid w:val="00C87D31"/>
    <w:rsid w:val="00CA2638"/>
    <w:rsid w:val="00CB3B37"/>
    <w:rsid w:val="00CB68C0"/>
    <w:rsid w:val="00CB6B03"/>
    <w:rsid w:val="00CE06B1"/>
    <w:rsid w:val="00CE2EF0"/>
    <w:rsid w:val="00D01F7B"/>
    <w:rsid w:val="00D123CC"/>
    <w:rsid w:val="00D132CF"/>
    <w:rsid w:val="00D24DCF"/>
    <w:rsid w:val="00D26048"/>
    <w:rsid w:val="00D34243"/>
    <w:rsid w:val="00D4046E"/>
    <w:rsid w:val="00D50F72"/>
    <w:rsid w:val="00D5259F"/>
    <w:rsid w:val="00D54E94"/>
    <w:rsid w:val="00D7038D"/>
    <w:rsid w:val="00D7695F"/>
    <w:rsid w:val="00D825C5"/>
    <w:rsid w:val="00DC15AF"/>
    <w:rsid w:val="00DC1EC1"/>
    <w:rsid w:val="00DC47FE"/>
    <w:rsid w:val="00DC4A4E"/>
    <w:rsid w:val="00DC5A93"/>
    <w:rsid w:val="00DD4739"/>
    <w:rsid w:val="00DE5F33"/>
    <w:rsid w:val="00DE6656"/>
    <w:rsid w:val="00DE7153"/>
    <w:rsid w:val="00DF21B3"/>
    <w:rsid w:val="00E07B54"/>
    <w:rsid w:val="00E11F78"/>
    <w:rsid w:val="00E11FFC"/>
    <w:rsid w:val="00E27E86"/>
    <w:rsid w:val="00E61CEC"/>
    <w:rsid w:val="00E621E1"/>
    <w:rsid w:val="00E62FDA"/>
    <w:rsid w:val="00E7022E"/>
    <w:rsid w:val="00E70F4B"/>
    <w:rsid w:val="00E71ED2"/>
    <w:rsid w:val="00E74638"/>
    <w:rsid w:val="00E82620"/>
    <w:rsid w:val="00EB1DD1"/>
    <w:rsid w:val="00EB2D03"/>
    <w:rsid w:val="00EC55B3"/>
    <w:rsid w:val="00EE02AD"/>
    <w:rsid w:val="00EF245C"/>
    <w:rsid w:val="00F00A8B"/>
    <w:rsid w:val="00F01D71"/>
    <w:rsid w:val="00F02BAC"/>
    <w:rsid w:val="00F03355"/>
    <w:rsid w:val="00F04394"/>
    <w:rsid w:val="00F075E1"/>
    <w:rsid w:val="00F17B95"/>
    <w:rsid w:val="00F26F75"/>
    <w:rsid w:val="00F45A0C"/>
    <w:rsid w:val="00F51799"/>
    <w:rsid w:val="00F6006C"/>
    <w:rsid w:val="00F6161E"/>
    <w:rsid w:val="00F63C73"/>
    <w:rsid w:val="00F6745E"/>
    <w:rsid w:val="00F714F9"/>
    <w:rsid w:val="00F721C8"/>
    <w:rsid w:val="00F76AA9"/>
    <w:rsid w:val="00F95A38"/>
    <w:rsid w:val="00F96FB2"/>
    <w:rsid w:val="00FA0F57"/>
    <w:rsid w:val="00FA43BA"/>
    <w:rsid w:val="00FB51D8"/>
    <w:rsid w:val="00FB5828"/>
    <w:rsid w:val="00FC1E77"/>
    <w:rsid w:val="00FD08E8"/>
    <w:rsid w:val="00FE53B0"/>
    <w:rsid w:val="00FE5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EF0D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styleId="UnresolvedMention">
    <w:name w:val="Unresolved Mention"/>
    <w:uiPriority w:val="99"/>
    <w:semiHidden/>
    <w:unhideWhenUsed/>
    <w:rsid w:val="005F11B3"/>
    <w:rPr>
      <w:color w:val="605E5C"/>
      <w:shd w:val="clear" w:color="auto" w:fill="E1DFDD"/>
    </w:rPr>
  </w:style>
  <w:style w:type="character" w:customStyle="1" w:styleId="NormalArialChar">
    <w:name w:val="Normal+Arial Char"/>
    <w:link w:val="NormalArial"/>
    <w:locked/>
    <w:rsid w:val="005F11B3"/>
    <w:rPr>
      <w:rFonts w:ascii="Arial" w:hAnsi="Arial"/>
      <w:sz w:val="24"/>
      <w:szCs w:val="24"/>
      <w:lang w:eastAsia="en-US"/>
    </w:rPr>
  </w:style>
  <w:style w:type="paragraph" w:styleId="Revision">
    <w:name w:val="Revision"/>
    <w:hidden/>
    <w:uiPriority w:val="99"/>
    <w:semiHidden/>
    <w:rsid w:val="00A72975"/>
    <w:rPr>
      <w:sz w:val="24"/>
      <w:szCs w:val="24"/>
    </w:rPr>
  </w:style>
  <w:style w:type="character" w:styleId="Emphasis">
    <w:name w:val="Emphasis"/>
    <w:basedOn w:val="DefaultParagraphFont"/>
    <w:qFormat/>
    <w:rsid w:val="0042762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cot.com/mktrules/issues/NOGRR25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donohoo@owler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9741BA-7548-4625-B25F-2E8D92FC815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f0b5984-4d4b-4642-8c7a-789ae3224944}" enabled="0" method="" siteId="{3f0b5984-4d4b-4642-8c7a-789ae322494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923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Links>
    <vt:vector size="12" baseType="variant">
      <vt:variant>
        <vt:i4>6160445</vt:i4>
      </vt:variant>
      <vt:variant>
        <vt:i4>3</vt:i4>
      </vt:variant>
      <vt:variant>
        <vt:i4>0</vt:i4>
      </vt:variant>
      <vt:variant>
        <vt:i4>5</vt:i4>
      </vt:variant>
      <vt:variant>
        <vt:lpwstr>mailto:Thomas.burke@rwe.com</vt:lpwstr>
      </vt:variant>
      <vt:variant>
        <vt:lpwstr/>
      </vt:variant>
      <vt:variant>
        <vt:i4>7798816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https://www.ercot.com/mktrules/issues/NOGRR245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2023-12-20T05:09:00Z</dcterms:created>
  <dcterms:modified xsi:type="dcterms:W3CDTF">2023-12-20T22:17:00Z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2023-12-20T05:09:53Z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b758c631-8306-4c20-8ddb-8143880b4220</vt:lpwstr>
  </property>
  <property fmtid="{D5CDD505-2E9C-101B-9397-08002B2CF9AE}" pid="8" name="MSIP_Label_7084cbda-52b8-46fb-a7b7-cb5bd465ed85_ContentBits">
    <vt:lpwstr>0</vt:lpwstr>
  </property>
</Properties>
</file>