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110"/>
        <w:gridCol w:w="1050"/>
        <w:gridCol w:w="6660"/>
      </w:tblGrid>
      <w:tr w:rsidR="00F44C7C" w14:paraId="3A1BB15D" w14:textId="77777777" w:rsidTr="0B61FC23">
        <w:trPr>
          <w:trHeight w:val="300"/>
        </w:trPr>
        <w:tc>
          <w:tcPr>
            <w:tcW w:w="1620" w:type="dxa"/>
            <w:tcBorders>
              <w:bottom w:val="single" w:sz="4" w:space="0" w:color="auto"/>
            </w:tcBorders>
            <w:shd w:val="clear" w:color="auto" w:fill="FFFFFF" w:themeFill="background1"/>
            <w:vAlign w:val="center"/>
          </w:tcPr>
          <w:p w14:paraId="40A46A7C" w14:textId="77777777" w:rsidR="00F44C7C" w:rsidRDefault="00F44C7C" w:rsidP="00F44C7C">
            <w:pPr>
              <w:pStyle w:val="Header"/>
              <w:rPr>
                <w:rFonts w:ascii="Verdana" w:hAnsi="Verdana"/>
                <w:sz w:val="22"/>
              </w:rPr>
            </w:pPr>
            <w:r>
              <w:t>NPRR Number</w:t>
            </w:r>
          </w:p>
        </w:tc>
        <w:tc>
          <w:tcPr>
            <w:tcW w:w="1110" w:type="dxa"/>
            <w:tcBorders>
              <w:bottom w:val="single" w:sz="4" w:space="0" w:color="auto"/>
            </w:tcBorders>
            <w:vAlign w:val="center"/>
          </w:tcPr>
          <w:p w14:paraId="7E95F454" w14:textId="77777777" w:rsidR="00F44C7C" w:rsidRDefault="009E538A" w:rsidP="00F44C7C">
            <w:pPr>
              <w:pStyle w:val="Header"/>
            </w:pPr>
            <w:hyperlink r:id="rId8" w:history="1">
              <w:r w:rsidR="00F44C7C" w:rsidRPr="00446C49">
                <w:rPr>
                  <w:rStyle w:val="Hyperlink"/>
                </w:rPr>
                <w:t>1191</w:t>
              </w:r>
            </w:hyperlink>
          </w:p>
        </w:tc>
        <w:tc>
          <w:tcPr>
            <w:tcW w:w="1050" w:type="dxa"/>
            <w:tcBorders>
              <w:bottom w:val="single" w:sz="4" w:space="0" w:color="auto"/>
            </w:tcBorders>
            <w:shd w:val="clear" w:color="auto" w:fill="FFFFFF" w:themeFill="background1"/>
            <w:vAlign w:val="center"/>
          </w:tcPr>
          <w:p w14:paraId="59CB4030" w14:textId="77777777" w:rsidR="00F44C7C" w:rsidRDefault="00F44C7C" w:rsidP="00F44C7C">
            <w:pPr>
              <w:pStyle w:val="Header"/>
            </w:pPr>
            <w:r>
              <w:t>NPRR Title</w:t>
            </w:r>
          </w:p>
        </w:tc>
        <w:tc>
          <w:tcPr>
            <w:tcW w:w="6660" w:type="dxa"/>
            <w:tcBorders>
              <w:bottom w:val="single" w:sz="4" w:space="0" w:color="auto"/>
            </w:tcBorders>
            <w:vAlign w:val="center"/>
          </w:tcPr>
          <w:p w14:paraId="656A4D13" w14:textId="77777777" w:rsidR="00F44C7C" w:rsidRDefault="00F44C7C" w:rsidP="00F44C7C">
            <w:pPr>
              <w:pStyle w:val="Header"/>
            </w:pPr>
            <w:r>
              <w:t>Registration, Interconnection, and Operation of Customers with Large Loads; Information Required of Customers with Loads 25 MW or Greater</w:t>
            </w:r>
          </w:p>
        </w:tc>
      </w:tr>
      <w:tr w:rsidR="00152993" w14:paraId="03D98586" w14:textId="77777777" w:rsidTr="0B61FC23">
        <w:trPr>
          <w:trHeight w:val="413"/>
        </w:trPr>
        <w:tc>
          <w:tcPr>
            <w:tcW w:w="2730" w:type="dxa"/>
            <w:gridSpan w:val="2"/>
            <w:tcBorders>
              <w:top w:val="nil"/>
              <w:left w:val="nil"/>
              <w:bottom w:val="single" w:sz="4" w:space="0" w:color="auto"/>
              <w:right w:val="nil"/>
            </w:tcBorders>
            <w:vAlign w:val="center"/>
          </w:tcPr>
          <w:p w14:paraId="536FFFFF" w14:textId="77777777" w:rsidR="00152993" w:rsidRDefault="00152993">
            <w:pPr>
              <w:pStyle w:val="NormalArial"/>
            </w:pPr>
          </w:p>
        </w:tc>
        <w:tc>
          <w:tcPr>
            <w:tcW w:w="7710" w:type="dxa"/>
            <w:gridSpan w:val="2"/>
            <w:tcBorders>
              <w:top w:val="single" w:sz="4" w:space="0" w:color="auto"/>
              <w:left w:val="nil"/>
              <w:bottom w:val="nil"/>
              <w:right w:val="nil"/>
            </w:tcBorders>
            <w:vAlign w:val="center"/>
          </w:tcPr>
          <w:p w14:paraId="0ABCB0DB" w14:textId="77777777" w:rsidR="00152993" w:rsidRDefault="00152993">
            <w:pPr>
              <w:pStyle w:val="NormalArial"/>
            </w:pPr>
          </w:p>
        </w:tc>
      </w:tr>
      <w:tr w:rsidR="00152993" w14:paraId="04DB7963" w14:textId="77777777" w:rsidTr="0B61FC23">
        <w:trPr>
          <w:trHeight w:val="440"/>
        </w:trPr>
        <w:tc>
          <w:tcPr>
            <w:tcW w:w="2730" w:type="dxa"/>
            <w:gridSpan w:val="2"/>
            <w:tcBorders>
              <w:top w:val="single" w:sz="4" w:space="0" w:color="auto"/>
              <w:left w:val="single" w:sz="4" w:space="0" w:color="auto"/>
              <w:bottom w:val="single" w:sz="4" w:space="0" w:color="auto"/>
              <w:right w:val="single" w:sz="4" w:space="0" w:color="auto"/>
            </w:tcBorders>
            <w:vAlign w:val="center"/>
          </w:tcPr>
          <w:p w14:paraId="4AE40F7D" w14:textId="77777777" w:rsidR="00152993" w:rsidRPr="00E50551" w:rsidRDefault="00152993" w:rsidP="0B61FC23">
            <w:pPr>
              <w:pStyle w:val="Header"/>
            </w:pPr>
            <w:r>
              <w:t>Date</w:t>
            </w:r>
          </w:p>
        </w:tc>
        <w:tc>
          <w:tcPr>
            <w:tcW w:w="7710" w:type="dxa"/>
            <w:gridSpan w:val="2"/>
            <w:tcBorders>
              <w:top w:val="single" w:sz="4" w:space="0" w:color="auto"/>
              <w:left w:val="single" w:sz="4" w:space="0" w:color="auto"/>
              <w:bottom w:val="single" w:sz="4" w:space="0" w:color="auto"/>
              <w:right w:val="single" w:sz="4" w:space="0" w:color="auto"/>
            </w:tcBorders>
            <w:vAlign w:val="center"/>
          </w:tcPr>
          <w:p w14:paraId="2A3315E3" w14:textId="43C04C5B" w:rsidR="00152993" w:rsidRPr="00E50551" w:rsidRDefault="00602074" w:rsidP="0B61FC23">
            <w:pPr>
              <w:pStyle w:val="NormalArial"/>
            </w:pPr>
            <w:r>
              <w:t>December 20, 2023</w:t>
            </w:r>
          </w:p>
        </w:tc>
      </w:tr>
      <w:tr w:rsidR="00152993" w14:paraId="7AA8E840" w14:textId="77777777" w:rsidTr="0B61FC23">
        <w:trPr>
          <w:trHeight w:val="467"/>
        </w:trPr>
        <w:tc>
          <w:tcPr>
            <w:tcW w:w="2730" w:type="dxa"/>
            <w:gridSpan w:val="2"/>
            <w:tcBorders>
              <w:top w:val="single" w:sz="4" w:space="0" w:color="auto"/>
              <w:left w:val="nil"/>
              <w:bottom w:val="nil"/>
              <w:right w:val="nil"/>
            </w:tcBorders>
            <w:shd w:val="clear" w:color="auto" w:fill="FFFFFF" w:themeFill="background1"/>
            <w:vAlign w:val="center"/>
          </w:tcPr>
          <w:p w14:paraId="72CC8F39" w14:textId="77777777" w:rsidR="00152993" w:rsidRDefault="00152993">
            <w:pPr>
              <w:pStyle w:val="NormalArial"/>
            </w:pPr>
          </w:p>
        </w:tc>
        <w:tc>
          <w:tcPr>
            <w:tcW w:w="7710" w:type="dxa"/>
            <w:gridSpan w:val="2"/>
            <w:tcBorders>
              <w:top w:val="nil"/>
              <w:left w:val="nil"/>
              <w:bottom w:val="nil"/>
              <w:right w:val="nil"/>
            </w:tcBorders>
            <w:vAlign w:val="center"/>
          </w:tcPr>
          <w:p w14:paraId="2C9F69C1" w14:textId="77777777" w:rsidR="00152993" w:rsidRDefault="00152993">
            <w:pPr>
              <w:pStyle w:val="NormalArial"/>
            </w:pPr>
          </w:p>
        </w:tc>
      </w:tr>
      <w:tr w:rsidR="00152993" w14:paraId="68104689" w14:textId="77777777" w:rsidTr="0B61FC23">
        <w:trPr>
          <w:trHeight w:val="440"/>
        </w:trPr>
        <w:tc>
          <w:tcPr>
            <w:tcW w:w="10440" w:type="dxa"/>
            <w:gridSpan w:val="4"/>
            <w:tcBorders>
              <w:top w:val="single" w:sz="4" w:space="0" w:color="auto"/>
            </w:tcBorders>
            <w:shd w:val="clear" w:color="auto" w:fill="FFFFFF" w:themeFill="background1"/>
            <w:vAlign w:val="center"/>
          </w:tcPr>
          <w:p w14:paraId="3CE2E8F8" w14:textId="77777777" w:rsidR="00152993" w:rsidRDefault="00152993">
            <w:pPr>
              <w:pStyle w:val="Header"/>
              <w:jc w:val="center"/>
            </w:pPr>
            <w:r>
              <w:t>Submitter’s Information</w:t>
            </w:r>
          </w:p>
        </w:tc>
      </w:tr>
      <w:tr w:rsidR="00152993" w14:paraId="7657E0AA" w14:textId="77777777" w:rsidTr="0B61FC23">
        <w:trPr>
          <w:trHeight w:val="350"/>
        </w:trPr>
        <w:tc>
          <w:tcPr>
            <w:tcW w:w="2730" w:type="dxa"/>
            <w:gridSpan w:val="2"/>
            <w:shd w:val="clear" w:color="auto" w:fill="FFFFFF" w:themeFill="background1"/>
            <w:vAlign w:val="center"/>
          </w:tcPr>
          <w:p w14:paraId="536EEACF" w14:textId="77777777" w:rsidR="00152993" w:rsidRPr="00814B07" w:rsidRDefault="00152993" w:rsidP="0B61FC23">
            <w:pPr>
              <w:pStyle w:val="Header"/>
            </w:pPr>
            <w:r>
              <w:t>Name</w:t>
            </w:r>
          </w:p>
        </w:tc>
        <w:tc>
          <w:tcPr>
            <w:tcW w:w="7710" w:type="dxa"/>
            <w:gridSpan w:val="2"/>
            <w:vAlign w:val="center"/>
          </w:tcPr>
          <w:p w14:paraId="6132D666" w14:textId="56AFEDCD" w:rsidR="00152993" w:rsidRPr="00814B07" w:rsidRDefault="77780AE3" w:rsidP="0B61FC23">
            <w:pPr>
              <w:pStyle w:val="NormalArial"/>
            </w:pPr>
            <w:r>
              <w:t>Aaron Tinjum</w:t>
            </w:r>
          </w:p>
        </w:tc>
      </w:tr>
      <w:tr w:rsidR="00152993" w14:paraId="5C747755" w14:textId="77777777" w:rsidTr="0B61FC23">
        <w:trPr>
          <w:trHeight w:val="350"/>
        </w:trPr>
        <w:tc>
          <w:tcPr>
            <w:tcW w:w="2730" w:type="dxa"/>
            <w:gridSpan w:val="2"/>
            <w:shd w:val="clear" w:color="auto" w:fill="FFFFFF" w:themeFill="background1"/>
            <w:vAlign w:val="center"/>
          </w:tcPr>
          <w:p w14:paraId="2452E341" w14:textId="77777777" w:rsidR="00152993" w:rsidRPr="00814B07" w:rsidRDefault="00152993" w:rsidP="0B61FC23">
            <w:pPr>
              <w:pStyle w:val="Header"/>
            </w:pPr>
            <w:r>
              <w:t>E-mail Address</w:t>
            </w:r>
          </w:p>
        </w:tc>
        <w:tc>
          <w:tcPr>
            <w:tcW w:w="7710" w:type="dxa"/>
            <w:gridSpan w:val="2"/>
            <w:vAlign w:val="center"/>
          </w:tcPr>
          <w:p w14:paraId="1AE4F415" w14:textId="2922DF03" w:rsidR="00152993" w:rsidRPr="00814B07" w:rsidRDefault="009E538A" w:rsidP="0B61FC23">
            <w:pPr>
              <w:pStyle w:val="NormalArial"/>
            </w:pPr>
            <w:hyperlink r:id="rId9" w:history="1">
              <w:r w:rsidR="002525E7" w:rsidRPr="00DD3AF4">
                <w:rPr>
                  <w:rStyle w:val="Hyperlink"/>
                </w:rPr>
                <w:t>aaron@datacentercoalition.org</w:t>
              </w:r>
            </w:hyperlink>
            <w:r w:rsidR="002525E7">
              <w:t xml:space="preserve"> </w:t>
            </w:r>
          </w:p>
        </w:tc>
      </w:tr>
      <w:tr w:rsidR="00152993" w14:paraId="097DA585" w14:textId="77777777" w:rsidTr="0B61FC23">
        <w:trPr>
          <w:trHeight w:val="350"/>
        </w:trPr>
        <w:tc>
          <w:tcPr>
            <w:tcW w:w="2730" w:type="dxa"/>
            <w:gridSpan w:val="2"/>
            <w:shd w:val="clear" w:color="auto" w:fill="FFFFFF" w:themeFill="background1"/>
            <w:vAlign w:val="center"/>
          </w:tcPr>
          <w:p w14:paraId="7B12F06F" w14:textId="77777777" w:rsidR="00152993" w:rsidRPr="00814B07" w:rsidRDefault="00152993" w:rsidP="0B61FC23">
            <w:pPr>
              <w:pStyle w:val="Header"/>
            </w:pPr>
            <w:r>
              <w:t>Company</w:t>
            </w:r>
          </w:p>
        </w:tc>
        <w:tc>
          <w:tcPr>
            <w:tcW w:w="7710" w:type="dxa"/>
            <w:gridSpan w:val="2"/>
            <w:vAlign w:val="center"/>
          </w:tcPr>
          <w:p w14:paraId="209EDC7F" w14:textId="6E8C1F2E" w:rsidR="00152993" w:rsidRPr="00814B07" w:rsidRDefault="6A59945F" w:rsidP="0B61FC23">
            <w:pPr>
              <w:pStyle w:val="NormalArial"/>
            </w:pPr>
            <w:r>
              <w:t>Data Center Coalition</w:t>
            </w:r>
          </w:p>
        </w:tc>
      </w:tr>
      <w:tr w:rsidR="00152993" w14:paraId="56A263FD" w14:textId="77777777" w:rsidTr="0B61FC23">
        <w:trPr>
          <w:trHeight w:val="350"/>
        </w:trPr>
        <w:tc>
          <w:tcPr>
            <w:tcW w:w="2730" w:type="dxa"/>
            <w:gridSpan w:val="2"/>
            <w:tcBorders>
              <w:bottom w:val="single" w:sz="4" w:space="0" w:color="auto"/>
            </w:tcBorders>
            <w:shd w:val="clear" w:color="auto" w:fill="FFFFFF" w:themeFill="background1"/>
            <w:vAlign w:val="center"/>
          </w:tcPr>
          <w:p w14:paraId="34438754" w14:textId="77777777" w:rsidR="00152993" w:rsidRPr="00814B07" w:rsidRDefault="00152993" w:rsidP="0B61FC23">
            <w:pPr>
              <w:pStyle w:val="Header"/>
            </w:pPr>
            <w:r>
              <w:t>Phone Number</w:t>
            </w:r>
          </w:p>
        </w:tc>
        <w:tc>
          <w:tcPr>
            <w:tcW w:w="7710" w:type="dxa"/>
            <w:gridSpan w:val="2"/>
            <w:tcBorders>
              <w:bottom w:val="single" w:sz="4" w:space="0" w:color="auto"/>
            </w:tcBorders>
            <w:vAlign w:val="center"/>
          </w:tcPr>
          <w:p w14:paraId="1DAB7B35" w14:textId="427367DA" w:rsidR="00152993" w:rsidRPr="00814B07" w:rsidRDefault="0013640B" w:rsidP="0B61FC23">
            <w:pPr>
              <w:pStyle w:val="NormalArial"/>
            </w:pPr>
            <w:r>
              <w:t>651-202-7568</w:t>
            </w:r>
          </w:p>
        </w:tc>
      </w:tr>
      <w:tr w:rsidR="00075A94" w14:paraId="6B93F240" w14:textId="77777777" w:rsidTr="0B61FC23">
        <w:trPr>
          <w:trHeight w:val="350"/>
        </w:trPr>
        <w:tc>
          <w:tcPr>
            <w:tcW w:w="2730" w:type="dxa"/>
            <w:gridSpan w:val="2"/>
            <w:tcBorders>
              <w:bottom w:val="single" w:sz="4" w:space="0" w:color="auto"/>
            </w:tcBorders>
            <w:shd w:val="clear" w:color="auto" w:fill="FFFFFF" w:themeFill="background1"/>
            <w:vAlign w:val="center"/>
          </w:tcPr>
          <w:p w14:paraId="2EE2C28B" w14:textId="77777777" w:rsidR="00075A94" w:rsidRPr="00814B07" w:rsidDel="00075A94" w:rsidRDefault="00075A94" w:rsidP="0B61FC23">
            <w:pPr>
              <w:pStyle w:val="Header"/>
            </w:pPr>
            <w:r>
              <w:t>Market Segment</w:t>
            </w:r>
          </w:p>
        </w:tc>
        <w:tc>
          <w:tcPr>
            <w:tcW w:w="7710" w:type="dxa"/>
            <w:gridSpan w:val="2"/>
            <w:tcBorders>
              <w:bottom w:val="single" w:sz="4" w:space="0" w:color="auto"/>
            </w:tcBorders>
            <w:vAlign w:val="center"/>
          </w:tcPr>
          <w:p w14:paraId="4C4E1BF9" w14:textId="52136862" w:rsidR="00075A94" w:rsidRPr="00814B07" w:rsidRDefault="36AA4A4B" w:rsidP="0B61FC23">
            <w:pPr>
              <w:pStyle w:val="NormalArial"/>
            </w:pPr>
            <w:r>
              <w:t xml:space="preserve">Consumers </w:t>
            </w:r>
          </w:p>
        </w:tc>
      </w:tr>
    </w:tbl>
    <w:p w14:paraId="25C17671" w14:textId="24126F31"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E538A" w14:paraId="4DDECA2D" w14:textId="77777777" w:rsidTr="00EE4265">
        <w:trPr>
          <w:trHeight w:val="350"/>
        </w:trPr>
        <w:tc>
          <w:tcPr>
            <w:tcW w:w="10440" w:type="dxa"/>
            <w:tcBorders>
              <w:bottom w:val="single" w:sz="4" w:space="0" w:color="auto"/>
            </w:tcBorders>
            <w:shd w:val="clear" w:color="auto" w:fill="FFFFFF"/>
            <w:vAlign w:val="center"/>
          </w:tcPr>
          <w:p w14:paraId="58764FC3" w14:textId="37668AF8" w:rsidR="009E538A" w:rsidRDefault="009E538A" w:rsidP="00EE4265">
            <w:pPr>
              <w:pStyle w:val="Header"/>
              <w:jc w:val="center"/>
            </w:pPr>
            <w:r>
              <w:t>Comments</w:t>
            </w:r>
          </w:p>
        </w:tc>
      </w:tr>
    </w:tbl>
    <w:p w14:paraId="0F5DCAFE" w14:textId="77777777" w:rsidR="00117E5F" w:rsidRPr="009E538A" w:rsidRDefault="001D3EBB" w:rsidP="009E538A">
      <w:pPr>
        <w:spacing w:before="120" w:after="120"/>
      </w:pPr>
      <w:r w:rsidRPr="009E538A">
        <w:rPr>
          <w:rFonts w:ascii="Arial" w:hAnsi="Arial" w:cs="Arial"/>
          <w:color w:val="000000"/>
        </w:rPr>
        <w:t>The Data Center Coalition (DCC) appreciates the opportunity to submit these Comments</w:t>
      </w:r>
      <w:r w:rsidR="00AD6F2D" w:rsidRPr="009E538A">
        <w:rPr>
          <w:rStyle w:val="FootnoteReference"/>
          <w:rFonts w:ascii="Arial" w:hAnsi="Arial" w:cs="Arial"/>
          <w:color w:val="000000"/>
        </w:rPr>
        <w:footnoteReference w:id="1"/>
      </w:r>
      <w:r w:rsidRPr="009E538A">
        <w:t xml:space="preserve"> </w:t>
      </w:r>
      <w:r w:rsidRPr="009E538A">
        <w:rPr>
          <w:rFonts w:ascii="Arial" w:hAnsi="Arial" w:cs="Arial"/>
          <w:color w:val="000000"/>
        </w:rPr>
        <w:t>on the Electric Reliability Council of Texas (ERCOT)'s proposed Nodal Protocol Revision Request (NPRR) 1191, specifically the load ramp rate limitations topic. DCC’s brief comments and recommendations are presented below. </w:t>
      </w:r>
    </w:p>
    <w:p w14:paraId="3DA92A09" w14:textId="407DDDA4" w:rsidR="001D3EBB" w:rsidRPr="009E538A" w:rsidRDefault="001D3EBB" w:rsidP="009E538A">
      <w:pPr>
        <w:pStyle w:val="ListParagraph"/>
        <w:numPr>
          <w:ilvl w:val="0"/>
          <w:numId w:val="14"/>
        </w:numPr>
        <w:spacing w:before="120" w:after="120"/>
      </w:pPr>
      <w:r w:rsidRPr="009E538A">
        <w:rPr>
          <w:rFonts w:ascii="Arial" w:hAnsi="Arial" w:cs="Arial"/>
          <w:b/>
          <w:bCs/>
          <w:i/>
          <w:iCs/>
          <w:color w:val="000000"/>
        </w:rPr>
        <w:t>Introduction</w:t>
      </w:r>
    </w:p>
    <w:p w14:paraId="1DBE73EA" w14:textId="77777777" w:rsidR="001D3EBB" w:rsidRPr="009E538A" w:rsidRDefault="001D3EBB" w:rsidP="009E538A">
      <w:pPr>
        <w:spacing w:before="120" w:after="120"/>
      </w:pPr>
      <w:r w:rsidRPr="009E538A">
        <w:rPr>
          <w:rFonts w:ascii="Arial" w:hAnsi="Arial" w:cs="Arial"/>
          <w:color w:val="000000"/>
        </w:rPr>
        <w:t>DCC is the national membership organization for the data center industry, representing leading data center owners and operators who maintain data center infrastructure across the country and globe. DCC empowers and champions the data center community through public policy advocacy, thought leadership, stakeholder outreach, and community engagement. DCC has 27 member companies, a majority of which have operations in Texas. </w:t>
      </w:r>
    </w:p>
    <w:p w14:paraId="2E7186EA" w14:textId="4C1546DA" w:rsidR="001D3EBB" w:rsidRPr="009E538A" w:rsidRDefault="001D3EBB" w:rsidP="009E538A">
      <w:pPr>
        <w:spacing w:before="120" w:after="120"/>
      </w:pPr>
      <w:r w:rsidRPr="009E538A">
        <w:rPr>
          <w:rFonts w:ascii="Arial" w:hAnsi="Arial" w:cs="Arial"/>
          <w:color w:val="000000"/>
        </w:rPr>
        <w:t>Traditional data centers provide the underlying infrastructure and services that support distance learning, remote work and collaboration, telehealth, video conferencing, exchange of news and urgent information, e-commerce, government agencies and programs, entertainment</w:t>
      </w:r>
      <w:r w:rsidR="00C22FB1" w:rsidRPr="009E538A">
        <w:rPr>
          <w:rFonts w:ascii="Arial" w:hAnsi="Arial" w:cs="Arial"/>
          <w:color w:val="000000"/>
        </w:rPr>
        <w:t>,</w:t>
      </w:r>
      <w:r w:rsidRPr="009E538A">
        <w:rPr>
          <w:rFonts w:ascii="Arial" w:hAnsi="Arial" w:cs="Arial"/>
          <w:color w:val="000000"/>
        </w:rPr>
        <w:t xml:space="preserve"> and many other technologies central to our daily lives. They have materially different load profiles, business models, and operational characteristics from crypto mining and crypto staking firms. DCC’s membership does not include any companies that conduct cryptocurrency mining or cryptocurrency staking as their primary business. </w:t>
      </w:r>
    </w:p>
    <w:p w14:paraId="54518D9B" w14:textId="77777777" w:rsidR="001D3EBB" w:rsidRPr="009E538A" w:rsidRDefault="001D3EBB" w:rsidP="009E538A">
      <w:pPr>
        <w:numPr>
          <w:ilvl w:val="0"/>
          <w:numId w:val="9"/>
        </w:numPr>
        <w:spacing w:before="120" w:after="120"/>
        <w:textAlignment w:val="baseline"/>
        <w:rPr>
          <w:rFonts w:ascii="Arial" w:hAnsi="Arial" w:cs="Arial"/>
          <w:b/>
          <w:bCs/>
          <w:i/>
          <w:iCs/>
          <w:color w:val="000000"/>
        </w:rPr>
      </w:pPr>
      <w:r w:rsidRPr="009E538A">
        <w:rPr>
          <w:rFonts w:ascii="Arial" w:hAnsi="Arial" w:cs="Arial"/>
          <w:b/>
          <w:bCs/>
          <w:i/>
          <w:iCs/>
          <w:color w:val="000000"/>
        </w:rPr>
        <w:t>Load Ramp Rate Limitations </w:t>
      </w:r>
    </w:p>
    <w:p w14:paraId="57B261E7" w14:textId="77777777" w:rsidR="001D3EBB" w:rsidRPr="009E538A" w:rsidRDefault="001D3EBB" w:rsidP="009E538A">
      <w:pPr>
        <w:spacing w:before="120" w:after="120"/>
      </w:pPr>
      <w:r w:rsidRPr="009E538A">
        <w:rPr>
          <w:rFonts w:ascii="Arial" w:hAnsi="Arial" w:cs="Arial"/>
          <w:color w:val="000000"/>
        </w:rPr>
        <w:lastRenderedPageBreak/>
        <w:t>The load ramp rate limitations proposed in NPRR 1191 are unprecedented, would restrict traditional data center operations, are incompatible with the standard course of business, and do not provide sufficient lead time or a grace period. For these reasons, DCC has not provided suggested edits to the proposal and urges ERCOT to reconsider the proposed load ramp rate restrictions altogether. DCC is open to reviewing and considering alternative proposals, but fundamentally believes that placing restrictions on how data centers or other customers ramp electric demand up or down is not workable, would directly interfere with the essential services supported by data centers, and could undermine Texas’s status as a leader in data center development. </w:t>
      </w:r>
    </w:p>
    <w:p w14:paraId="7162B8A7" w14:textId="6B76CA3B" w:rsidR="001D3EBB" w:rsidRPr="009E538A" w:rsidRDefault="001D3EBB" w:rsidP="009E538A">
      <w:pPr>
        <w:pStyle w:val="ListParagraph"/>
        <w:numPr>
          <w:ilvl w:val="0"/>
          <w:numId w:val="13"/>
        </w:numPr>
        <w:spacing w:before="120" w:after="120"/>
        <w:textAlignment w:val="baseline"/>
        <w:rPr>
          <w:rFonts w:ascii="Arial" w:hAnsi="Arial" w:cs="Arial"/>
          <w:b/>
          <w:bCs/>
          <w:color w:val="000000"/>
        </w:rPr>
      </w:pPr>
      <w:r w:rsidRPr="009E538A">
        <w:rPr>
          <w:rFonts w:ascii="Arial" w:hAnsi="Arial" w:cs="Arial"/>
          <w:b/>
          <w:bCs/>
          <w:color w:val="000000"/>
        </w:rPr>
        <w:t>The load ramp rate limitations outlined in NPRR 1191 are unprecedented.  </w:t>
      </w:r>
    </w:p>
    <w:p w14:paraId="7352C16C" w14:textId="77777777" w:rsidR="001D3EBB" w:rsidRPr="009E538A" w:rsidRDefault="001D3EBB" w:rsidP="009E538A">
      <w:pPr>
        <w:spacing w:before="120" w:after="120"/>
      </w:pPr>
      <w:r w:rsidRPr="009E538A">
        <w:rPr>
          <w:rFonts w:ascii="Arial" w:hAnsi="Arial" w:cs="Arial"/>
          <w:color w:val="000000"/>
        </w:rPr>
        <w:t>To DCC’s awareness, ERCOT would be the first of any large RTO/ISO to place such stringent requirements on large end users and would be considerably out of the ordinary for data centers and other large customers. DCC is concerned that much of what is proposed in NPRR 1191 will place confusing, onerous, and simply infeasible requirements on large end users.  </w:t>
      </w:r>
    </w:p>
    <w:p w14:paraId="48D335A9" w14:textId="77777777" w:rsidR="001D3EBB" w:rsidRPr="009E538A" w:rsidRDefault="001D3EBB" w:rsidP="009E538A">
      <w:pPr>
        <w:spacing w:before="120" w:after="120"/>
      </w:pPr>
      <w:r w:rsidRPr="009E538A">
        <w:rPr>
          <w:rFonts w:ascii="Arial" w:hAnsi="Arial" w:cs="Arial"/>
          <w:color w:val="000000"/>
        </w:rPr>
        <w:t>At a fundamental level, it is not clear to DCC what type of events or situations are subject to the proposed ramp rate restrictions (i.e. emergency events, voluntary curtailment, power outages and coming back online) or whether it simply applies to all situations. </w:t>
      </w:r>
    </w:p>
    <w:p w14:paraId="69BE5DBF" w14:textId="77777777" w:rsidR="001D3EBB" w:rsidRPr="009E538A" w:rsidRDefault="001D3EBB" w:rsidP="009E538A">
      <w:pPr>
        <w:spacing w:before="120" w:after="120"/>
      </w:pPr>
      <w:r w:rsidRPr="009E538A">
        <w:rPr>
          <w:rFonts w:ascii="Arial" w:hAnsi="Arial" w:cs="Arial"/>
          <w:color w:val="000000"/>
        </w:rPr>
        <w:t>As discussed in DCC’s October 6, 2023 comments on the interconnection process topic, NPRR 1191 requires large load users to interface directly with ERCOT. While DCC member companies certainly welcome engagement with ERCOT and other RTO/ISOs, such requirements would be a new, additional, and potentially costly process for DCC members and other large end users. </w:t>
      </w:r>
    </w:p>
    <w:p w14:paraId="471F61EC" w14:textId="2B44E051" w:rsidR="001D3EBB" w:rsidRPr="009E538A" w:rsidRDefault="001D3EBB" w:rsidP="009E538A">
      <w:pPr>
        <w:spacing w:before="120" w:after="120"/>
      </w:pPr>
      <w:r w:rsidRPr="009E538A">
        <w:rPr>
          <w:rFonts w:ascii="Arial" w:hAnsi="Arial" w:cs="Arial"/>
          <w:color w:val="000000"/>
        </w:rPr>
        <w:t>In some instances, NPRR 1191 would require large end users to provide ERCOT with information they are not accustomed to providing to a grid operator, such as detailed load or modeling information. It is DCC’s understanding that utilities currently only share 15-minute interval data with ERCOT. If this is required of large end users, it could require more sophisticated metering or building management systems, or reporting features that were simply not part of the original plan. Additionally, some large end users may find it difficult to meet new requirements within the normal course of business and would need to dedicate additional resources to meet these requirements. This includes the proposed ramp rate limitations, which would require exempt loads to directly notify ERCOT of material load changes by updating the load registration in the Resource Integration &amp; Ongoing Operations (RIOO) application.</w:t>
      </w:r>
    </w:p>
    <w:p w14:paraId="19FC660A" w14:textId="77777777" w:rsidR="001D3EBB" w:rsidRPr="009E538A" w:rsidRDefault="001D3EBB" w:rsidP="009E538A">
      <w:pPr>
        <w:spacing w:before="120" w:after="120"/>
      </w:pPr>
      <w:r w:rsidRPr="009E538A">
        <w:rPr>
          <w:rFonts w:ascii="Arial" w:hAnsi="Arial" w:cs="Arial"/>
          <w:color w:val="000000"/>
        </w:rPr>
        <w:t xml:space="preserve">Most importantly, the proposed ramp restrictions would place strict limitations on how large customers can use electricity, thereby inhibiting their ability to effectively manage operations and deliver essential services to their customers. Setting such tight restrictions (i.e. 5% of peak demand per minute for reductions, 2% for ramp ups) may cause certain data center companies to breach contractual provisions with their </w:t>
      </w:r>
      <w:r w:rsidRPr="009E538A">
        <w:rPr>
          <w:rFonts w:ascii="Arial" w:hAnsi="Arial" w:cs="Arial"/>
          <w:color w:val="000000"/>
        </w:rPr>
        <w:lastRenderedPageBreak/>
        <w:t>customers regarding up-time and reliability. Data center companies would have no recourse for remedies available from ERCOT under such restrictions.</w:t>
      </w:r>
    </w:p>
    <w:p w14:paraId="02E3562B" w14:textId="77777777" w:rsidR="001D3EBB" w:rsidRPr="009E538A" w:rsidRDefault="001D3EBB" w:rsidP="009E538A">
      <w:pPr>
        <w:numPr>
          <w:ilvl w:val="0"/>
          <w:numId w:val="11"/>
        </w:numPr>
        <w:spacing w:before="120" w:after="120"/>
        <w:textAlignment w:val="baseline"/>
        <w:rPr>
          <w:rFonts w:ascii="Arial" w:hAnsi="Arial" w:cs="Arial"/>
          <w:b/>
          <w:bCs/>
          <w:color w:val="000000"/>
        </w:rPr>
      </w:pPr>
      <w:r w:rsidRPr="009E538A">
        <w:rPr>
          <w:rFonts w:ascii="Arial" w:hAnsi="Arial" w:cs="Arial"/>
          <w:b/>
          <w:bCs/>
          <w:color w:val="000000"/>
        </w:rPr>
        <w:t>Data center operations are 24/7 and support essential services, an ability that would be upended by the ramp rate limitations proposed in NPRR 1191. </w:t>
      </w:r>
    </w:p>
    <w:p w14:paraId="666D5C80" w14:textId="77777777" w:rsidR="001D3EBB" w:rsidRPr="009E538A" w:rsidRDefault="001D3EBB" w:rsidP="009E538A">
      <w:pPr>
        <w:spacing w:before="120" w:after="120"/>
      </w:pPr>
      <w:r w:rsidRPr="009E538A">
        <w:rPr>
          <w:rFonts w:ascii="Arial" w:hAnsi="Arial" w:cs="Arial"/>
          <w:color w:val="000000"/>
        </w:rPr>
        <w:t>The proposed ramp rate limitations would cause a number of problems for many large customers, especially data centers. The restrictions overlook the essential services supported by data centers by constraining operations to a degree that is not compatible with how data centers operate. For example, the limitations would impact the ability to commission and test equipment and perform other routine maintenance. During commissioning and routine testing, load can spike for short periods of time. By restricting how much power demand can increase or decrease, NPRR 1191 would inhibit the ability of data centers to conduct routine maintenance.  </w:t>
      </w:r>
    </w:p>
    <w:p w14:paraId="0C829324" w14:textId="77777777" w:rsidR="001D3EBB" w:rsidRPr="009E538A" w:rsidRDefault="001D3EBB" w:rsidP="009E538A">
      <w:pPr>
        <w:spacing w:before="120" w:after="120"/>
      </w:pPr>
      <w:r w:rsidRPr="009E538A">
        <w:rPr>
          <w:rFonts w:ascii="Arial" w:hAnsi="Arial" w:cs="Arial"/>
          <w:color w:val="000000"/>
        </w:rPr>
        <w:t>Additionally, the limitations would prevent the overall orchestration and optimization of data center portfolios. Similar to how a grid operator needs to manage supply and demand on the electricity grid, many data center operators need to manage computing load across multiple facilities to provide essential services. For example, a data center in one region may need to ramp up quickly if a service provided by a facility in another location goes down. The proposed ramp rate limitations would eliminate the flexibility needed by data center operators to reliably provide services to customers.  </w:t>
      </w:r>
    </w:p>
    <w:p w14:paraId="08538122" w14:textId="77777777" w:rsidR="001D3EBB" w:rsidRPr="009E538A" w:rsidRDefault="001D3EBB" w:rsidP="009E538A">
      <w:pPr>
        <w:spacing w:before="120" w:after="120"/>
      </w:pPr>
      <w:r w:rsidRPr="009E538A">
        <w:rPr>
          <w:rFonts w:ascii="Arial" w:hAnsi="Arial" w:cs="Arial"/>
          <w:color w:val="000000"/>
        </w:rPr>
        <w:t>Finally, the ramp rate limitations will restrict the industry’s ability to innovate and integrate new technologies. The data center industry is an evolving industry that often utilizes new technologies that can require adjustments in operations. Placing such drastic limitations on how customers, including data centers, can utilize existing and future technology would hamper efforts to grow in the state of Texas. </w:t>
      </w:r>
    </w:p>
    <w:p w14:paraId="068D998C" w14:textId="77777777" w:rsidR="001D3EBB" w:rsidRPr="009E538A" w:rsidRDefault="001D3EBB" w:rsidP="009E538A">
      <w:pPr>
        <w:numPr>
          <w:ilvl w:val="0"/>
          <w:numId w:val="12"/>
        </w:numPr>
        <w:spacing w:before="120" w:after="120"/>
        <w:textAlignment w:val="baseline"/>
        <w:rPr>
          <w:rFonts w:ascii="Arial" w:hAnsi="Arial" w:cs="Arial"/>
          <w:b/>
          <w:bCs/>
          <w:color w:val="000000"/>
        </w:rPr>
      </w:pPr>
      <w:r w:rsidRPr="009E538A">
        <w:rPr>
          <w:rFonts w:ascii="Arial" w:hAnsi="Arial" w:cs="Arial"/>
          <w:b/>
          <w:bCs/>
          <w:color w:val="000000"/>
        </w:rPr>
        <w:t>Any approved revision to load ramp rate limitations should only be applicable after a sufficient grace period. </w:t>
      </w:r>
    </w:p>
    <w:p w14:paraId="01483913" w14:textId="79F17C3D" w:rsidR="001D3EBB" w:rsidRPr="009E538A" w:rsidRDefault="001D3EBB" w:rsidP="009E538A">
      <w:pPr>
        <w:spacing w:before="120" w:after="120"/>
      </w:pPr>
      <w:r w:rsidRPr="009E538A">
        <w:rPr>
          <w:rFonts w:ascii="Arial" w:hAnsi="Arial" w:cs="Arial"/>
          <w:color w:val="000000"/>
        </w:rPr>
        <w:t>Apart from</w:t>
      </w:r>
      <w:r w:rsidR="00226A13" w:rsidRPr="009E538A">
        <w:rPr>
          <w:rFonts w:ascii="Arial" w:hAnsi="Arial" w:cs="Arial"/>
          <w:color w:val="000000"/>
        </w:rPr>
        <w:t xml:space="preserve"> the general</w:t>
      </w:r>
      <w:r w:rsidRPr="009E538A">
        <w:rPr>
          <w:rFonts w:ascii="Arial" w:hAnsi="Arial" w:cs="Arial"/>
          <w:color w:val="000000"/>
        </w:rPr>
        <w:t xml:space="preserve"> incompatibility of the ramp rate restrictions with data center operations and the unprecedented nature of the proposal, there is simply not enough time for the data center industry to adjust and plan accordingly. </w:t>
      </w:r>
    </w:p>
    <w:p w14:paraId="4AC23DA2" w14:textId="77777777" w:rsidR="001D3EBB" w:rsidRPr="009E538A" w:rsidRDefault="001D3EBB" w:rsidP="009E538A">
      <w:pPr>
        <w:spacing w:before="120" w:after="120"/>
      </w:pPr>
      <w:r w:rsidRPr="009E538A">
        <w:rPr>
          <w:rFonts w:ascii="Arial" w:hAnsi="Arial" w:cs="Arial"/>
          <w:color w:val="000000"/>
        </w:rPr>
        <w:t>Under NPRR 1191, large loads that received approval to energize prior to March 2022 would be exempt from the limitations. This cutoff is far too early; loads approved to energize after this date may have already started service or, at the very least, have designed facilities and committed resources with the understanding that they could operate freely within the capacity outlined in their interconnection study and utility agreements. </w:t>
      </w:r>
    </w:p>
    <w:p w14:paraId="18C33E61" w14:textId="178B0B3F" w:rsidR="001D3EBB" w:rsidRPr="009E538A" w:rsidRDefault="001D3EBB" w:rsidP="009E538A">
      <w:pPr>
        <w:pStyle w:val="ListParagraph"/>
        <w:numPr>
          <w:ilvl w:val="0"/>
          <w:numId w:val="9"/>
        </w:numPr>
        <w:spacing w:before="120" w:after="120"/>
      </w:pPr>
      <w:r w:rsidRPr="009E538A">
        <w:rPr>
          <w:rFonts w:ascii="Arial" w:hAnsi="Arial" w:cs="Arial"/>
          <w:b/>
          <w:bCs/>
          <w:i/>
          <w:iCs/>
          <w:color w:val="000000"/>
        </w:rPr>
        <w:t>Conclusion</w:t>
      </w:r>
    </w:p>
    <w:p w14:paraId="153CDBF8" w14:textId="77777777" w:rsidR="001D3EBB" w:rsidRPr="009E538A" w:rsidRDefault="001D3EBB" w:rsidP="009E538A">
      <w:pPr>
        <w:spacing w:before="120" w:after="120"/>
      </w:pPr>
      <w:r w:rsidRPr="009E538A">
        <w:rPr>
          <w:rFonts w:ascii="Arial" w:hAnsi="Arial" w:cs="Arial"/>
          <w:color w:val="000000"/>
        </w:rPr>
        <w:t xml:space="preserve">DCC appreciates the opportunity to provide comments on the load ramp limitations as it relates to NPRR 1191. We respectfully request that ERCOT consider DCC’s comments </w:t>
      </w:r>
      <w:r w:rsidRPr="009E538A">
        <w:rPr>
          <w:rFonts w:ascii="Arial" w:hAnsi="Arial" w:cs="Arial"/>
          <w:color w:val="000000"/>
        </w:rPr>
        <w:lastRenderedPageBreak/>
        <w:t>and recommendations above related to the ramp rate limitations proposed under NPRR 1191.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E538A" w14:paraId="05758748" w14:textId="77777777" w:rsidTr="00EE4265">
        <w:trPr>
          <w:trHeight w:val="350"/>
        </w:trPr>
        <w:tc>
          <w:tcPr>
            <w:tcW w:w="10440" w:type="dxa"/>
            <w:tcBorders>
              <w:bottom w:val="single" w:sz="4" w:space="0" w:color="auto"/>
            </w:tcBorders>
            <w:shd w:val="clear" w:color="auto" w:fill="FFFFFF"/>
            <w:vAlign w:val="center"/>
          </w:tcPr>
          <w:p w14:paraId="4920AC0F" w14:textId="77777777" w:rsidR="009E538A" w:rsidRDefault="009E538A" w:rsidP="00EE4265">
            <w:pPr>
              <w:pStyle w:val="Header"/>
              <w:jc w:val="center"/>
            </w:pPr>
            <w:r>
              <w:t>Revised Cover Page Language</w:t>
            </w:r>
          </w:p>
        </w:tc>
      </w:tr>
    </w:tbl>
    <w:p w14:paraId="08D381BE" w14:textId="77777777" w:rsidR="009E538A" w:rsidRDefault="009E538A" w:rsidP="009E538A">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E538A" w14:paraId="695A6020" w14:textId="77777777" w:rsidTr="00EE4265">
        <w:trPr>
          <w:trHeight w:val="350"/>
        </w:trPr>
        <w:tc>
          <w:tcPr>
            <w:tcW w:w="10440" w:type="dxa"/>
            <w:tcBorders>
              <w:bottom w:val="single" w:sz="4" w:space="0" w:color="auto"/>
            </w:tcBorders>
            <w:shd w:val="clear" w:color="auto" w:fill="FFFFFF"/>
            <w:vAlign w:val="center"/>
          </w:tcPr>
          <w:p w14:paraId="35250C6C" w14:textId="77777777" w:rsidR="009E538A" w:rsidRDefault="009E538A" w:rsidP="00EE4265">
            <w:pPr>
              <w:pStyle w:val="Header"/>
              <w:jc w:val="center"/>
            </w:pPr>
            <w:r>
              <w:t>Revised Proposed Protocol Language</w:t>
            </w:r>
          </w:p>
        </w:tc>
      </w:tr>
    </w:tbl>
    <w:p w14:paraId="6E2904D1" w14:textId="7107A2E7" w:rsidR="0B61FC23" w:rsidRPr="009E538A" w:rsidRDefault="009E538A" w:rsidP="009E538A">
      <w:pPr>
        <w:pStyle w:val="NormalArial"/>
        <w:spacing w:before="120" w:after="120"/>
      </w:pPr>
      <w:r>
        <w:t>None</w:t>
      </w:r>
    </w:p>
    <w:sectPr w:rsidR="0B61FC23" w:rsidRPr="009E538A" w:rsidSect="0074209E">
      <w:headerReference w:type="default"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2603C" w14:textId="77777777" w:rsidR="009C0F22" w:rsidRDefault="009C0F22">
      <w:r>
        <w:separator/>
      </w:r>
    </w:p>
  </w:endnote>
  <w:endnote w:type="continuationSeparator" w:id="0">
    <w:p w14:paraId="4631098D" w14:textId="77777777" w:rsidR="009C0F22" w:rsidRDefault="009C0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F34D" w14:textId="2F898CE3" w:rsidR="00EE6681" w:rsidRDefault="00903B22" w:rsidP="0074209E">
    <w:pPr>
      <w:pStyle w:val="Footer"/>
      <w:tabs>
        <w:tab w:val="clear" w:pos="4320"/>
        <w:tab w:val="clear" w:pos="8640"/>
        <w:tab w:val="right" w:pos="9360"/>
      </w:tabs>
      <w:rPr>
        <w:rFonts w:ascii="Arial" w:hAnsi="Arial"/>
        <w:sz w:val="18"/>
      </w:rPr>
    </w:pPr>
    <w:r>
      <w:rPr>
        <w:rFonts w:ascii="Arial" w:hAnsi="Arial"/>
        <w:sz w:val="18"/>
      </w:rPr>
      <w:t>1191</w:t>
    </w:r>
    <w:r w:rsidR="00492AE8">
      <w:rPr>
        <w:rFonts w:ascii="Arial" w:hAnsi="Arial"/>
        <w:sz w:val="18"/>
      </w:rPr>
      <w:t>NPRR</w:t>
    </w:r>
    <w:r>
      <w:rPr>
        <w:rFonts w:ascii="Arial" w:hAnsi="Arial"/>
        <w:sz w:val="18"/>
      </w:rPr>
      <w:t>-</w:t>
    </w:r>
    <w:r w:rsidR="00602074">
      <w:rPr>
        <w:rFonts w:ascii="Arial" w:hAnsi="Arial"/>
        <w:sz w:val="18"/>
      </w:rPr>
      <w:t>13</w:t>
    </w:r>
    <w:r>
      <w:rPr>
        <w:rFonts w:ascii="Arial" w:hAnsi="Arial"/>
        <w:sz w:val="18"/>
      </w:rPr>
      <w:t xml:space="preserve"> </w:t>
    </w:r>
    <w:r w:rsidR="00C72B8B">
      <w:rPr>
        <w:rFonts w:ascii="Arial" w:hAnsi="Arial"/>
        <w:sz w:val="18"/>
      </w:rPr>
      <w:t xml:space="preserve">Data Center Coalition </w:t>
    </w:r>
    <w:r w:rsidR="00492AE8">
      <w:rPr>
        <w:rFonts w:ascii="Arial" w:hAnsi="Arial"/>
        <w:sz w:val="18"/>
      </w:rPr>
      <w:t>Comments</w:t>
    </w:r>
    <w:r w:rsidR="00602074">
      <w:rPr>
        <w:rFonts w:ascii="Arial" w:hAnsi="Arial"/>
        <w:sz w:val="18"/>
      </w:rPr>
      <w:t xml:space="preserve"> 122023</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p>
  <w:p w14:paraId="2D227ADC"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E6960" w14:textId="77777777" w:rsidR="009C0F22" w:rsidRDefault="009C0F22">
      <w:r>
        <w:separator/>
      </w:r>
    </w:p>
  </w:footnote>
  <w:footnote w:type="continuationSeparator" w:id="0">
    <w:p w14:paraId="4AF3F891" w14:textId="77777777" w:rsidR="009C0F22" w:rsidRDefault="009C0F22">
      <w:r>
        <w:continuationSeparator/>
      </w:r>
    </w:p>
  </w:footnote>
  <w:footnote w:id="1">
    <w:p w14:paraId="55D66F91" w14:textId="4D99FA9A" w:rsidR="00AD6F2D" w:rsidRDefault="00AD6F2D">
      <w:pPr>
        <w:pStyle w:val="FootnoteText"/>
      </w:pPr>
      <w:r>
        <w:rPr>
          <w:rStyle w:val="FootnoteReference"/>
        </w:rPr>
        <w:footnoteRef/>
      </w:r>
      <w:r>
        <w:t xml:space="preserve"> </w:t>
      </w:r>
      <w:r w:rsidRPr="00DD0E39">
        <w:rPr>
          <w:rFonts w:ascii="Arial" w:hAnsi="Arial" w:cs="Arial"/>
          <w:sz w:val="16"/>
          <w:szCs w:val="16"/>
        </w:rPr>
        <w:t>The Data Center Coalition (</w:t>
      </w:r>
      <w:hyperlink r:id="rId1" w:history="1">
        <w:r w:rsidRPr="00DD0E39">
          <w:rPr>
            <w:rStyle w:val="Hyperlink"/>
            <w:rFonts w:ascii="Arial" w:hAnsi="Arial" w:cs="Arial"/>
            <w:sz w:val="16"/>
            <w:szCs w:val="16"/>
          </w:rPr>
          <w:t>www.datacentercoalition.org</w:t>
        </w:r>
      </w:hyperlink>
      <w:r w:rsidR="00DD0E39" w:rsidRPr="00DD0E39">
        <w:rPr>
          <w:rFonts w:ascii="Arial" w:hAnsi="Arial" w:cs="Arial"/>
          <w:sz w:val="16"/>
          <w:szCs w:val="16"/>
        </w:rPr>
        <w:t>)</w:t>
      </w:r>
      <w:r w:rsidRPr="00DD0E39">
        <w:rPr>
          <w:rFonts w:ascii="Arial" w:hAnsi="Arial" w:cs="Arial"/>
          <w:sz w:val="16"/>
          <w:szCs w:val="16"/>
        </w:rPr>
        <w:t xml:space="preserve"> is a membership organization of leading data center owners and operators. Public testimony and written comments submitted by DCC do not necessarily reflect the views of each individual DCC member.</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0169A" w14:textId="77777777" w:rsidR="00EE6681" w:rsidRDefault="00EE6681">
    <w:pPr>
      <w:pStyle w:val="Header"/>
      <w:jc w:val="center"/>
      <w:rPr>
        <w:sz w:val="32"/>
      </w:rPr>
    </w:pPr>
    <w:r>
      <w:rPr>
        <w:sz w:val="32"/>
      </w:rPr>
      <w:t>NPRR Comments</w:t>
    </w:r>
  </w:p>
  <w:p w14:paraId="13FFE485"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1263B48"/>
    <w:multiLevelType w:val="hybridMultilevel"/>
    <w:tmpl w:val="39A03B3A"/>
    <w:lvl w:ilvl="0" w:tplc="695EAE96">
      <w:start w:val="2"/>
      <w:numFmt w:val="upperRoman"/>
      <w:lvlText w:val="%1."/>
      <w:lvlJc w:val="right"/>
      <w:pPr>
        <w:tabs>
          <w:tab w:val="num" w:pos="720"/>
        </w:tabs>
        <w:ind w:left="720" w:hanging="360"/>
      </w:pPr>
      <w:rPr>
        <w:rFonts w:ascii="Arial" w:hAnsi="Arial" w:cs="Arial" w:hint="default"/>
        <w:b/>
        <w:bCs/>
        <w:i/>
        <w:iCs/>
      </w:rPr>
    </w:lvl>
    <w:lvl w:ilvl="1" w:tplc="6040EBB8" w:tentative="1">
      <w:start w:val="1"/>
      <w:numFmt w:val="decimal"/>
      <w:lvlText w:val="%2."/>
      <w:lvlJc w:val="left"/>
      <w:pPr>
        <w:tabs>
          <w:tab w:val="num" w:pos="1440"/>
        </w:tabs>
        <w:ind w:left="1440" w:hanging="360"/>
      </w:pPr>
    </w:lvl>
    <w:lvl w:ilvl="2" w:tplc="93884728" w:tentative="1">
      <w:start w:val="1"/>
      <w:numFmt w:val="decimal"/>
      <w:lvlText w:val="%3."/>
      <w:lvlJc w:val="left"/>
      <w:pPr>
        <w:tabs>
          <w:tab w:val="num" w:pos="2160"/>
        </w:tabs>
        <w:ind w:left="2160" w:hanging="360"/>
      </w:pPr>
    </w:lvl>
    <w:lvl w:ilvl="3" w:tplc="3CCCF0C2" w:tentative="1">
      <w:start w:val="1"/>
      <w:numFmt w:val="decimal"/>
      <w:lvlText w:val="%4."/>
      <w:lvlJc w:val="left"/>
      <w:pPr>
        <w:tabs>
          <w:tab w:val="num" w:pos="2880"/>
        </w:tabs>
        <w:ind w:left="2880" w:hanging="360"/>
      </w:pPr>
    </w:lvl>
    <w:lvl w:ilvl="4" w:tplc="DF44AFCA" w:tentative="1">
      <w:start w:val="1"/>
      <w:numFmt w:val="decimal"/>
      <w:lvlText w:val="%5."/>
      <w:lvlJc w:val="left"/>
      <w:pPr>
        <w:tabs>
          <w:tab w:val="num" w:pos="3600"/>
        </w:tabs>
        <w:ind w:left="3600" w:hanging="360"/>
      </w:pPr>
    </w:lvl>
    <w:lvl w:ilvl="5" w:tplc="55E82B32" w:tentative="1">
      <w:start w:val="1"/>
      <w:numFmt w:val="decimal"/>
      <w:lvlText w:val="%6."/>
      <w:lvlJc w:val="left"/>
      <w:pPr>
        <w:tabs>
          <w:tab w:val="num" w:pos="4320"/>
        </w:tabs>
        <w:ind w:left="4320" w:hanging="360"/>
      </w:pPr>
    </w:lvl>
    <w:lvl w:ilvl="6" w:tplc="8E32A206" w:tentative="1">
      <w:start w:val="1"/>
      <w:numFmt w:val="decimal"/>
      <w:lvlText w:val="%7."/>
      <w:lvlJc w:val="left"/>
      <w:pPr>
        <w:tabs>
          <w:tab w:val="num" w:pos="5040"/>
        </w:tabs>
        <w:ind w:left="5040" w:hanging="360"/>
      </w:pPr>
    </w:lvl>
    <w:lvl w:ilvl="7" w:tplc="52CCCFAC" w:tentative="1">
      <w:start w:val="1"/>
      <w:numFmt w:val="decimal"/>
      <w:lvlText w:val="%8."/>
      <w:lvlJc w:val="left"/>
      <w:pPr>
        <w:tabs>
          <w:tab w:val="num" w:pos="5760"/>
        </w:tabs>
        <w:ind w:left="5760" w:hanging="360"/>
      </w:pPr>
    </w:lvl>
    <w:lvl w:ilvl="8" w:tplc="A22CE200" w:tentative="1">
      <w:start w:val="1"/>
      <w:numFmt w:val="decimal"/>
      <w:lvlText w:val="%9."/>
      <w:lvlJc w:val="left"/>
      <w:pPr>
        <w:tabs>
          <w:tab w:val="num" w:pos="6480"/>
        </w:tabs>
        <w:ind w:left="6480" w:hanging="360"/>
      </w:pPr>
    </w:lvl>
  </w:abstractNum>
  <w:abstractNum w:abstractNumId="2" w15:restartNumberingAfterBreak="0">
    <w:nsid w:val="03AC1304"/>
    <w:multiLevelType w:val="hybridMultilevel"/>
    <w:tmpl w:val="5EE855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D056C9"/>
    <w:multiLevelType w:val="hybridMultilevel"/>
    <w:tmpl w:val="FF58855C"/>
    <w:lvl w:ilvl="0" w:tplc="4E241C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2D219F"/>
    <w:multiLevelType w:val="hybridMultilevel"/>
    <w:tmpl w:val="A94426DC"/>
    <w:lvl w:ilvl="0" w:tplc="FFFFFFFF">
      <w:start w:val="1"/>
      <w:numFmt w:val="upperRoman"/>
      <w:lvlText w:val="%1."/>
      <w:lvlJc w:val="left"/>
      <w:pPr>
        <w:ind w:left="1080" w:hanging="72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3125C6"/>
    <w:multiLevelType w:val="hybridMultilevel"/>
    <w:tmpl w:val="69EC07E4"/>
    <w:lvl w:ilvl="0" w:tplc="046616E4">
      <w:start w:val="1"/>
      <w:numFmt w:val="upperRoman"/>
      <w:lvlText w:val="%1."/>
      <w:lvlJc w:val="left"/>
      <w:pPr>
        <w:ind w:left="1080" w:hanging="720"/>
      </w:pPr>
      <w:rPr>
        <w:rFonts w:ascii="Arial" w:hAnsi="Arial" w:cs="Arial"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0F0E8F"/>
    <w:multiLevelType w:val="multilevel"/>
    <w:tmpl w:val="9004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80A364"/>
    <w:multiLevelType w:val="hybridMultilevel"/>
    <w:tmpl w:val="8462150C"/>
    <w:lvl w:ilvl="0" w:tplc="E62E0E94">
      <w:start w:val="1"/>
      <w:numFmt w:val="decimal"/>
      <w:lvlText w:val="(%1)"/>
      <w:lvlJc w:val="left"/>
      <w:pPr>
        <w:ind w:left="720" w:hanging="360"/>
      </w:pPr>
    </w:lvl>
    <w:lvl w:ilvl="1" w:tplc="92B0E266">
      <w:start w:val="1"/>
      <w:numFmt w:val="lowerLetter"/>
      <w:lvlText w:val="%2."/>
      <w:lvlJc w:val="left"/>
      <w:pPr>
        <w:ind w:left="1440" w:hanging="360"/>
      </w:pPr>
    </w:lvl>
    <w:lvl w:ilvl="2" w:tplc="F0102654">
      <w:start w:val="1"/>
      <w:numFmt w:val="lowerRoman"/>
      <w:lvlText w:val="%3."/>
      <w:lvlJc w:val="right"/>
      <w:pPr>
        <w:ind w:left="2160" w:hanging="180"/>
      </w:pPr>
    </w:lvl>
    <w:lvl w:ilvl="3" w:tplc="DC6219CE">
      <w:start w:val="1"/>
      <w:numFmt w:val="decimal"/>
      <w:lvlText w:val="%4."/>
      <w:lvlJc w:val="left"/>
      <w:pPr>
        <w:ind w:left="2880" w:hanging="360"/>
      </w:pPr>
    </w:lvl>
    <w:lvl w:ilvl="4" w:tplc="6840D87E">
      <w:start w:val="1"/>
      <w:numFmt w:val="lowerLetter"/>
      <w:lvlText w:val="%5."/>
      <w:lvlJc w:val="left"/>
      <w:pPr>
        <w:ind w:left="3600" w:hanging="360"/>
      </w:pPr>
    </w:lvl>
    <w:lvl w:ilvl="5" w:tplc="07D8394C">
      <w:start w:val="1"/>
      <w:numFmt w:val="lowerRoman"/>
      <w:lvlText w:val="%6."/>
      <w:lvlJc w:val="right"/>
      <w:pPr>
        <w:ind w:left="4320" w:hanging="180"/>
      </w:pPr>
    </w:lvl>
    <w:lvl w:ilvl="6" w:tplc="6D6C2258">
      <w:start w:val="1"/>
      <w:numFmt w:val="decimal"/>
      <w:lvlText w:val="%7."/>
      <w:lvlJc w:val="left"/>
      <w:pPr>
        <w:ind w:left="5040" w:hanging="360"/>
      </w:pPr>
    </w:lvl>
    <w:lvl w:ilvl="7" w:tplc="FCB0793E">
      <w:start w:val="1"/>
      <w:numFmt w:val="lowerLetter"/>
      <w:lvlText w:val="%8."/>
      <w:lvlJc w:val="left"/>
      <w:pPr>
        <w:ind w:left="5760" w:hanging="360"/>
      </w:pPr>
    </w:lvl>
    <w:lvl w:ilvl="8" w:tplc="D7B2784C">
      <w:start w:val="1"/>
      <w:numFmt w:val="lowerRoman"/>
      <w:lvlText w:val="%9."/>
      <w:lvlJc w:val="right"/>
      <w:pPr>
        <w:ind w:left="6480" w:hanging="180"/>
      </w:pPr>
    </w:lvl>
  </w:abstractNum>
  <w:abstractNum w:abstractNumId="8" w15:restartNumberingAfterBreak="0">
    <w:nsid w:val="4D0E4B4A"/>
    <w:multiLevelType w:val="hybridMultilevel"/>
    <w:tmpl w:val="4BC2CC74"/>
    <w:lvl w:ilvl="0" w:tplc="34947F92">
      <w:start w:val="3"/>
      <w:numFmt w:val="upperLetter"/>
      <w:lvlText w:val="%1."/>
      <w:lvlJc w:val="left"/>
      <w:pPr>
        <w:tabs>
          <w:tab w:val="num" w:pos="720"/>
        </w:tabs>
        <w:ind w:left="720" w:hanging="360"/>
      </w:pPr>
    </w:lvl>
    <w:lvl w:ilvl="1" w:tplc="81D8AD44" w:tentative="1">
      <w:start w:val="1"/>
      <w:numFmt w:val="decimal"/>
      <w:lvlText w:val="%2."/>
      <w:lvlJc w:val="left"/>
      <w:pPr>
        <w:tabs>
          <w:tab w:val="num" w:pos="1440"/>
        </w:tabs>
        <w:ind w:left="1440" w:hanging="360"/>
      </w:pPr>
    </w:lvl>
    <w:lvl w:ilvl="2" w:tplc="A636DD38" w:tentative="1">
      <w:start w:val="1"/>
      <w:numFmt w:val="decimal"/>
      <w:lvlText w:val="%3."/>
      <w:lvlJc w:val="left"/>
      <w:pPr>
        <w:tabs>
          <w:tab w:val="num" w:pos="2160"/>
        </w:tabs>
        <w:ind w:left="2160" w:hanging="360"/>
      </w:pPr>
    </w:lvl>
    <w:lvl w:ilvl="3" w:tplc="6CF8078E" w:tentative="1">
      <w:start w:val="1"/>
      <w:numFmt w:val="decimal"/>
      <w:lvlText w:val="%4."/>
      <w:lvlJc w:val="left"/>
      <w:pPr>
        <w:tabs>
          <w:tab w:val="num" w:pos="2880"/>
        </w:tabs>
        <w:ind w:left="2880" w:hanging="360"/>
      </w:pPr>
    </w:lvl>
    <w:lvl w:ilvl="4" w:tplc="1C0EB884" w:tentative="1">
      <w:start w:val="1"/>
      <w:numFmt w:val="decimal"/>
      <w:lvlText w:val="%5."/>
      <w:lvlJc w:val="left"/>
      <w:pPr>
        <w:tabs>
          <w:tab w:val="num" w:pos="3600"/>
        </w:tabs>
        <w:ind w:left="3600" w:hanging="360"/>
      </w:pPr>
    </w:lvl>
    <w:lvl w:ilvl="5" w:tplc="3ED4DC9A" w:tentative="1">
      <w:start w:val="1"/>
      <w:numFmt w:val="decimal"/>
      <w:lvlText w:val="%6."/>
      <w:lvlJc w:val="left"/>
      <w:pPr>
        <w:tabs>
          <w:tab w:val="num" w:pos="4320"/>
        </w:tabs>
        <w:ind w:left="4320" w:hanging="360"/>
      </w:pPr>
    </w:lvl>
    <w:lvl w:ilvl="6" w:tplc="C478EC3C" w:tentative="1">
      <w:start w:val="1"/>
      <w:numFmt w:val="decimal"/>
      <w:lvlText w:val="%7."/>
      <w:lvlJc w:val="left"/>
      <w:pPr>
        <w:tabs>
          <w:tab w:val="num" w:pos="5040"/>
        </w:tabs>
        <w:ind w:left="5040" w:hanging="360"/>
      </w:pPr>
    </w:lvl>
    <w:lvl w:ilvl="7" w:tplc="41BAF83A" w:tentative="1">
      <w:start w:val="1"/>
      <w:numFmt w:val="decimal"/>
      <w:lvlText w:val="%8."/>
      <w:lvlJc w:val="left"/>
      <w:pPr>
        <w:tabs>
          <w:tab w:val="num" w:pos="5760"/>
        </w:tabs>
        <w:ind w:left="5760" w:hanging="360"/>
      </w:pPr>
    </w:lvl>
    <w:lvl w:ilvl="8" w:tplc="53766686" w:tentative="1">
      <w:start w:val="1"/>
      <w:numFmt w:val="decimal"/>
      <w:lvlText w:val="%9."/>
      <w:lvlJc w:val="left"/>
      <w:pPr>
        <w:tabs>
          <w:tab w:val="num" w:pos="6480"/>
        </w:tabs>
        <w:ind w:left="6480" w:hanging="360"/>
      </w:pPr>
    </w:lvl>
  </w:abstractNum>
  <w:abstractNum w:abstractNumId="9" w15:restartNumberingAfterBreak="0">
    <w:nsid w:val="56B40AE7"/>
    <w:multiLevelType w:val="multilevel"/>
    <w:tmpl w:val="FD08B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1E0220"/>
    <w:multiLevelType w:val="hybridMultilevel"/>
    <w:tmpl w:val="200E1FB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3A2EF1"/>
    <w:multiLevelType w:val="hybridMultilevel"/>
    <w:tmpl w:val="8F4866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9D172D"/>
    <w:multiLevelType w:val="hybridMultilevel"/>
    <w:tmpl w:val="84F299D6"/>
    <w:lvl w:ilvl="0" w:tplc="1F46274C">
      <w:start w:val="2"/>
      <w:numFmt w:val="upperLetter"/>
      <w:lvlText w:val="%1."/>
      <w:lvlJc w:val="left"/>
      <w:pPr>
        <w:tabs>
          <w:tab w:val="num" w:pos="720"/>
        </w:tabs>
        <w:ind w:left="720" w:hanging="360"/>
      </w:pPr>
    </w:lvl>
    <w:lvl w:ilvl="1" w:tplc="1B388684" w:tentative="1">
      <w:start w:val="1"/>
      <w:numFmt w:val="decimal"/>
      <w:lvlText w:val="%2."/>
      <w:lvlJc w:val="left"/>
      <w:pPr>
        <w:tabs>
          <w:tab w:val="num" w:pos="1440"/>
        </w:tabs>
        <w:ind w:left="1440" w:hanging="360"/>
      </w:pPr>
    </w:lvl>
    <w:lvl w:ilvl="2" w:tplc="201AF124" w:tentative="1">
      <w:start w:val="1"/>
      <w:numFmt w:val="decimal"/>
      <w:lvlText w:val="%3."/>
      <w:lvlJc w:val="left"/>
      <w:pPr>
        <w:tabs>
          <w:tab w:val="num" w:pos="2160"/>
        </w:tabs>
        <w:ind w:left="2160" w:hanging="360"/>
      </w:pPr>
    </w:lvl>
    <w:lvl w:ilvl="3" w:tplc="AC56F066" w:tentative="1">
      <w:start w:val="1"/>
      <w:numFmt w:val="decimal"/>
      <w:lvlText w:val="%4."/>
      <w:lvlJc w:val="left"/>
      <w:pPr>
        <w:tabs>
          <w:tab w:val="num" w:pos="2880"/>
        </w:tabs>
        <w:ind w:left="2880" w:hanging="360"/>
      </w:pPr>
    </w:lvl>
    <w:lvl w:ilvl="4" w:tplc="2C0C3DFA" w:tentative="1">
      <w:start w:val="1"/>
      <w:numFmt w:val="decimal"/>
      <w:lvlText w:val="%5."/>
      <w:lvlJc w:val="left"/>
      <w:pPr>
        <w:tabs>
          <w:tab w:val="num" w:pos="3600"/>
        </w:tabs>
        <w:ind w:left="3600" w:hanging="360"/>
      </w:pPr>
    </w:lvl>
    <w:lvl w:ilvl="5" w:tplc="00004EFC" w:tentative="1">
      <w:start w:val="1"/>
      <w:numFmt w:val="decimal"/>
      <w:lvlText w:val="%6."/>
      <w:lvlJc w:val="left"/>
      <w:pPr>
        <w:tabs>
          <w:tab w:val="num" w:pos="4320"/>
        </w:tabs>
        <w:ind w:left="4320" w:hanging="360"/>
      </w:pPr>
    </w:lvl>
    <w:lvl w:ilvl="6" w:tplc="737E3FA4" w:tentative="1">
      <w:start w:val="1"/>
      <w:numFmt w:val="decimal"/>
      <w:lvlText w:val="%7."/>
      <w:lvlJc w:val="left"/>
      <w:pPr>
        <w:tabs>
          <w:tab w:val="num" w:pos="5040"/>
        </w:tabs>
        <w:ind w:left="5040" w:hanging="360"/>
      </w:pPr>
    </w:lvl>
    <w:lvl w:ilvl="7" w:tplc="F94438C8" w:tentative="1">
      <w:start w:val="1"/>
      <w:numFmt w:val="decimal"/>
      <w:lvlText w:val="%8."/>
      <w:lvlJc w:val="left"/>
      <w:pPr>
        <w:tabs>
          <w:tab w:val="num" w:pos="5760"/>
        </w:tabs>
        <w:ind w:left="5760" w:hanging="360"/>
      </w:pPr>
    </w:lvl>
    <w:lvl w:ilvl="8" w:tplc="BD8A04F2" w:tentative="1">
      <w:start w:val="1"/>
      <w:numFmt w:val="decimal"/>
      <w:lvlText w:val="%9."/>
      <w:lvlJc w:val="left"/>
      <w:pPr>
        <w:tabs>
          <w:tab w:val="num" w:pos="6480"/>
        </w:tabs>
        <w:ind w:left="6480" w:hanging="360"/>
      </w:pPr>
    </w:lvl>
  </w:abstractNum>
  <w:num w:numId="1" w16cid:durableId="364138492">
    <w:abstractNumId w:val="7"/>
  </w:num>
  <w:num w:numId="2" w16cid:durableId="883299093">
    <w:abstractNumId w:val="0"/>
  </w:num>
  <w:num w:numId="3" w16cid:durableId="1250577986">
    <w:abstractNumId w:val="12"/>
  </w:num>
  <w:num w:numId="4" w16cid:durableId="165560927">
    <w:abstractNumId w:val="10"/>
  </w:num>
  <w:num w:numId="5" w16cid:durableId="1763641228">
    <w:abstractNumId w:val="4"/>
  </w:num>
  <w:num w:numId="6" w16cid:durableId="693648856">
    <w:abstractNumId w:val="2"/>
  </w:num>
  <w:num w:numId="7" w16cid:durableId="1185289983">
    <w:abstractNumId w:val="3"/>
  </w:num>
  <w:num w:numId="8" w16cid:durableId="1919095965">
    <w:abstractNumId w:val="9"/>
    <w:lvlOverride w:ilvl="0">
      <w:lvl w:ilvl="0">
        <w:numFmt w:val="upperRoman"/>
        <w:lvlText w:val="%1."/>
        <w:lvlJc w:val="right"/>
      </w:lvl>
    </w:lvlOverride>
  </w:num>
  <w:num w:numId="9" w16cid:durableId="1564293568">
    <w:abstractNumId w:val="1"/>
  </w:num>
  <w:num w:numId="10" w16cid:durableId="116721275">
    <w:abstractNumId w:val="6"/>
    <w:lvlOverride w:ilvl="0">
      <w:lvl w:ilvl="0">
        <w:numFmt w:val="upperLetter"/>
        <w:lvlText w:val="%1."/>
        <w:lvlJc w:val="left"/>
      </w:lvl>
    </w:lvlOverride>
  </w:num>
  <w:num w:numId="11" w16cid:durableId="486674805">
    <w:abstractNumId w:val="13"/>
  </w:num>
  <w:num w:numId="12" w16cid:durableId="1026491069">
    <w:abstractNumId w:val="8"/>
  </w:num>
  <w:num w:numId="13" w16cid:durableId="32510811">
    <w:abstractNumId w:val="11"/>
  </w:num>
  <w:num w:numId="14" w16cid:durableId="11026065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zzmp10NoTrailerPromptID" w:val="NG-C65KTEG5.4876-8988-5562.2"/>
  </w:docVars>
  <w:rsids>
    <w:rsidRoot w:val="001A227D"/>
    <w:rsid w:val="00011407"/>
    <w:rsid w:val="00011F99"/>
    <w:rsid w:val="000138DC"/>
    <w:rsid w:val="000162EA"/>
    <w:rsid w:val="00017625"/>
    <w:rsid w:val="00034C58"/>
    <w:rsid w:val="00037668"/>
    <w:rsid w:val="00037B6E"/>
    <w:rsid w:val="000428A8"/>
    <w:rsid w:val="00075A94"/>
    <w:rsid w:val="0008172D"/>
    <w:rsid w:val="000819C3"/>
    <w:rsid w:val="00086FA9"/>
    <w:rsid w:val="00091BC1"/>
    <w:rsid w:val="000A390B"/>
    <w:rsid w:val="000B26B7"/>
    <w:rsid w:val="000B2DF5"/>
    <w:rsid w:val="000C3E29"/>
    <w:rsid w:val="000C68A0"/>
    <w:rsid w:val="000E182A"/>
    <w:rsid w:val="000E275C"/>
    <w:rsid w:val="00112B1D"/>
    <w:rsid w:val="0011583B"/>
    <w:rsid w:val="00117E5F"/>
    <w:rsid w:val="00121F19"/>
    <w:rsid w:val="00124804"/>
    <w:rsid w:val="00132855"/>
    <w:rsid w:val="00133681"/>
    <w:rsid w:val="0013640B"/>
    <w:rsid w:val="00143B8D"/>
    <w:rsid w:val="0015009E"/>
    <w:rsid w:val="00152993"/>
    <w:rsid w:val="00170297"/>
    <w:rsid w:val="001838E2"/>
    <w:rsid w:val="0019103B"/>
    <w:rsid w:val="001A227D"/>
    <w:rsid w:val="001B2059"/>
    <w:rsid w:val="001B5A01"/>
    <w:rsid w:val="001B68B5"/>
    <w:rsid w:val="001D3EBB"/>
    <w:rsid w:val="001E2032"/>
    <w:rsid w:val="001E3DA1"/>
    <w:rsid w:val="00202BF8"/>
    <w:rsid w:val="00220A3D"/>
    <w:rsid w:val="00226A13"/>
    <w:rsid w:val="00232385"/>
    <w:rsid w:val="002525E7"/>
    <w:rsid w:val="00255A86"/>
    <w:rsid w:val="00262F07"/>
    <w:rsid w:val="00274DFE"/>
    <w:rsid w:val="00294AD2"/>
    <w:rsid w:val="002A113A"/>
    <w:rsid w:val="002D6F45"/>
    <w:rsid w:val="002E63DC"/>
    <w:rsid w:val="003010C0"/>
    <w:rsid w:val="00305C52"/>
    <w:rsid w:val="00311C0D"/>
    <w:rsid w:val="00317896"/>
    <w:rsid w:val="00323984"/>
    <w:rsid w:val="00332791"/>
    <w:rsid w:val="00332A97"/>
    <w:rsid w:val="003462CF"/>
    <w:rsid w:val="00350C00"/>
    <w:rsid w:val="00366113"/>
    <w:rsid w:val="0038065A"/>
    <w:rsid w:val="003A1E3D"/>
    <w:rsid w:val="003A4796"/>
    <w:rsid w:val="003C0F82"/>
    <w:rsid w:val="003C270C"/>
    <w:rsid w:val="003D0994"/>
    <w:rsid w:val="003D2E68"/>
    <w:rsid w:val="003D2F05"/>
    <w:rsid w:val="003E5E6C"/>
    <w:rsid w:val="003F12AE"/>
    <w:rsid w:val="004028E4"/>
    <w:rsid w:val="004035A0"/>
    <w:rsid w:val="00406690"/>
    <w:rsid w:val="00411690"/>
    <w:rsid w:val="00414986"/>
    <w:rsid w:val="00415350"/>
    <w:rsid w:val="00423824"/>
    <w:rsid w:val="0043567D"/>
    <w:rsid w:val="0044307E"/>
    <w:rsid w:val="00443554"/>
    <w:rsid w:val="00446506"/>
    <w:rsid w:val="00447CFB"/>
    <w:rsid w:val="0046420B"/>
    <w:rsid w:val="00465FEE"/>
    <w:rsid w:val="00492AE8"/>
    <w:rsid w:val="00497CC1"/>
    <w:rsid w:val="004A5C79"/>
    <w:rsid w:val="004B27F2"/>
    <w:rsid w:val="004B7B90"/>
    <w:rsid w:val="004C3005"/>
    <w:rsid w:val="004D2515"/>
    <w:rsid w:val="004D45F1"/>
    <w:rsid w:val="004E2C19"/>
    <w:rsid w:val="004E4532"/>
    <w:rsid w:val="004E68EE"/>
    <w:rsid w:val="005462A6"/>
    <w:rsid w:val="00552A06"/>
    <w:rsid w:val="00553A1A"/>
    <w:rsid w:val="005635AF"/>
    <w:rsid w:val="00567B9C"/>
    <w:rsid w:val="005968D4"/>
    <w:rsid w:val="005B39C8"/>
    <w:rsid w:val="005D2362"/>
    <w:rsid w:val="005D284C"/>
    <w:rsid w:val="005E1FAB"/>
    <w:rsid w:val="00602074"/>
    <w:rsid w:val="00604512"/>
    <w:rsid w:val="006079F6"/>
    <w:rsid w:val="006205D1"/>
    <w:rsid w:val="00622491"/>
    <w:rsid w:val="00632714"/>
    <w:rsid w:val="00633E23"/>
    <w:rsid w:val="00641C52"/>
    <w:rsid w:val="00652AED"/>
    <w:rsid w:val="00673B94"/>
    <w:rsid w:val="00680AC6"/>
    <w:rsid w:val="006835D8"/>
    <w:rsid w:val="00687927"/>
    <w:rsid w:val="00695B0B"/>
    <w:rsid w:val="0069639B"/>
    <w:rsid w:val="006A7299"/>
    <w:rsid w:val="006C316E"/>
    <w:rsid w:val="006D0F7C"/>
    <w:rsid w:val="006E199E"/>
    <w:rsid w:val="006F4020"/>
    <w:rsid w:val="00701440"/>
    <w:rsid w:val="007142F3"/>
    <w:rsid w:val="007230D8"/>
    <w:rsid w:val="007269C4"/>
    <w:rsid w:val="00741C12"/>
    <w:rsid w:val="0074209E"/>
    <w:rsid w:val="00760815"/>
    <w:rsid w:val="0076581B"/>
    <w:rsid w:val="007A2B50"/>
    <w:rsid w:val="007B2476"/>
    <w:rsid w:val="007C4884"/>
    <w:rsid w:val="007D052C"/>
    <w:rsid w:val="007F2A8A"/>
    <w:rsid w:val="007F2CA8"/>
    <w:rsid w:val="007F36E4"/>
    <w:rsid w:val="007F7161"/>
    <w:rsid w:val="00800658"/>
    <w:rsid w:val="00807CC0"/>
    <w:rsid w:val="00814B07"/>
    <w:rsid w:val="00832CD1"/>
    <w:rsid w:val="00845030"/>
    <w:rsid w:val="0085559E"/>
    <w:rsid w:val="00866255"/>
    <w:rsid w:val="00870A1D"/>
    <w:rsid w:val="00871F09"/>
    <w:rsid w:val="00874A0C"/>
    <w:rsid w:val="008874DF"/>
    <w:rsid w:val="00896B1B"/>
    <w:rsid w:val="008C126A"/>
    <w:rsid w:val="008C3049"/>
    <w:rsid w:val="008D724A"/>
    <w:rsid w:val="008E559E"/>
    <w:rsid w:val="008F02A7"/>
    <w:rsid w:val="008F36AE"/>
    <w:rsid w:val="00903B22"/>
    <w:rsid w:val="00916080"/>
    <w:rsid w:val="00920AAB"/>
    <w:rsid w:val="00921A68"/>
    <w:rsid w:val="00931E1A"/>
    <w:rsid w:val="0094363B"/>
    <w:rsid w:val="009717FF"/>
    <w:rsid w:val="009B1165"/>
    <w:rsid w:val="009B60D3"/>
    <w:rsid w:val="009C0F22"/>
    <w:rsid w:val="009C4804"/>
    <w:rsid w:val="009D0705"/>
    <w:rsid w:val="009D2963"/>
    <w:rsid w:val="009E1C92"/>
    <w:rsid w:val="009E538A"/>
    <w:rsid w:val="00A015C4"/>
    <w:rsid w:val="00A139B3"/>
    <w:rsid w:val="00A15172"/>
    <w:rsid w:val="00A168A0"/>
    <w:rsid w:val="00A25DC9"/>
    <w:rsid w:val="00A264DB"/>
    <w:rsid w:val="00A272ED"/>
    <w:rsid w:val="00A32885"/>
    <w:rsid w:val="00A66219"/>
    <w:rsid w:val="00A75AC0"/>
    <w:rsid w:val="00A93869"/>
    <w:rsid w:val="00AA6F8D"/>
    <w:rsid w:val="00AB2B1A"/>
    <w:rsid w:val="00AB5C2A"/>
    <w:rsid w:val="00AC4A12"/>
    <w:rsid w:val="00AD6F2D"/>
    <w:rsid w:val="00AE4079"/>
    <w:rsid w:val="00AF3ADF"/>
    <w:rsid w:val="00B00F35"/>
    <w:rsid w:val="00B127AF"/>
    <w:rsid w:val="00B22D44"/>
    <w:rsid w:val="00B25DDB"/>
    <w:rsid w:val="00B5080A"/>
    <w:rsid w:val="00B54301"/>
    <w:rsid w:val="00B56A75"/>
    <w:rsid w:val="00B674FD"/>
    <w:rsid w:val="00B743A2"/>
    <w:rsid w:val="00B943AE"/>
    <w:rsid w:val="00BB2D2B"/>
    <w:rsid w:val="00BB34F9"/>
    <w:rsid w:val="00BB4B13"/>
    <w:rsid w:val="00BC7C89"/>
    <w:rsid w:val="00BD7258"/>
    <w:rsid w:val="00BE1CF4"/>
    <w:rsid w:val="00C0598D"/>
    <w:rsid w:val="00C11956"/>
    <w:rsid w:val="00C22FB1"/>
    <w:rsid w:val="00C24224"/>
    <w:rsid w:val="00C3197D"/>
    <w:rsid w:val="00C33A0F"/>
    <w:rsid w:val="00C347E8"/>
    <w:rsid w:val="00C40105"/>
    <w:rsid w:val="00C459EE"/>
    <w:rsid w:val="00C45A24"/>
    <w:rsid w:val="00C602E5"/>
    <w:rsid w:val="00C72B8B"/>
    <w:rsid w:val="00C748FD"/>
    <w:rsid w:val="00C76D53"/>
    <w:rsid w:val="00C84429"/>
    <w:rsid w:val="00C95BC4"/>
    <w:rsid w:val="00CA17A6"/>
    <w:rsid w:val="00CA454D"/>
    <w:rsid w:val="00CC0A2C"/>
    <w:rsid w:val="00CC7B40"/>
    <w:rsid w:val="00CCA2AC"/>
    <w:rsid w:val="00CD648F"/>
    <w:rsid w:val="00CE3CA4"/>
    <w:rsid w:val="00CF5B74"/>
    <w:rsid w:val="00D07BCE"/>
    <w:rsid w:val="00D17E86"/>
    <w:rsid w:val="00D334D9"/>
    <w:rsid w:val="00D36513"/>
    <w:rsid w:val="00D37EF4"/>
    <w:rsid w:val="00D4046E"/>
    <w:rsid w:val="00D40F87"/>
    <w:rsid w:val="00D41A5B"/>
    <w:rsid w:val="00D4362F"/>
    <w:rsid w:val="00D545D6"/>
    <w:rsid w:val="00D5536A"/>
    <w:rsid w:val="00D724B2"/>
    <w:rsid w:val="00D9047B"/>
    <w:rsid w:val="00D90C7D"/>
    <w:rsid w:val="00D919FE"/>
    <w:rsid w:val="00DA382D"/>
    <w:rsid w:val="00DB6FD7"/>
    <w:rsid w:val="00DC146E"/>
    <w:rsid w:val="00DD0E39"/>
    <w:rsid w:val="00DD4739"/>
    <w:rsid w:val="00DD663F"/>
    <w:rsid w:val="00DE28E2"/>
    <w:rsid w:val="00DE5F33"/>
    <w:rsid w:val="00E07B54"/>
    <w:rsid w:val="00E11F78"/>
    <w:rsid w:val="00E20002"/>
    <w:rsid w:val="00E24A7A"/>
    <w:rsid w:val="00E45FBB"/>
    <w:rsid w:val="00E50551"/>
    <w:rsid w:val="00E50C1F"/>
    <w:rsid w:val="00E54DF7"/>
    <w:rsid w:val="00E621E1"/>
    <w:rsid w:val="00E642FD"/>
    <w:rsid w:val="00E746F8"/>
    <w:rsid w:val="00E83354"/>
    <w:rsid w:val="00EB100A"/>
    <w:rsid w:val="00EB6083"/>
    <w:rsid w:val="00EC55B3"/>
    <w:rsid w:val="00EE6681"/>
    <w:rsid w:val="00EF758A"/>
    <w:rsid w:val="00EF787A"/>
    <w:rsid w:val="00F01FA3"/>
    <w:rsid w:val="00F259B9"/>
    <w:rsid w:val="00F322C4"/>
    <w:rsid w:val="00F35590"/>
    <w:rsid w:val="00F44C7C"/>
    <w:rsid w:val="00F579DC"/>
    <w:rsid w:val="00F66F10"/>
    <w:rsid w:val="00F80EBD"/>
    <w:rsid w:val="00F96FB2"/>
    <w:rsid w:val="00FB4E84"/>
    <w:rsid w:val="00FB51D8"/>
    <w:rsid w:val="00FD08E8"/>
    <w:rsid w:val="00FD4E3F"/>
    <w:rsid w:val="00FE1DDF"/>
    <w:rsid w:val="00FE63AB"/>
    <w:rsid w:val="00FF033D"/>
    <w:rsid w:val="01BA7152"/>
    <w:rsid w:val="06271385"/>
    <w:rsid w:val="066EC5CB"/>
    <w:rsid w:val="0683CF73"/>
    <w:rsid w:val="074B599A"/>
    <w:rsid w:val="08167BB3"/>
    <w:rsid w:val="09442F87"/>
    <w:rsid w:val="0A405E50"/>
    <w:rsid w:val="0A939DBB"/>
    <w:rsid w:val="0B2C36BA"/>
    <w:rsid w:val="0B61FC23"/>
    <w:rsid w:val="0B6CE983"/>
    <w:rsid w:val="0C5CA09A"/>
    <w:rsid w:val="0E9B8FC1"/>
    <w:rsid w:val="0FF722DF"/>
    <w:rsid w:val="116BEA0B"/>
    <w:rsid w:val="123838B9"/>
    <w:rsid w:val="1258251A"/>
    <w:rsid w:val="12D28590"/>
    <w:rsid w:val="13B8FEC3"/>
    <w:rsid w:val="14042F31"/>
    <w:rsid w:val="159FD1C3"/>
    <w:rsid w:val="16981010"/>
    <w:rsid w:val="1969D7CC"/>
    <w:rsid w:val="19D6BBE0"/>
    <w:rsid w:val="19F0466F"/>
    <w:rsid w:val="1B0ED13D"/>
    <w:rsid w:val="1B962D8F"/>
    <w:rsid w:val="1C233A57"/>
    <w:rsid w:val="1CF4C7D6"/>
    <w:rsid w:val="1DA43C38"/>
    <w:rsid w:val="1DF13C58"/>
    <w:rsid w:val="207EEC9E"/>
    <w:rsid w:val="22F5D8E2"/>
    <w:rsid w:val="2442828D"/>
    <w:rsid w:val="28F81C21"/>
    <w:rsid w:val="29A66843"/>
    <w:rsid w:val="29EE8F25"/>
    <w:rsid w:val="2AB5363D"/>
    <w:rsid w:val="2B630740"/>
    <w:rsid w:val="2C9439AD"/>
    <w:rsid w:val="2FB3613B"/>
    <w:rsid w:val="2FF5A3A3"/>
    <w:rsid w:val="31CD43A8"/>
    <w:rsid w:val="31D1346C"/>
    <w:rsid w:val="336CD7BC"/>
    <w:rsid w:val="339C6416"/>
    <w:rsid w:val="33A0C598"/>
    <w:rsid w:val="346C146A"/>
    <w:rsid w:val="34911D34"/>
    <w:rsid w:val="3526A435"/>
    <w:rsid w:val="3613965D"/>
    <w:rsid w:val="3691E0A7"/>
    <w:rsid w:val="36AA4A4B"/>
    <w:rsid w:val="3736AB63"/>
    <w:rsid w:val="38108395"/>
    <w:rsid w:val="39E7D3CA"/>
    <w:rsid w:val="3A2EEC2C"/>
    <w:rsid w:val="3B83A42B"/>
    <w:rsid w:val="3E4481A1"/>
    <w:rsid w:val="405E3F49"/>
    <w:rsid w:val="42FBC4E4"/>
    <w:rsid w:val="440C931B"/>
    <w:rsid w:val="44DB488E"/>
    <w:rsid w:val="45C0AF1D"/>
    <w:rsid w:val="474433DD"/>
    <w:rsid w:val="48E0043E"/>
    <w:rsid w:val="49B296B2"/>
    <w:rsid w:val="4AD301CF"/>
    <w:rsid w:val="4B3EB0AB"/>
    <w:rsid w:val="4C3EF933"/>
    <w:rsid w:val="4C9014DC"/>
    <w:rsid w:val="4D2A20FD"/>
    <w:rsid w:val="4F944F94"/>
    <w:rsid w:val="50063324"/>
    <w:rsid w:val="5007F98C"/>
    <w:rsid w:val="527AD10F"/>
    <w:rsid w:val="528329E0"/>
    <w:rsid w:val="5305D473"/>
    <w:rsid w:val="5330B32E"/>
    <w:rsid w:val="5421A022"/>
    <w:rsid w:val="556EAC82"/>
    <w:rsid w:val="55786374"/>
    <w:rsid w:val="561B44D1"/>
    <w:rsid w:val="57611615"/>
    <w:rsid w:val="57B71532"/>
    <w:rsid w:val="5825F789"/>
    <w:rsid w:val="5A12BC9A"/>
    <w:rsid w:val="5CDBCD82"/>
    <w:rsid w:val="5EA433C1"/>
    <w:rsid w:val="5EF20F08"/>
    <w:rsid w:val="5F1D036E"/>
    <w:rsid w:val="61AD6C78"/>
    <w:rsid w:val="621C3BF5"/>
    <w:rsid w:val="6232DC7C"/>
    <w:rsid w:val="645E524F"/>
    <w:rsid w:val="64B35620"/>
    <w:rsid w:val="67C88CAC"/>
    <w:rsid w:val="6867A4FD"/>
    <w:rsid w:val="68CA2B24"/>
    <w:rsid w:val="69090619"/>
    <w:rsid w:val="6A179B62"/>
    <w:rsid w:val="6A59945F"/>
    <w:rsid w:val="6AEFA2EC"/>
    <w:rsid w:val="6B291341"/>
    <w:rsid w:val="6BE25E19"/>
    <w:rsid w:val="6D0D4E55"/>
    <w:rsid w:val="6E9A87E3"/>
    <w:rsid w:val="703F3995"/>
    <w:rsid w:val="714B4EA2"/>
    <w:rsid w:val="749905C3"/>
    <w:rsid w:val="7684249F"/>
    <w:rsid w:val="76E2C2AF"/>
    <w:rsid w:val="77780AE3"/>
    <w:rsid w:val="79B61D07"/>
    <w:rsid w:val="7DC0C5B1"/>
    <w:rsid w:val="7EB8B6BB"/>
    <w:rsid w:val="7EF5C11F"/>
    <w:rsid w:val="7F30091C"/>
    <w:rsid w:val="7F71591C"/>
    <w:rsid w:val="7F74D97E"/>
    <w:rsid w:val="7FBA28B0"/>
    <w:rsid w:val="7FC58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2A86F"/>
  <w15:chartTrackingRefBased/>
  <w15:docId w15:val="{633C43D0-B48E-4EFE-81DD-463A0F9F5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2"/>
      </w:numPr>
      <w:spacing w:after="240"/>
      <w:outlineLvl w:val="0"/>
    </w:pPr>
    <w:rPr>
      <w:b/>
      <w:caps/>
      <w:szCs w:val="20"/>
    </w:rPr>
  </w:style>
  <w:style w:type="paragraph" w:styleId="Heading2">
    <w:name w:val="heading 2"/>
    <w:aliases w:val="h2"/>
    <w:basedOn w:val="Normal"/>
    <w:next w:val="Normal"/>
    <w:qFormat/>
    <w:pPr>
      <w:keepNext/>
      <w:numPr>
        <w:ilvl w:val="1"/>
        <w:numId w:val="2"/>
      </w:numPr>
      <w:spacing w:before="240" w:after="240"/>
      <w:outlineLvl w:val="1"/>
    </w:pPr>
    <w:rPr>
      <w:b/>
      <w:szCs w:val="20"/>
    </w:rPr>
  </w:style>
  <w:style w:type="paragraph" w:styleId="Heading3">
    <w:name w:val="heading 3"/>
    <w:aliases w:val="h3"/>
    <w:basedOn w:val="Normal"/>
    <w:next w:val="Normal"/>
    <w:qFormat/>
    <w:pPr>
      <w:keepNext/>
      <w:numPr>
        <w:ilvl w:val="2"/>
        <w:numId w:val="2"/>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2"/>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3"/>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FootnoteText">
    <w:name w:val="footnote text"/>
    <w:basedOn w:val="Normal"/>
    <w:link w:val="FootnoteTextChar"/>
    <w:rsid w:val="0015009E"/>
    <w:rPr>
      <w:sz w:val="20"/>
      <w:szCs w:val="20"/>
    </w:rPr>
  </w:style>
  <w:style w:type="character" w:customStyle="1" w:styleId="FootnoteTextChar">
    <w:name w:val="Footnote Text Char"/>
    <w:basedOn w:val="DefaultParagraphFont"/>
    <w:link w:val="FootnoteText"/>
    <w:rsid w:val="0015009E"/>
  </w:style>
  <w:style w:type="character" w:styleId="FootnoteReference">
    <w:name w:val="footnote reference"/>
    <w:rsid w:val="0015009E"/>
    <w:rPr>
      <w:vertAlign w:val="superscript"/>
    </w:rPr>
  </w:style>
  <w:style w:type="character" w:styleId="UnresolvedMention">
    <w:name w:val="Unresolved Mention"/>
    <w:uiPriority w:val="99"/>
    <w:semiHidden/>
    <w:unhideWhenUsed/>
    <w:rsid w:val="00F44C7C"/>
    <w:rPr>
      <w:color w:val="605E5C"/>
      <w:shd w:val="clear" w:color="auto" w:fill="E1DFDD"/>
    </w:rPr>
  </w:style>
  <w:style w:type="paragraph" w:styleId="Revision">
    <w:name w:val="Revision"/>
    <w:hidden/>
    <w:uiPriority w:val="99"/>
    <w:semiHidden/>
    <w:rsid w:val="00CE3CA4"/>
    <w:rPr>
      <w:sz w:val="24"/>
      <w:szCs w:val="24"/>
    </w:rPr>
  </w:style>
  <w:style w:type="paragraph" w:customStyle="1" w:styleId="Block">
    <w:name w:val="Block"/>
    <w:basedOn w:val="NormalArial"/>
    <w:rsid w:val="00DE28E2"/>
    <w:pPr>
      <w:spacing w:before="120"/>
      <w:ind w:firstLine="360"/>
      <w:jc w:val="both"/>
    </w:pPr>
  </w:style>
  <w:style w:type="paragraph" w:styleId="BlockText">
    <w:name w:val="Block Text"/>
    <w:basedOn w:val="Normal"/>
    <w:rsid w:val="00DE28E2"/>
    <w:pPr>
      <w:spacing w:after="120"/>
      <w:ind w:left="1440" w:right="1440"/>
    </w:pPr>
  </w:style>
  <w:style w:type="paragraph" w:styleId="NormalWeb">
    <w:name w:val="Normal (Web)"/>
    <w:basedOn w:val="Normal"/>
    <w:uiPriority w:val="99"/>
    <w:unhideWhenUsed/>
    <w:rsid w:val="00AC4A12"/>
    <w:pPr>
      <w:spacing w:before="100" w:beforeAutospacing="1" w:after="100" w:afterAutospacing="1"/>
    </w:pPr>
  </w:style>
  <w:style w:type="paragraph" w:styleId="ListParagraph">
    <w:name w:val="List Paragraph"/>
    <w:basedOn w:val="Normal"/>
    <w:uiPriority w:val="34"/>
    <w:qFormat/>
    <w:rsid w:val="00117E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715530">
      <w:bodyDiv w:val="1"/>
      <w:marLeft w:val="0"/>
      <w:marRight w:val="0"/>
      <w:marTop w:val="0"/>
      <w:marBottom w:val="0"/>
      <w:divBdr>
        <w:top w:val="none" w:sz="0" w:space="0" w:color="auto"/>
        <w:left w:val="none" w:sz="0" w:space="0" w:color="auto"/>
        <w:bottom w:val="none" w:sz="0" w:space="0" w:color="auto"/>
        <w:right w:val="none" w:sz="0" w:space="0" w:color="auto"/>
      </w:divBdr>
    </w:div>
    <w:div w:id="609967803">
      <w:bodyDiv w:val="1"/>
      <w:marLeft w:val="0"/>
      <w:marRight w:val="0"/>
      <w:marTop w:val="0"/>
      <w:marBottom w:val="0"/>
      <w:divBdr>
        <w:top w:val="none" w:sz="0" w:space="0" w:color="auto"/>
        <w:left w:val="none" w:sz="0" w:space="0" w:color="auto"/>
        <w:bottom w:val="none" w:sz="0" w:space="0" w:color="auto"/>
        <w:right w:val="none" w:sz="0" w:space="0" w:color="auto"/>
      </w:divBdr>
    </w:div>
    <w:div w:id="770394154">
      <w:bodyDiv w:val="1"/>
      <w:marLeft w:val="0"/>
      <w:marRight w:val="0"/>
      <w:marTop w:val="0"/>
      <w:marBottom w:val="0"/>
      <w:divBdr>
        <w:top w:val="none" w:sz="0" w:space="0" w:color="auto"/>
        <w:left w:val="none" w:sz="0" w:space="0" w:color="auto"/>
        <w:bottom w:val="none" w:sz="0" w:space="0" w:color="auto"/>
        <w:right w:val="none" w:sz="0" w:space="0" w:color="auto"/>
      </w:divBdr>
    </w:div>
    <w:div w:id="899094096">
      <w:bodyDiv w:val="1"/>
      <w:marLeft w:val="0"/>
      <w:marRight w:val="0"/>
      <w:marTop w:val="0"/>
      <w:marBottom w:val="0"/>
      <w:divBdr>
        <w:top w:val="none" w:sz="0" w:space="0" w:color="auto"/>
        <w:left w:val="none" w:sz="0" w:space="0" w:color="auto"/>
        <w:bottom w:val="none" w:sz="0" w:space="0" w:color="auto"/>
        <w:right w:val="none" w:sz="0" w:space="0" w:color="auto"/>
      </w:divBdr>
    </w:div>
    <w:div w:id="1198012226">
      <w:bodyDiv w:val="1"/>
      <w:marLeft w:val="0"/>
      <w:marRight w:val="0"/>
      <w:marTop w:val="0"/>
      <w:marBottom w:val="0"/>
      <w:divBdr>
        <w:top w:val="none" w:sz="0" w:space="0" w:color="auto"/>
        <w:left w:val="none" w:sz="0" w:space="0" w:color="auto"/>
        <w:bottom w:val="none" w:sz="0" w:space="0" w:color="auto"/>
        <w:right w:val="none" w:sz="0" w:space="0" w:color="auto"/>
      </w:divBdr>
    </w:div>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19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aron@datacentercoalition.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datacentercoali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DEE16-4E90-4CAB-ADD8-178D21762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1187</Words>
  <Characters>6940</Characters>
  <Application>Microsoft Office Word</Application>
  <DocSecurity>0</DocSecurity>
  <Lines>57</Lines>
  <Paragraphs>16</Paragraphs>
  <ScaleCrop>false</ScaleCrop>
  <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C Phillips</cp:lastModifiedBy>
  <cp:revision>3</cp:revision>
  <cp:lastPrinted>2023-10-06T20:22:00Z</cp:lastPrinted>
  <dcterms:created xsi:type="dcterms:W3CDTF">2023-12-20T18:54:00Z</dcterms:created>
  <dcterms:modified xsi:type="dcterms:W3CDTF">2023-12-20T18:56:00Z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2023-08-28T20:54:12Z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ba08f73b-1c1c-45ea-8e9c-a0d4589cae60</vt:lpwstr>
  </property>
  <property fmtid="{D5CDD505-2E9C-101B-9397-08002B2CF9AE}" pid="8" name="MSIP_Label_7084cbda-52b8-46fb-a7b7-cb5bd465ed85_ContentBits">
    <vt:lpwstr>0</vt:lpwstr>
  </property>
</Properties>
</file>