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105DF" w14:paraId="4E6CB58D" w14:textId="77777777">
        <w:tc>
          <w:tcPr>
            <w:tcW w:w="1620" w:type="dxa"/>
            <w:tcBorders>
              <w:bottom w:val="single" w:sz="4" w:space="0" w:color="auto"/>
            </w:tcBorders>
            <w:shd w:val="clear" w:color="auto" w:fill="FFFFFF"/>
            <w:vAlign w:val="center"/>
          </w:tcPr>
          <w:p w14:paraId="7F15E48D" w14:textId="77777777" w:rsidR="00FB17E2" w:rsidRPr="00350AF0" w:rsidRDefault="0031436C" w:rsidP="00FB17E2">
            <w:pPr>
              <w:pStyle w:val="Header"/>
              <w:rPr>
                <w:rFonts w:cs="Arial"/>
              </w:rPr>
            </w:pPr>
            <w:r w:rsidRPr="00350AF0">
              <w:rPr>
                <w:rFonts w:cs="Arial"/>
              </w:rPr>
              <w:t>NPRR Number</w:t>
            </w:r>
          </w:p>
        </w:tc>
        <w:tc>
          <w:tcPr>
            <w:tcW w:w="1260" w:type="dxa"/>
            <w:tcBorders>
              <w:bottom w:val="single" w:sz="4" w:space="0" w:color="auto"/>
            </w:tcBorders>
            <w:vAlign w:val="center"/>
          </w:tcPr>
          <w:p w14:paraId="05EDF68E" w14:textId="08BC7FE2" w:rsidR="00FB17E2" w:rsidRPr="00350AF0" w:rsidRDefault="005361F2" w:rsidP="00FB17E2">
            <w:pPr>
              <w:pStyle w:val="Header"/>
              <w:rPr>
                <w:rFonts w:cs="Arial"/>
              </w:rPr>
            </w:pPr>
            <w:hyperlink r:id="rId8" w:history="1">
              <w:r w:rsidR="00377216" w:rsidRPr="0031436C">
                <w:rPr>
                  <w:rStyle w:val="Hyperlink"/>
                  <w:rFonts w:cs="Arial"/>
                </w:rPr>
                <w:t>1</w:t>
              </w:r>
              <w:r w:rsidR="0031436C" w:rsidRPr="0031436C">
                <w:rPr>
                  <w:rStyle w:val="Hyperlink"/>
                  <w:rFonts w:cs="Arial"/>
                </w:rPr>
                <w:t>209</w:t>
              </w:r>
            </w:hyperlink>
          </w:p>
        </w:tc>
        <w:tc>
          <w:tcPr>
            <w:tcW w:w="900" w:type="dxa"/>
            <w:tcBorders>
              <w:bottom w:val="single" w:sz="4" w:space="0" w:color="auto"/>
            </w:tcBorders>
            <w:shd w:val="clear" w:color="auto" w:fill="FFFFFF"/>
            <w:vAlign w:val="center"/>
          </w:tcPr>
          <w:p w14:paraId="1518467B" w14:textId="77777777" w:rsidR="00FB17E2" w:rsidRPr="00350AF0" w:rsidRDefault="0031436C" w:rsidP="00FB17E2">
            <w:pPr>
              <w:pStyle w:val="Header"/>
              <w:rPr>
                <w:rFonts w:cs="Arial"/>
              </w:rPr>
            </w:pPr>
            <w:r w:rsidRPr="00350AF0">
              <w:rPr>
                <w:rFonts w:cs="Arial"/>
              </w:rPr>
              <w:t>NPRR Title</w:t>
            </w:r>
          </w:p>
        </w:tc>
        <w:tc>
          <w:tcPr>
            <w:tcW w:w="6660" w:type="dxa"/>
            <w:tcBorders>
              <w:bottom w:val="single" w:sz="4" w:space="0" w:color="auto"/>
            </w:tcBorders>
            <w:vAlign w:val="center"/>
          </w:tcPr>
          <w:p w14:paraId="5F54AC8E" w14:textId="6111099E" w:rsidR="00FB17E2" w:rsidRPr="00350AF0" w:rsidRDefault="0031436C" w:rsidP="00FB17E2">
            <w:pPr>
              <w:pStyle w:val="Header"/>
              <w:rPr>
                <w:rFonts w:cs="Arial"/>
              </w:rPr>
            </w:pPr>
            <w:r w:rsidRPr="0031436C">
              <w:rPr>
                <w:rFonts w:cs="Arial"/>
              </w:rPr>
              <w:t>Board Priority – State Of Charge Ancillary Service Failed Quantity Allocations under NPRR1149</w:t>
            </w:r>
          </w:p>
        </w:tc>
      </w:tr>
      <w:tr w:rsidR="00B105DF" w14:paraId="3C1D5805" w14:textId="77777777">
        <w:trPr>
          <w:trHeight w:val="413"/>
        </w:trPr>
        <w:tc>
          <w:tcPr>
            <w:tcW w:w="2880" w:type="dxa"/>
            <w:gridSpan w:val="2"/>
            <w:tcBorders>
              <w:top w:val="nil"/>
              <w:left w:val="nil"/>
              <w:bottom w:val="single" w:sz="4" w:space="0" w:color="auto"/>
              <w:right w:val="nil"/>
            </w:tcBorders>
            <w:vAlign w:val="center"/>
          </w:tcPr>
          <w:p w14:paraId="3B7DC6A1" w14:textId="77777777" w:rsidR="00FB17E2" w:rsidRPr="00350AF0" w:rsidRDefault="00FB17E2" w:rsidP="00FB17E2">
            <w:pPr>
              <w:pStyle w:val="NormalArial"/>
              <w:rPr>
                <w:rFonts w:cs="Arial"/>
              </w:rPr>
            </w:pPr>
          </w:p>
        </w:tc>
        <w:tc>
          <w:tcPr>
            <w:tcW w:w="7560" w:type="dxa"/>
            <w:gridSpan w:val="2"/>
            <w:tcBorders>
              <w:top w:val="single" w:sz="4" w:space="0" w:color="auto"/>
              <w:left w:val="nil"/>
              <w:bottom w:val="nil"/>
              <w:right w:val="nil"/>
            </w:tcBorders>
            <w:vAlign w:val="center"/>
          </w:tcPr>
          <w:p w14:paraId="6339D13F" w14:textId="77777777" w:rsidR="00FB17E2" w:rsidRPr="00350AF0" w:rsidRDefault="00FB17E2" w:rsidP="00FB17E2">
            <w:pPr>
              <w:pStyle w:val="NormalArial"/>
              <w:rPr>
                <w:rFonts w:cs="Arial"/>
              </w:rPr>
            </w:pPr>
          </w:p>
        </w:tc>
      </w:tr>
      <w:tr w:rsidR="00B105DF" w14:paraId="0A11A9A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CC69481" w14:textId="77777777" w:rsidR="00FB17E2" w:rsidRPr="00350AF0" w:rsidRDefault="0031436C" w:rsidP="00FB17E2">
            <w:pPr>
              <w:pStyle w:val="Header"/>
              <w:rPr>
                <w:rFonts w:cs="Arial"/>
              </w:rPr>
            </w:pPr>
            <w:r w:rsidRPr="00350AF0">
              <w:rPr>
                <w:rFonts w:cs="Arial"/>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3BE6C9" w14:textId="0948562B" w:rsidR="00FB17E2" w:rsidRPr="00350AF0" w:rsidRDefault="0031436C" w:rsidP="00FB17E2">
            <w:pPr>
              <w:pStyle w:val="NormalArial"/>
              <w:rPr>
                <w:rFonts w:cs="Arial"/>
              </w:rPr>
            </w:pPr>
            <w:r>
              <w:rPr>
                <w:rFonts w:cs="Arial"/>
              </w:rPr>
              <w:t xml:space="preserve">December </w:t>
            </w:r>
            <w:r w:rsidR="00585E72" w:rsidRPr="002D18C6">
              <w:rPr>
                <w:rFonts w:cs="Arial"/>
              </w:rPr>
              <w:t>14</w:t>
            </w:r>
            <w:r w:rsidR="0061075C">
              <w:rPr>
                <w:rFonts w:cs="Arial"/>
              </w:rPr>
              <w:t>, 2023</w:t>
            </w:r>
          </w:p>
        </w:tc>
      </w:tr>
      <w:tr w:rsidR="00B105DF" w14:paraId="19CC85E0" w14:textId="77777777">
        <w:trPr>
          <w:trHeight w:val="467"/>
        </w:trPr>
        <w:tc>
          <w:tcPr>
            <w:tcW w:w="2880" w:type="dxa"/>
            <w:gridSpan w:val="2"/>
            <w:tcBorders>
              <w:top w:val="single" w:sz="4" w:space="0" w:color="auto"/>
              <w:left w:val="nil"/>
              <w:bottom w:val="nil"/>
              <w:right w:val="nil"/>
            </w:tcBorders>
            <w:shd w:val="clear" w:color="auto" w:fill="FFFFFF"/>
            <w:vAlign w:val="center"/>
          </w:tcPr>
          <w:p w14:paraId="62A53BA9" w14:textId="77777777" w:rsidR="00FB17E2" w:rsidRPr="00350AF0" w:rsidRDefault="00FB17E2" w:rsidP="00FB17E2">
            <w:pPr>
              <w:pStyle w:val="NormalArial"/>
              <w:rPr>
                <w:rFonts w:cs="Arial"/>
              </w:rPr>
            </w:pPr>
          </w:p>
        </w:tc>
        <w:tc>
          <w:tcPr>
            <w:tcW w:w="7560" w:type="dxa"/>
            <w:gridSpan w:val="2"/>
            <w:tcBorders>
              <w:top w:val="nil"/>
              <w:left w:val="nil"/>
              <w:bottom w:val="nil"/>
              <w:right w:val="nil"/>
            </w:tcBorders>
            <w:vAlign w:val="center"/>
          </w:tcPr>
          <w:p w14:paraId="77EEA8BE" w14:textId="77777777" w:rsidR="00FB17E2" w:rsidRPr="00350AF0" w:rsidRDefault="00FB17E2" w:rsidP="00FB17E2">
            <w:pPr>
              <w:pStyle w:val="NormalArial"/>
              <w:rPr>
                <w:rFonts w:cs="Arial"/>
              </w:rPr>
            </w:pPr>
          </w:p>
        </w:tc>
      </w:tr>
      <w:tr w:rsidR="00B105DF" w14:paraId="54245A81" w14:textId="77777777">
        <w:trPr>
          <w:trHeight w:val="440"/>
        </w:trPr>
        <w:tc>
          <w:tcPr>
            <w:tcW w:w="10440" w:type="dxa"/>
            <w:gridSpan w:val="4"/>
            <w:tcBorders>
              <w:top w:val="single" w:sz="4" w:space="0" w:color="auto"/>
            </w:tcBorders>
            <w:shd w:val="clear" w:color="auto" w:fill="FFFFFF"/>
            <w:vAlign w:val="center"/>
          </w:tcPr>
          <w:p w14:paraId="563897CC" w14:textId="77777777" w:rsidR="00FB17E2" w:rsidRPr="00350AF0" w:rsidRDefault="0031436C" w:rsidP="00FB17E2">
            <w:pPr>
              <w:pStyle w:val="Header"/>
              <w:jc w:val="center"/>
              <w:rPr>
                <w:rFonts w:cs="Arial"/>
              </w:rPr>
            </w:pPr>
            <w:r w:rsidRPr="00350AF0">
              <w:rPr>
                <w:rFonts w:cs="Arial"/>
              </w:rPr>
              <w:t>Submitter’s Information</w:t>
            </w:r>
          </w:p>
        </w:tc>
      </w:tr>
      <w:tr w:rsidR="00B105DF" w14:paraId="0D673B46" w14:textId="77777777">
        <w:trPr>
          <w:trHeight w:val="350"/>
        </w:trPr>
        <w:tc>
          <w:tcPr>
            <w:tcW w:w="2880" w:type="dxa"/>
            <w:gridSpan w:val="2"/>
            <w:shd w:val="clear" w:color="auto" w:fill="FFFFFF"/>
            <w:vAlign w:val="center"/>
          </w:tcPr>
          <w:p w14:paraId="11B0E833" w14:textId="77777777" w:rsidR="00FB17E2" w:rsidRPr="00350AF0" w:rsidRDefault="0031436C" w:rsidP="00FB17E2">
            <w:pPr>
              <w:pStyle w:val="Header"/>
              <w:rPr>
                <w:rFonts w:cs="Arial"/>
              </w:rPr>
            </w:pPr>
            <w:r w:rsidRPr="00350AF0">
              <w:rPr>
                <w:rFonts w:cs="Arial"/>
              </w:rPr>
              <w:t>Name</w:t>
            </w:r>
          </w:p>
        </w:tc>
        <w:tc>
          <w:tcPr>
            <w:tcW w:w="7560" w:type="dxa"/>
            <w:gridSpan w:val="2"/>
            <w:vAlign w:val="center"/>
          </w:tcPr>
          <w:p w14:paraId="4AC89E21" w14:textId="77777777" w:rsidR="00FB17E2" w:rsidRPr="00350AF0" w:rsidRDefault="0031436C" w:rsidP="00FB17E2">
            <w:pPr>
              <w:pStyle w:val="NormalArial"/>
              <w:rPr>
                <w:rFonts w:cs="Arial"/>
              </w:rPr>
            </w:pPr>
            <w:r w:rsidRPr="00350AF0">
              <w:rPr>
                <w:rFonts w:cs="Arial"/>
              </w:rPr>
              <w:t>Stephanie Smith</w:t>
            </w:r>
          </w:p>
        </w:tc>
      </w:tr>
      <w:tr w:rsidR="00B105DF" w14:paraId="596A4E4A" w14:textId="77777777">
        <w:trPr>
          <w:trHeight w:val="350"/>
        </w:trPr>
        <w:tc>
          <w:tcPr>
            <w:tcW w:w="2880" w:type="dxa"/>
            <w:gridSpan w:val="2"/>
            <w:shd w:val="clear" w:color="auto" w:fill="FFFFFF"/>
            <w:vAlign w:val="center"/>
          </w:tcPr>
          <w:p w14:paraId="4C599364" w14:textId="77777777" w:rsidR="00FB17E2" w:rsidRPr="00350AF0" w:rsidRDefault="0031436C" w:rsidP="00FB17E2">
            <w:pPr>
              <w:pStyle w:val="Header"/>
              <w:rPr>
                <w:rFonts w:cs="Arial"/>
              </w:rPr>
            </w:pPr>
            <w:r w:rsidRPr="00350AF0">
              <w:rPr>
                <w:rFonts w:cs="Arial"/>
              </w:rPr>
              <w:t>E-mail Address</w:t>
            </w:r>
          </w:p>
        </w:tc>
        <w:tc>
          <w:tcPr>
            <w:tcW w:w="7560" w:type="dxa"/>
            <w:gridSpan w:val="2"/>
            <w:vAlign w:val="center"/>
          </w:tcPr>
          <w:p w14:paraId="23784E8D" w14:textId="3BC82C14" w:rsidR="00FB17E2" w:rsidRPr="00350AF0" w:rsidRDefault="005361F2" w:rsidP="00FB17E2">
            <w:pPr>
              <w:pStyle w:val="NormalArial"/>
              <w:rPr>
                <w:rFonts w:cs="Arial"/>
              </w:rPr>
            </w:pPr>
            <w:hyperlink r:id="rId9" w:history="1">
              <w:r w:rsidR="00A52C60" w:rsidRPr="00555A2E">
                <w:rPr>
                  <w:rStyle w:val="Hyperlink"/>
                  <w:rFonts w:cs="Arial"/>
                </w:rPr>
                <w:t>ssmith@eolianenergy.com</w:t>
              </w:r>
            </w:hyperlink>
          </w:p>
        </w:tc>
      </w:tr>
      <w:tr w:rsidR="00B105DF" w14:paraId="3ABDB969" w14:textId="77777777">
        <w:trPr>
          <w:trHeight w:val="350"/>
        </w:trPr>
        <w:tc>
          <w:tcPr>
            <w:tcW w:w="2880" w:type="dxa"/>
            <w:gridSpan w:val="2"/>
            <w:shd w:val="clear" w:color="auto" w:fill="FFFFFF"/>
            <w:vAlign w:val="center"/>
          </w:tcPr>
          <w:p w14:paraId="5E4A4945" w14:textId="77777777" w:rsidR="00FB17E2" w:rsidRPr="00350AF0" w:rsidRDefault="0031436C" w:rsidP="00FB17E2">
            <w:pPr>
              <w:pStyle w:val="Header"/>
              <w:rPr>
                <w:rFonts w:cs="Arial"/>
              </w:rPr>
            </w:pPr>
            <w:r w:rsidRPr="00350AF0">
              <w:rPr>
                <w:rFonts w:cs="Arial"/>
              </w:rPr>
              <w:t>Company</w:t>
            </w:r>
          </w:p>
        </w:tc>
        <w:tc>
          <w:tcPr>
            <w:tcW w:w="7560" w:type="dxa"/>
            <w:gridSpan w:val="2"/>
            <w:vAlign w:val="center"/>
          </w:tcPr>
          <w:p w14:paraId="62E9B47B" w14:textId="77777777" w:rsidR="00FB17E2" w:rsidRPr="00350AF0" w:rsidRDefault="0031436C" w:rsidP="00FB17E2">
            <w:pPr>
              <w:pStyle w:val="NormalArial"/>
              <w:rPr>
                <w:rFonts w:cs="Arial"/>
              </w:rPr>
            </w:pPr>
            <w:r w:rsidRPr="00350AF0">
              <w:rPr>
                <w:rFonts w:cs="Arial"/>
              </w:rPr>
              <w:t>Eolian LP</w:t>
            </w:r>
          </w:p>
        </w:tc>
      </w:tr>
      <w:tr w:rsidR="00B105DF" w14:paraId="5C622D17" w14:textId="77777777">
        <w:trPr>
          <w:trHeight w:val="350"/>
        </w:trPr>
        <w:tc>
          <w:tcPr>
            <w:tcW w:w="2880" w:type="dxa"/>
            <w:gridSpan w:val="2"/>
            <w:tcBorders>
              <w:bottom w:val="single" w:sz="4" w:space="0" w:color="auto"/>
            </w:tcBorders>
            <w:shd w:val="clear" w:color="auto" w:fill="FFFFFF"/>
            <w:vAlign w:val="center"/>
          </w:tcPr>
          <w:p w14:paraId="1B7ECC1C" w14:textId="77777777" w:rsidR="00FB17E2" w:rsidRPr="00350AF0" w:rsidRDefault="0031436C" w:rsidP="00FB17E2">
            <w:pPr>
              <w:pStyle w:val="Header"/>
              <w:rPr>
                <w:rFonts w:cs="Arial"/>
              </w:rPr>
            </w:pPr>
            <w:r w:rsidRPr="00350AF0">
              <w:rPr>
                <w:rFonts w:cs="Arial"/>
              </w:rPr>
              <w:t>Phone Number</w:t>
            </w:r>
          </w:p>
        </w:tc>
        <w:tc>
          <w:tcPr>
            <w:tcW w:w="7560" w:type="dxa"/>
            <w:gridSpan w:val="2"/>
            <w:tcBorders>
              <w:bottom w:val="single" w:sz="4" w:space="0" w:color="auto"/>
            </w:tcBorders>
            <w:vAlign w:val="center"/>
          </w:tcPr>
          <w:p w14:paraId="6A691547" w14:textId="77777777" w:rsidR="00FB17E2" w:rsidRPr="00350AF0" w:rsidRDefault="0031436C" w:rsidP="00FB17E2">
            <w:pPr>
              <w:pStyle w:val="NormalArial"/>
              <w:rPr>
                <w:rFonts w:cs="Arial"/>
              </w:rPr>
            </w:pPr>
            <w:r>
              <w:rPr>
                <w:rFonts w:cs="Arial"/>
              </w:rPr>
              <w:t>650.744.2100</w:t>
            </w:r>
          </w:p>
        </w:tc>
      </w:tr>
      <w:tr w:rsidR="00B105DF" w14:paraId="2014DBE7" w14:textId="77777777">
        <w:trPr>
          <w:trHeight w:val="350"/>
        </w:trPr>
        <w:tc>
          <w:tcPr>
            <w:tcW w:w="2880" w:type="dxa"/>
            <w:gridSpan w:val="2"/>
            <w:shd w:val="clear" w:color="auto" w:fill="FFFFFF"/>
            <w:vAlign w:val="center"/>
          </w:tcPr>
          <w:p w14:paraId="3D68C590" w14:textId="77777777" w:rsidR="00FB17E2" w:rsidRPr="00350AF0" w:rsidRDefault="0031436C" w:rsidP="00FB17E2">
            <w:pPr>
              <w:pStyle w:val="Header"/>
              <w:rPr>
                <w:rFonts w:cs="Arial"/>
              </w:rPr>
            </w:pPr>
            <w:r w:rsidRPr="00350AF0">
              <w:rPr>
                <w:rFonts w:cs="Arial"/>
              </w:rPr>
              <w:t>Cell Number</w:t>
            </w:r>
          </w:p>
        </w:tc>
        <w:tc>
          <w:tcPr>
            <w:tcW w:w="7560" w:type="dxa"/>
            <w:gridSpan w:val="2"/>
            <w:vAlign w:val="center"/>
          </w:tcPr>
          <w:p w14:paraId="777008F7" w14:textId="77777777" w:rsidR="00FB17E2" w:rsidRPr="00350AF0" w:rsidRDefault="00FB17E2" w:rsidP="00FB17E2">
            <w:pPr>
              <w:pStyle w:val="NormalArial"/>
              <w:rPr>
                <w:rFonts w:cs="Arial"/>
              </w:rPr>
            </w:pPr>
          </w:p>
        </w:tc>
      </w:tr>
      <w:tr w:rsidR="00B105DF" w14:paraId="2560EDC5" w14:textId="77777777">
        <w:trPr>
          <w:trHeight w:val="350"/>
        </w:trPr>
        <w:tc>
          <w:tcPr>
            <w:tcW w:w="2880" w:type="dxa"/>
            <w:gridSpan w:val="2"/>
            <w:tcBorders>
              <w:bottom w:val="single" w:sz="4" w:space="0" w:color="auto"/>
            </w:tcBorders>
            <w:shd w:val="clear" w:color="auto" w:fill="FFFFFF"/>
            <w:vAlign w:val="center"/>
          </w:tcPr>
          <w:p w14:paraId="5B44DD3F" w14:textId="77777777" w:rsidR="00FB17E2" w:rsidRPr="00350AF0" w:rsidRDefault="0031436C" w:rsidP="00FB17E2">
            <w:pPr>
              <w:pStyle w:val="Header"/>
              <w:rPr>
                <w:rFonts w:cs="Arial"/>
              </w:rPr>
            </w:pPr>
            <w:r w:rsidRPr="00350AF0">
              <w:rPr>
                <w:rFonts w:cs="Arial"/>
              </w:rPr>
              <w:t>Market Segment</w:t>
            </w:r>
          </w:p>
        </w:tc>
        <w:tc>
          <w:tcPr>
            <w:tcW w:w="7560" w:type="dxa"/>
            <w:gridSpan w:val="2"/>
            <w:tcBorders>
              <w:bottom w:val="single" w:sz="4" w:space="0" w:color="auto"/>
            </w:tcBorders>
            <w:vAlign w:val="center"/>
          </w:tcPr>
          <w:p w14:paraId="7BE899CB" w14:textId="4762DE35" w:rsidR="00FB17E2" w:rsidRPr="00350AF0" w:rsidRDefault="0031436C" w:rsidP="00FB17E2">
            <w:pPr>
              <w:pStyle w:val="NormalArial"/>
              <w:rPr>
                <w:rFonts w:cs="Arial"/>
              </w:rPr>
            </w:pPr>
            <w:r w:rsidRPr="00350AF0">
              <w:rPr>
                <w:rFonts w:cs="Arial"/>
              </w:rPr>
              <w:t>Independent Generator</w:t>
            </w:r>
          </w:p>
        </w:tc>
      </w:tr>
    </w:tbl>
    <w:p w14:paraId="7A97AE86" w14:textId="2D25D5FC" w:rsidR="00075A94" w:rsidRDefault="00075A9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05DF" w14:paraId="6FB85BD6" w14:textId="77777777" w:rsidTr="00BD7DA9">
        <w:trPr>
          <w:trHeight w:val="350"/>
        </w:trPr>
        <w:tc>
          <w:tcPr>
            <w:tcW w:w="10440" w:type="dxa"/>
            <w:tcBorders>
              <w:bottom w:val="single" w:sz="4" w:space="0" w:color="auto"/>
            </w:tcBorders>
            <w:shd w:val="clear" w:color="auto" w:fill="FFFFFF"/>
            <w:vAlign w:val="center"/>
          </w:tcPr>
          <w:p w14:paraId="7C9EB5FB" w14:textId="3D8C74F1" w:rsidR="00377216" w:rsidRPr="00350AF0" w:rsidRDefault="0031436C" w:rsidP="00BD7DA9">
            <w:pPr>
              <w:pStyle w:val="Header"/>
              <w:jc w:val="center"/>
              <w:rPr>
                <w:rFonts w:cs="Arial"/>
              </w:rPr>
            </w:pPr>
            <w:r>
              <w:rPr>
                <w:rFonts w:cs="Arial"/>
              </w:rPr>
              <w:t>Comments</w:t>
            </w:r>
          </w:p>
        </w:tc>
      </w:tr>
    </w:tbl>
    <w:p w14:paraId="3BEBD5D4" w14:textId="3E9503B1" w:rsidR="00467ACC" w:rsidRDefault="0031436C" w:rsidP="000A5E19">
      <w:pPr>
        <w:pStyle w:val="NormalArial"/>
        <w:spacing w:before="240"/>
        <w:jc w:val="both"/>
        <w:rPr>
          <w:rFonts w:cs="Arial"/>
        </w:rPr>
      </w:pPr>
      <w:r w:rsidRPr="00350AF0">
        <w:rPr>
          <w:rFonts w:cs="Arial"/>
        </w:rPr>
        <w:t xml:space="preserve">Eolian, L.P. (Eolian) submits these comments to Nodal Protocol Revision Request (NPRR) </w:t>
      </w:r>
      <w:r w:rsidR="001672CC">
        <w:rPr>
          <w:rFonts w:cs="Arial"/>
        </w:rPr>
        <w:t>1209</w:t>
      </w:r>
      <w:r w:rsidR="002F1A84" w:rsidRPr="00A52C60">
        <w:rPr>
          <w:rFonts w:cs="Arial"/>
        </w:rPr>
        <w:t>, Board Priority – State Of Charge Ancillary Service Failed Quantity Allocations under NPRR1149</w:t>
      </w:r>
      <w:r>
        <w:rPr>
          <w:rFonts w:cs="Arial"/>
        </w:rPr>
        <w:t xml:space="preserve">. </w:t>
      </w:r>
    </w:p>
    <w:p w14:paraId="04D40B7D" w14:textId="2517C7F7" w:rsidR="000A5E19" w:rsidRDefault="0031436C" w:rsidP="000A5E19">
      <w:pPr>
        <w:pStyle w:val="NormalArial"/>
        <w:spacing w:before="240"/>
        <w:jc w:val="both"/>
      </w:pPr>
      <w:r w:rsidRPr="00D701C6">
        <w:rPr>
          <w:rFonts w:cs="Arial"/>
        </w:rPr>
        <w:t xml:space="preserve">On </w:t>
      </w:r>
      <w:r w:rsidR="002F1A84" w:rsidRPr="00D701C6">
        <w:rPr>
          <w:rFonts w:cs="Arial"/>
        </w:rPr>
        <w:t>November 8</w:t>
      </w:r>
      <w:r w:rsidR="002B57A6" w:rsidRPr="00D701C6">
        <w:rPr>
          <w:rFonts w:cs="Arial"/>
        </w:rPr>
        <w:t xml:space="preserve">, </w:t>
      </w:r>
      <w:r w:rsidRPr="00D701C6">
        <w:rPr>
          <w:rFonts w:cs="Arial"/>
        </w:rPr>
        <w:t xml:space="preserve">2023, ERCOT </w:t>
      </w:r>
      <w:r w:rsidR="002F1A84" w:rsidRPr="00D701C6">
        <w:rPr>
          <w:rFonts w:cs="Arial"/>
        </w:rPr>
        <w:t>sponsored NPRR1209 for the sole purpose of supplementing NPRR 1186</w:t>
      </w:r>
      <w:r w:rsidR="002F1A84" w:rsidRPr="00A52C60">
        <w:rPr>
          <w:rFonts w:cs="Arial"/>
        </w:rPr>
        <w:t>, Improvements Prior to the RTC+B Project for Better ESR State of Charge Awareness, Accounting, and Monitoring</w:t>
      </w:r>
      <w:r w:rsidR="002F1A84" w:rsidRPr="00D701C6">
        <w:rPr>
          <w:rFonts w:cs="Arial"/>
        </w:rPr>
        <w:t>,</w:t>
      </w:r>
      <w:r>
        <w:rPr>
          <w:rFonts w:cs="Arial"/>
          <w:vertAlign w:val="superscript"/>
        </w:rPr>
        <w:footnoteReference w:id="1"/>
      </w:r>
      <w:r w:rsidR="002F1A84" w:rsidRPr="00D701C6">
        <w:rPr>
          <w:rFonts w:cs="Arial"/>
        </w:rPr>
        <w:t xml:space="preserve"> with additional compliance penalties on </w:t>
      </w:r>
      <w:r w:rsidR="00E1411E">
        <w:rPr>
          <w:rFonts w:cs="Arial"/>
        </w:rPr>
        <w:t>Energy Storage Resources (</w:t>
      </w:r>
      <w:r w:rsidR="002F1A84" w:rsidRPr="00D701C6">
        <w:rPr>
          <w:rFonts w:cs="Arial"/>
        </w:rPr>
        <w:t>ESRs</w:t>
      </w:r>
      <w:r w:rsidR="00E1411E">
        <w:rPr>
          <w:rFonts w:cs="Arial"/>
        </w:rPr>
        <w:t>)</w:t>
      </w:r>
      <w:r w:rsidR="002F1A84" w:rsidRPr="00D701C6">
        <w:rPr>
          <w:rFonts w:cs="Arial"/>
        </w:rPr>
        <w:t xml:space="preserve"> </w:t>
      </w:r>
      <w:r w:rsidR="00B641A0" w:rsidRPr="00D701C6">
        <w:rPr>
          <w:rFonts w:cs="Arial"/>
        </w:rPr>
        <w:t xml:space="preserve">and their </w:t>
      </w:r>
      <w:r w:rsidR="00E1411E">
        <w:rPr>
          <w:rFonts w:cs="Arial"/>
        </w:rPr>
        <w:t>Qualified Scheduling Entities (</w:t>
      </w:r>
      <w:r w:rsidR="00B641A0" w:rsidRPr="00D701C6">
        <w:rPr>
          <w:rFonts w:cs="Arial"/>
        </w:rPr>
        <w:t>QSEs</w:t>
      </w:r>
      <w:r w:rsidR="00E1411E">
        <w:rPr>
          <w:rFonts w:cs="Arial"/>
        </w:rPr>
        <w:t>)</w:t>
      </w:r>
      <w:r w:rsidR="00B641A0" w:rsidRPr="00D701C6">
        <w:rPr>
          <w:rFonts w:cs="Arial"/>
        </w:rPr>
        <w:t xml:space="preserve"> </w:t>
      </w:r>
      <w:r w:rsidR="002F1A84" w:rsidRPr="00D701C6">
        <w:rPr>
          <w:rFonts w:cs="Arial"/>
        </w:rPr>
        <w:t>that do not meet a</w:t>
      </w:r>
      <w:r w:rsidR="004664D2">
        <w:rPr>
          <w:rFonts w:cs="Arial"/>
        </w:rPr>
        <w:t xml:space="preserve"> specific </w:t>
      </w:r>
      <w:r w:rsidR="00A52C60">
        <w:rPr>
          <w:rFonts w:cs="Arial"/>
        </w:rPr>
        <w:t>S</w:t>
      </w:r>
      <w:r w:rsidR="002F1A84" w:rsidRPr="00D701C6">
        <w:rPr>
          <w:rFonts w:cs="Arial"/>
        </w:rPr>
        <w:t xml:space="preserve">tate of </w:t>
      </w:r>
      <w:r w:rsidR="00A52C60">
        <w:rPr>
          <w:rFonts w:cs="Arial"/>
        </w:rPr>
        <w:t>C</w:t>
      </w:r>
      <w:r w:rsidR="002F1A84" w:rsidRPr="00D701C6">
        <w:rPr>
          <w:rFonts w:cs="Arial"/>
        </w:rPr>
        <w:t>harge (SOC) threshold</w:t>
      </w:r>
      <w:r w:rsidR="001A078E">
        <w:rPr>
          <w:rFonts w:cs="Arial"/>
        </w:rPr>
        <w:t xml:space="preserve">. </w:t>
      </w:r>
      <w:r w:rsidR="001A078E">
        <w:t>However, ERCOT’s proposed “stronger compliance and financial penalties” are in addition to</w:t>
      </w:r>
      <w:r w:rsidR="009C7FD0">
        <w:t xml:space="preserve"> </w:t>
      </w:r>
      <w:r w:rsidR="00A87EDB">
        <w:t>a plethora</w:t>
      </w:r>
      <w:r w:rsidR="009C7FD0">
        <w:t xml:space="preserve"> </w:t>
      </w:r>
      <w:r w:rsidR="00B1330A">
        <w:t xml:space="preserve">of </w:t>
      </w:r>
      <w:r w:rsidR="001A078E">
        <w:t>existing requirements and penalties applicable to all Resources</w:t>
      </w:r>
      <w:r w:rsidR="00A87EDB">
        <w:t xml:space="preserve"> (</w:t>
      </w:r>
      <w:r w:rsidR="001A078E">
        <w:t>including ESRs</w:t>
      </w:r>
      <w:r w:rsidR="00A87EDB">
        <w:t xml:space="preserve">) and their QSEs, along with </w:t>
      </w:r>
      <w:r w:rsidR="007D75D5">
        <w:t>ERCOT responsibilities for monitoring and notifying Resources (and their QSEs) of Ancillary Service issues.</w:t>
      </w:r>
      <w:r w:rsidR="00585E72">
        <w:t xml:space="preserve"> </w:t>
      </w:r>
      <w:r w:rsidR="009D260F">
        <w:t xml:space="preserve">NPRR1209 is discriminatory towards ESRs and anticompetitive for </w:t>
      </w:r>
      <w:r w:rsidR="00585E72">
        <w:t xml:space="preserve">the same reasons Eolian </w:t>
      </w:r>
      <w:r w:rsidR="009D260F">
        <w:t>has argued in</w:t>
      </w:r>
      <w:r w:rsidR="004664D2">
        <w:t xml:space="preserve"> comments and</w:t>
      </w:r>
      <w:r w:rsidR="009D260F">
        <w:t xml:space="preserve"> filings </w:t>
      </w:r>
      <w:r w:rsidR="004664D2">
        <w:t>regarding</w:t>
      </w:r>
      <w:r w:rsidR="00585E72">
        <w:t xml:space="preserve"> NPRR1186</w:t>
      </w:r>
      <w:r w:rsidR="009D260F">
        <w:t>.</w:t>
      </w:r>
      <w:r>
        <w:rPr>
          <w:rStyle w:val="FootnoteReference"/>
        </w:rPr>
        <w:footnoteReference w:id="2"/>
      </w:r>
      <w:r w:rsidR="009D260F">
        <w:t xml:space="preserve"> </w:t>
      </w:r>
    </w:p>
    <w:p w14:paraId="04DA093D" w14:textId="09C24F0C" w:rsidR="009D260F" w:rsidRDefault="0031436C" w:rsidP="009D260F">
      <w:pPr>
        <w:pStyle w:val="NormalArial"/>
        <w:spacing w:before="240"/>
        <w:jc w:val="both"/>
      </w:pPr>
      <w:r w:rsidRPr="009D260F">
        <w:lastRenderedPageBreak/>
        <w:t>NPRR</w:t>
      </w:r>
      <w:r>
        <w:t>1209</w:t>
      </w:r>
      <w:r w:rsidRPr="009D260F">
        <w:t xml:space="preserve"> specifically disadvantages ESRs</w:t>
      </w:r>
      <w:r w:rsidRPr="009D260F">
        <w:rPr>
          <w:i/>
          <w:iCs/>
        </w:rPr>
        <w:t xml:space="preserve"> </w:t>
      </w:r>
      <w:r w:rsidRPr="009D260F">
        <w:t xml:space="preserve">over other types of dispatchable </w:t>
      </w:r>
      <w:r w:rsidR="00A52C60">
        <w:t>G</w:t>
      </w:r>
      <w:r w:rsidRPr="009D260F">
        <w:t xml:space="preserve">eneration </w:t>
      </w:r>
      <w:r w:rsidR="00A52C60">
        <w:t>R</w:t>
      </w:r>
      <w:r w:rsidRPr="009D260F">
        <w:t>esources. NPRR</w:t>
      </w:r>
      <w:r>
        <w:t>1209</w:t>
      </w:r>
      <w:r w:rsidRPr="009D260F">
        <w:t xml:space="preserve"> subjects </w:t>
      </w:r>
      <w:r>
        <w:t xml:space="preserve">the QSE of an ESR </w:t>
      </w:r>
      <w:r w:rsidRPr="009D260F">
        <w:t xml:space="preserve">to </w:t>
      </w:r>
      <w:r>
        <w:t xml:space="preserve">financial penalties based on a single </w:t>
      </w:r>
      <w:r w:rsidRPr="009D260F">
        <w:t>pre-performance compliance metric</w:t>
      </w:r>
      <w:r>
        <w:t>—an arbitrary SOC threshold</w:t>
      </w:r>
      <w:r w:rsidR="0004547D">
        <w:t>—</w:t>
      </w:r>
      <w:r w:rsidRPr="009D260F">
        <w:t>that is insufficient to determine a performance outcome</w:t>
      </w:r>
      <w:r w:rsidR="00F948AC">
        <w:t>.</w:t>
      </w:r>
      <w:r w:rsidR="0004547D">
        <w:t xml:space="preserve"> </w:t>
      </w:r>
      <w:r w:rsidR="00F948AC">
        <w:t>NPRR1209</w:t>
      </w:r>
      <w:r w:rsidR="0004547D">
        <w:t xml:space="preserve"> is not based on the actual performance of a particular type of Resource </w:t>
      </w:r>
      <w:r w:rsidR="00F948AC">
        <w:t xml:space="preserve">and </w:t>
      </w:r>
      <w:r w:rsidRPr="009D260F">
        <w:t xml:space="preserve">violates PURA by failing to treat all </w:t>
      </w:r>
      <w:r w:rsidR="00A52C60">
        <w:t>M</w:t>
      </w:r>
      <w:r w:rsidRPr="009D260F">
        <w:t xml:space="preserve">arket </w:t>
      </w:r>
      <w:r w:rsidR="00A52C60">
        <w:t>P</w:t>
      </w:r>
      <w:r w:rsidRPr="009D260F">
        <w:t>articipants in a nondiscriminatory manner.</w:t>
      </w:r>
      <w:r>
        <w:rPr>
          <w:vertAlign w:val="superscript"/>
        </w:rPr>
        <w:footnoteReference w:id="3"/>
      </w:r>
    </w:p>
    <w:p w14:paraId="4FC6E64B" w14:textId="59D651C5" w:rsidR="00F1271E" w:rsidRDefault="0031436C" w:rsidP="000F4D7C">
      <w:pPr>
        <w:pStyle w:val="NormalArial"/>
        <w:spacing w:before="240"/>
        <w:jc w:val="both"/>
      </w:pPr>
      <w:r>
        <w:t xml:space="preserve">Moreover, ERCOT’s argument that NPRR 1209 subjects ESRs to automatic failure to provide </w:t>
      </w:r>
      <w:r w:rsidR="00E1411E">
        <w:t>like</w:t>
      </w:r>
      <w:r>
        <w:t xml:space="preserve"> NPRR1149</w:t>
      </w:r>
      <w:r w:rsidR="00594B69">
        <w:t xml:space="preserve">, </w:t>
      </w:r>
      <w:r w:rsidR="00594B69" w:rsidRPr="00594B69">
        <w:t>Implementation of Systematic Ancillary Service Failed Quantity Charges</w:t>
      </w:r>
      <w:r w:rsidR="00594B69">
        <w:t>,</w:t>
      </w:r>
      <w:r>
        <w:t xml:space="preserve"> is disingenuous. NPRR1149</w:t>
      </w:r>
      <w:r>
        <w:rPr>
          <w:rStyle w:val="FootnoteReference"/>
        </w:rPr>
        <w:footnoteReference w:id="4"/>
      </w:r>
      <w:r>
        <w:t xml:space="preserve"> once implemented, will allow ERCOT’s systems to automatically charge QSEs (</w:t>
      </w:r>
      <w:r w:rsidR="00E1411E">
        <w:t xml:space="preserve">i.e., </w:t>
      </w:r>
      <w:r>
        <w:t>clawback  Ancillary Service payments) if a Resource</w:t>
      </w:r>
      <w:r w:rsidR="00926F36">
        <w:t xml:space="preserve">—any type of Resource, including </w:t>
      </w:r>
      <w:r w:rsidR="00F948AC">
        <w:t>an ESR</w:t>
      </w:r>
      <w:r w:rsidR="00926F36">
        <w:t>—</w:t>
      </w:r>
      <w:r w:rsidR="00523949">
        <w:t xml:space="preserve"> </w:t>
      </w:r>
      <w:r>
        <w:t xml:space="preserve">with an Ancillary  Service </w:t>
      </w:r>
      <w:r w:rsidR="00D777DD">
        <w:t>R</w:t>
      </w:r>
      <w:r>
        <w:t xml:space="preserve">esponsibility </w:t>
      </w:r>
      <w:r w:rsidR="002A468F">
        <w:t xml:space="preserve">does </w:t>
      </w:r>
      <w:r>
        <w:t>not deliver</w:t>
      </w:r>
      <w:r w:rsidR="00CE189E">
        <w:t xml:space="preserve"> </w:t>
      </w:r>
      <w:r w:rsidR="00D777DD">
        <w:t>the Ancillary Services</w:t>
      </w:r>
      <w:r>
        <w:t xml:space="preserve"> in Real-Time. </w:t>
      </w:r>
      <w:r w:rsidR="001B1CE8">
        <w:t xml:space="preserve">In other words, </w:t>
      </w:r>
      <w:r w:rsidR="008E1EE4">
        <w:t xml:space="preserve">NPRR1149 addresses </w:t>
      </w:r>
      <w:r w:rsidR="00B673D7">
        <w:t xml:space="preserve">actual </w:t>
      </w:r>
      <w:r w:rsidR="008E1EE4">
        <w:t xml:space="preserve">non-performance </w:t>
      </w:r>
      <w:r w:rsidR="0050394D">
        <w:t xml:space="preserve">of </w:t>
      </w:r>
      <w:r w:rsidR="008E1EE4">
        <w:t xml:space="preserve">an Ancillary Service </w:t>
      </w:r>
      <w:r w:rsidR="00B673D7">
        <w:t>obligation</w:t>
      </w:r>
      <w:r w:rsidR="00D777DD">
        <w:t xml:space="preserve"> in Real-Time</w:t>
      </w:r>
      <w:r w:rsidR="00B673D7">
        <w:t xml:space="preserve">, </w:t>
      </w:r>
      <w:r w:rsidR="0050394D">
        <w:t xml:space="preserve">not </w:t>
      </w:r>
      <w:r w:rsidR="00B673D7">
        <w:t xml:space="preserve">a </w:t>
      </w:r>
      <w:r w:rsidR="007D20CC">
        <w:t>preconceived</w:t>
      </w:r>
      <w:r w:rsidR="00B673D7">
        <w:t xml:space="preserve"> notion of </w:t>
      </w:r>
      <w:r w:rsidR="007D20CC">
        <w:t xml:space="preserve">potential non-performance </w:t>
      </w:r>
      <w:r w:rsidR="001B1CE8">
        <w:t xml:space="preserve">that is disconnected from actual performance in Real-Time. </w:t>
      </w:r>
      <w:r w:rsidR="00B673D7">
        <w:t xml:space="preserve"> </w:t>
      </w:r>
    </w:p>
    <w:p w14:paraId="6CC400E9" w14:textId="0E0BEA01" w:rsidR="000F4D7C" w:rsidRDefault="0031436C" w:rsidP="000F4D7C">
      <w:pPr>
        <w:pStyle w:val="NormalArial"/>
        <w:spacing w:before="240"/>
        <w:jc w:val="both"/>
      </w:pPr>
      <w:r>
        <w:t>ERCOT’s Business Case for NPRR1149</w:t>
      </w:r>
      <w:r w:rsidR="00414809">
        <w:t xml:space="preserve"> states</w:t>
      </w:r>
      <w:r>
        <w:t xml:space="preserve">: </w:t>
      </w:r>
    </w:p>
    <w:p w14:paraId="3663D20C" w14:textId="77777777" w:rsidR="000F4D7C" w:rsidRDefault="0031436C" w:rsidP="000F4D7C">
      <w:pPr>
        <w:pStyle w:val="NormalArial"/>
        <w:spacing w:before="240"/>
        <w:ind w:left="1440" w:right="1440"/>
        <w:jc w:val="both"/>
      </w:pPr>
      <w:r>
        <w:t xml:space="preserve">[F]ollowing winter storm Uri, the [IMM] filed a recommendation at the [PUCT] in Project 51812, Issues Related to the State of Disaster for the February 2021 Winter Weather Event, that ERCOT should charge failed quantities </w:t>
      </w:r>
      <w:r>
        <w:rPr>
          <w:b/>
          <w:bCs/>
          <w:i/>
          <w:iCs/>
        </w:rPr>
        <w:t>based on Real-Time telemetry and outcomes</w:t>
      </w:r>
      <w:r>
        <w:t xml:space="preserve"> during the storm. The PUCT agreed with this recommendation (</w:t>
      </w:r>
      <w:r>
        <w:rPr>
          <w:i/>
          <w:iCs/>
        </w:rPr>
        <w:t>See</w:t>
      </w:r>
      <w:r>
        <w:t xml:space="preserve"> Second Order Addressing Ancillary Services under Project No. 51812) and applicable charges were issued to QSEs by ERCOT. . .  [NPRR 1149] implements that process permanently for all periods and in a more systematic way, ensuring that Load is not charged or is reimbursed for Ancillary Services </w:t>
      </w:r>
      <w:r>
        <w:rPr>
          <w:b/>
          <w:bCs/>
          <w:i/>
          <w:iCs/>
        </w:rPr>
        <w:t>that are not delivered in Real-Time</w:t>
      </w:r>
      <w:r>
        <w:t>.</w:t>
      </w:r>
      <w:r>
        <w:rPr>
          <w:rStyle w:val="FootnoteReference"/>
        </w:rPr>
        <w:footnoteReference w:id="5"/>
      </w:r>
    </w:p>
    <w:p w14:paraId="2E7DE350" w14:textId="7A1CF05E" w:rsidR="000F4D7C" w:rsidRDefault="0031436C" w:rsidP="000F4D7C">
      <w:pPr>
        <w:pStyle w:val="NormalArial"/>
        <w:spacing w:before="240"/>
        <w:jc w:val="both"/>
      </w:pPr>
      <w:r>
        <w:lastRenderedPageBreak/>
        <w:t xml:space="preserve">NPRR1149 is Resource agnostic. It applies to all Resources, including ESRs. If a traditional </w:t>
      </w:r>
      <w:r w:rsidR="00926F36">
        <w:t>Generation</w:t>
      </w:r>
      <w:r>
        <w:t xml:space="preserve"> Resource does not deliver Ancillary Services in Real-Time, its QSE will automatically be charged for failure to provide. If an ESR does not deliver awarded Ancillary Services in Real-Time, its QSE will automatically be charged for failure to provide. </w:t>
      </w:r>
    </w:p>
    <w:p w14:paraId="14EDD0E5" w14:textId="77777777" w:rsidR="00926F36" w:rsidRDefault="00926F36" w:rsidP="000F4D7C">
      <w:pPr>
        <w:jc w:val="both"/>
        <w:rPr>
          <w:rFonts w:ascii="Arial" w:hAnsi="Arial" w:cs="Arial"/>
        </w:rPr>
      </w:pPr>
    </w:p>
    <w:p w14:paraId="2E863C72" w14:textId="1260565C" w:rsidR="000F4D7C" w:rsidRPr="000F4D7C" w:rsidRDefault="0031436C" w:rsidP="000F4D7C">
      <w:pPr>
        <w:jc w:val="both"/>
        <w:rPr>
          <w:rFonts w:ascii="Arial" w:hAnsi="Arial" w:cs="Arial"/>
        </w:rPr>
      </w:pPr>
      <w:r w:rsidRPr="000F4D7C">
        <w:rPr>
          <w:rFonts w:ascii="Arial" w:hAnsi="Arial" w:cs="Arial"/>
        </w:rPr>
        <w:t>Under</w:t>
      </w:r>
      <w:r w:rsidR="00926F36">
        <w:rPr>
          <w:rFonts w:ascii="Arial" w:hAnsi="Arial" w:cs="Arial"/>
        </w:rPr>
        <w:t xml:space="preserve"> NPRR</w:t>
      </w:r>
      <w:r w:rsidRPr="000F4D7C">
        <w:rPr>
          <w:rFonts w:ascii="Arial" w:hAnsi="Arial" w:cs="Arial"/>
        </w:rPr>
        <w:t xml:space="preserve">1209, however, if an ESR does not meet the SOC threshold proposed in NPRR1186, its QSE will automatically be charged for failure to provide even if (a) the ESR is not dispatched in Real-Time, or (b) the ESR is dispatched </w:t>
      </w:r>
      <w:r w:rsidR="00F948AC">
        <w:rPr>
          <w:rFonts w:ascii="Arial" w:hAnsi="Arial" w:cs="Arial"/>
        </w:rPr>
        <w:t>and</w:t>
      </w:r>
      <w:r w:rsidRPr="000F4D7C">
        <w:rPr>
          <w:rFonts w:ascii="Arial" w:hAnsi="Arial" w:cs="Arial"/>
        </w:rPr>
        <w:t xml:space="preserve"> provides in Real-Time, but for whatever reason, does not meet the SOC threshold. NPRR 1209 imposes penalties on a single Resource type for failure to maintain a certain amount of capacity at a given time, but NPRR1209</w:t>
      </w:r>
      <w:r w:rsidR="00F948AC">
        <w:rPr>
          <w:rFonts w:ascii="Arial" w:hAnsi="Arial" w:cs="Arial"/>
        </w:rPr>
        <w:t xml:space="preserve"> </w:t>
      </w:r>
      <w:r w:rsidRPr="000F4D7C">
        <w:rPr>
          <w:rFonts w:ascii="Arial" w:hAnsi="Arial" w:cs="Arial"/>
        </w:rPr>
        <w:t>does not impose penalties on other Resource types for failure to do the same</w:t>
      </w:r>
      <w:r w:rsidR="00F948AC">
        <w:rPr>
          <w:rFonts w:ascii="Arial" w:hAnsi="Arial" w:cs="Arial"/>
        </w:rPr>
        <w:t xml:space="preserve"> (nor any other proposed NPRR or existing rule)</w:t>
      </w:r>
      <w:r w:rsidRPr="000F4D7C">
        <w:rPr>
          <w:rFonts w:ascii="Arial" w:hAnsi="Arial" w:cs="Arial"/>
        </w:rPr>
        <w:t xml:space="preserve">. </w:t>
      </w:r>
    </w:p>
    <w:p w14:paraId="0D19B5C5" w14:textId="179074F0" w:rsidR="00CB0977" w:rsidRDefault="0031436C" w:rsidP="003C3007">
      <w:pPr>
        <w:pStyle w:val="NormalArial"/>
        <w:spacing w:before="240"/>
        <w:jc w:val="both"/>
      </w:pPr>
      <w:r w:rsidRPr="009D260F">
        <w:t>PURA § 35.004(f) requires the Commission to “ensure that ancillary services necessary to facilitate the transmission of electric energy are available</w:t>
      </w:r>
      <w:r w:rsidRPr="009D260F">
        <w:rPr>
          <w:b/>
          <w:bCs/>
        </w:rPr>
        <w:t xml:space="preserve"> </w:t>
      </w:r>
      <w:r w:rsidRPr="009D260F">
        <w:t>at reasonable prices with terms</w:t>
      </w:r>
      <w:r w:rsidRPr="009D260F">
        <w:rPr>
          <w:b/>
          <w:bCs/>
        </w:rPr>
        <w:t xml:space="preserve"> </w:t>
      </w:r>
      <w:r w:rsidRPr="009D260F">
        <w:t>and conditions that are not unreasonably preferential, prejudicial, discriminatory, predatory, or anticompetitive.”</w:t>
      </w:r>
      <w:r>
        <w:rPr>
          <w:vertAlign w:val="superscript"/>
        </w:rPr>
        <w:footnoteReference w:id="6"/>
      </w:r>
      <w:r w:rsidRPr="009D260F">
        <w:t xml:space="preserve"> Additionally, PURA charges ERCOT “with nondiscriminatory coordination of market transactions, systemwide transmission planning, and network reliability”</w:t>
      </w:r>
      <w:r>
        <w:rPr>
          <w:vertAlign w:val="superscript"/>
        </w:rPr>
        <w:footnoteReference w:id="7"/>
      </w:r>
      <w:r w:rsidRPr="009D260F">
        <w:t xml:space="preserve"> and provides that “[r]egulatory authorities . . . may not discriminate against any participant or type of participant . . . in the competitive market.”</w:t>
      </w:r>
      <w:r>
        <w:rPr>
          <w:vertAlign w:val="superscript"/>
        </w:rPr>
        <w:footnoteReference w:id="8"/>
      </w:r>
      <w:r w:rsidR="005F3FED">
        <w:t xml:space="preserve"> </w:t>
      </w:r>
      <w:r w:rsidRPr="009D260F">
        <w:t>ERCOT agrees that it “is bound by PURA 39.001(c) to treat all market participants in a nondiscriminatory manner</w:t>
      </w:r>
      <w:r w:rsidR="005F3FED">
        <w:t>,</w:t>
      </w:r>
      <w:r w:rsidRPr="009D260F">
        <w:t>”</w:t>
      </w:r>
      <w:r>
        <w:rPr>
          <w:vertAlign w:val="superscript"/>
        </w:rPr>
        <w:footnoteReference w:id="9"/>
      </w:r>
      <w:r w:rsidR="003C3007">
        <w:t xml:space="preserve"> </w:t>
      </w:r>
      <w:r w:rsidR="005F3FED">
        <w:t>and</w:t>
      </w:r>
      <w:r w:rsidR="003C3007">
        <w:t xml:space="preserve"> PURA does not prohibit all discriminatory conduct</w:t>
      </w:r>
      <w:r w:rsidR="00F948AC">
        <w:t xml:space="preserve">. </w:t>
      </w:r>
      <w:r w:rsidR="009D5851">
        <w:t>However,</w:t>
      </w:r>
      <w:r w:rsidR="00F948AC">
        <w:t xml:space="preserve"> PURA </w:t>
      </w:r>
      <w:r w:rsidR="005F3FED">
        <w:t xml:space="preserve">does prohibit </w:t>
      </w:r>
      <w:r>
        <w:t xml:space="preserve">conduct that is </w:t>
      </w:r>
      <w:r w:rsidR="005F3FED">
        <w:t>“</w:t>
      </w:r>
      <w:r>
        <w:t>unreasonably preferential, prejudicial, discriminatory, predatory, or anticompetitive.”</w:t>
      </w:r>
      <w:r>
        <w:rPr>
          <w:vertAlign w:val="superscript"/>
        </w:rPr>
        <w:footnoteReference w:id="10"/>
      </w:r>
      <w:r>
        <w:t xml:space="preserve"> If ERCOT wants to </w:t>
      </w:r>
      <w:r w:rsidR="0035184F">
        <w:t>impose</w:t>
      </w:r>
      <w:r w:rsidR="00E946FF">
        <w:t xml:space="preserve"> stronger requirements and penalties on a certain type of </w:t>
      </w:r>
      <w:r>
        <w:t>Market Participant</w:t>
      </w:r>
      <w:r w:rsidR="003A5DA9">
        <w:t xml:space="preserve"> (i.e., ESRs)</w:t>
      </w:r>
      <w:r>
        <w:t>, then that treatment “</w:t>
      </w:r>
      <w:r w:rsidRPr="003A5DA9">
        <w:t xml:space="preserve">must be founded upon </w:t>
      </w:r>
      <w:r>
        <w:t xml:space="preserve">a </w:t>
      </w:r>
      <w:r w:rsidRPr="0035184F">
        <w:rPr>
          <w:b/>
          <w:bCs/>
        </w:rPr>
        <w:t>substantial</w:t>
      </w:r>
      <w:r w:rsidRPr="003A5DA9">
        <w:t xml:space="preserve"> </w:t>
      </w:r>
      <w:r w:rsidRPr="0035184F">
        <w:rPr>
          <w:b/>
          <w:bCs/>
          <w:u w:val="single"/>
        </w:rPr>
        <w:t>and</w:t>
      </w:r>
      <w:r w:rsidRPr="003A5DA9">
        <w:t xml:space="preserve"> </w:t>
      </w:r>
      <w:r w:rsidRPr="0035184F">
        <w:rPr>
          <w:b/>
          <w:bCs/>
        </w:rPr>
        <w:t>reasonable</w:t>
      </w:r>
      <w:r>
        <w:t xml:space="preserve"> </w:t>
      </w:r>
      <w:r w:rsidRPr="00E946FF">
        <w:t>ground</w:t>
      </w:r>
      <w:r w:rsidR="003A5DA9">
        <w:t>.</w:t>
      </w:r>
      <w:r w:rsidR="00E946FF">
        <w:t>”</w:t>
      </w:r>
      <w:r>
        <w:rPr>
          <w:vertAlign w:val="superscript"/>
        </w:rPr>
        <w:footnoteReference w:id="11"/>
      </w:r>
      <w:r w:rsidR="003A5DA9">
        <w:t xml:space="preserve"> </w:t>
      </w:r>
    </w:p>
    <w:p w14:paraId="17B29317" w14:textId="1C1AFB6A" w:rsidR="005F3FED" w:rsidRDefault="0031436C" w:rsidP="009D260F">
      <w:pPr>
        <w:pStyle w:val="NormalArial"/>
        <w:spacing w:before="240"/>
        <w:jc w:val="both"/>
      </w:pPr>
      <w:r w:rsidRPr="009D260F">
        <w:t xml:space="preserve">ERCOT has not provided </w:t>
      </w:r>
      <w:r w:rsidR="003A5DA9">
        <w:t xml:space="preserve">substantial </w:t>
      </w:r>
      <w:r>
        <w:t xml:space="preserve">or </w:t>
      </w:r>
      <w:r w:rsidRPr="009D260F">
        <w:t xml:space="preserve">reasonable grounds to discriminate </w:t>
      </w:r>
      <w:r>
        <w:t>against</w:t>
      </w:r>
      <w:r w:rsidRPr="009D260F">
        <w:t xml:space="preserve"> ESRs </w:t>
      </w:r>
      <w:r>
        <w:t>under NPRR1186 or NPRR1209</w:t>
      </w:r>
      <w:r w:rsidRPr="009D260F">
        <w:t xml:space="preserve">. ERCOT </w:t>
      </w:r>
      <w:r>
        <w:t xml:space="preserve">has repeated </w:t>
      </w:r>
      <w:r w:rsidRPr="009D260F">
        <w:t xml:space="preserve">its concern about a “risk that short-duration ESRs will not have the SOC necessary to fulfill their Ancillary Service </w:t>
      </w:r>
      <w:r w:rsidRPr="009D260F">
        <w:lastRenderedPageBreak/>
        <w:t>Resource Responsibilities in the event they are carrying such a responsibility across multiple consecutive hours and are deployed for that service across those hours,”</w:t>
      </w:r>
      <w:r>
        <w:rPr>
          <w:vertAlign w:val="superscript"/>
        </w:rPr>
        <w:footnoteReference w:id="12"/>
      </w:r>
      <w:r w:rsidRPr="009D260F">
        <w:t xml:space="preserve"> but </w:t>
      </w:r>
      <w:r>
        <w:t>has never provided</w:t>
      </w:r>
      <w:r w:rsidRPr="009D260F">
        <w:t xml:space="preserve"> a reasonable (much less, substantial) explanation for </w:t>
      </w:r>
      <w:r w:rsidR="003A5DA9">
        <w:t>to justify discriminatory and anticompetitive treatment of ESRs</w:t>
      </w:r>
      <w:r w:rsidRPr="009D260F">
        <w:t xml:space="preserve">. </w:t>
      </w:r>
    </w:p>
    <w:p w14:paraId="1DCDE4EC" w14:textId="047B2EFF" w:rsidR="009F07FF" w:rsidRDefault="0031436C" w:rsidP="00594B69">
      <w:pPr>
        <w:pStyle w:val="NormalArial"/>
        <w:spacing w:before="240"/>
        <w:jc w:val="both"/>
      </w:pPr>
      <w:r>
        <w:t>ERCOT and the Commission have acknowledged that NPRR1209 is dependent upon Commission approval of NPRR1186.</w:t>
      </w:r>
      <w:r>
        <w:rPr>
          <w:rStyle w:val="FootnoteReference"/>
        </w:rPr>
        <w:footnoteReference w:id="13"/>
      </w:r>
      <w:r>
        <w:t xml:space="preserve"> </w:t>
      </w:r>
      <w:r w:rsidR="009E6809">
        <w:t xml:space="preserve">ERCOT has also agreed to provide the Commission and stakeholders with details and explanations for why ESR growth </w:t>
      </w:r>
      <w:r w:rsidR="003A5DA9">
        <w:t>supports</w:t>
      </w:r>
      <w:r w:rsidR="00D777DD">
        <w:t xml:space="preserve"> the </w:t>
      </w:r>
      <w:r w:rsidR="009E6809">
        <w:t>“explicit and enforceable [SOC] requirements</w:t>
      </w:r>
      <w:r w:rsidR="00AE3610">
        <w:t>,</w:t>
      </w:r>
      <w:r w:rsidR="009E6809">
        <w:t>” as well as an explanation of the relationship between</w:t>
      </w:r>
      <w:r w:rsidR="00AE3610" w:rsidRPr="00AE3610">
        <w:t xml:space="preserve"> </w:t>
      </w:r>
      <w:r w:rsidR="00AE3610">
        <w:t>NPRRs 1186 and 1209</w:t>
      </w:r>
      <w:r w:rsidR="009E6809">
        <w:t>.</w:t>
      </w:r>
      <w:r>
        <w:rPr>
          <w:rStyle w:val="FootnoteReference"/>
        </w:rPr>
        <w:footnoteReference w:id="14"/>
      </w:r>
      <w:r w:rsidR="009E6809">
        <w:t xml:space="preserve"> It remains to be seen whether ERCOT will meet the </w:t>
      </w:r>
      <w:r w:rsidR="000D172E">
        <w:t xml:space="preserve">statutory burden that would allow the Commission to justify discriminatory and anticompetitive treatment of ESRs. Until then, NPRR 1209 should remain tabled at </w:t>
      </w:r>
      <w:r w:rsidR="0035184F">
        <w:t>the ERCOT Protocol Revision Subcommittee (</w:t>
      </w:r>
      <w:r w:rsidR="000D172E">
        <w:t>PRS</w:t>
      </w:r>
      <w:r w:rsidR="0035184F">
        <w:t>)</w:t>
      </w:r>
      <w:r w:rsidR="000D172E">
        <w:t>.</w:t>
      </w:r>
    </w:p>
    <w:p w14:paraId="04C6AE94" w14:textId="77777777" w:rsidR="00594B69" w:rsidRPr="00594B69" w:rsidRDefault="00594B69" w:rsidP="00594B69">
      <w:pPr>
        <w:pStyle w:val="NormalArial"/>
        <w:spacing w:before="240"/>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05DF" w14:paraId="152D6A19" w14:textId="77777777" w:rsidTr="00B5080A">
        <w:trPr>
          <w:trHeight w:val="350"/>
        </w:trPr>
        <w:tc>
          <w:tcPr>
            <w:tcW w:w="10440" w:type="dxa"/>
            <w:tcBorders>
              <w:bottom w:val="single" w:sz="4" w:space="0" w:color="auto"/>
            </w:tcBorders>
            <w:shd w:val="clear" w:color="auto" w:fill="FFFFFF"/>
            <w:vAlign w:val="center"/>
          </w:tcPr>
          <w:p w14:paraId="1D59B2CF" w14:textId="77777777" w:rsidR="00BD7258" w:rsidRPr="00350AF0" w:rsidRDefault="0031436C" w:rsidP="00B5080A">
            <w:pPr>
              <w:pStyle w:val="Header"/>
              <w:jc w:val="center"/>
              <w:rPr>
                <w:rFonts w:cs="Arial"/>
              </w:rPr>
            </w:pPr>
            <w:r w:rsidRPr="00350AF0">
              <w:rPr>
                <w:rFonts w:cs="Arial"/>
              </w:rPr>
              <w:t>Revised Cover Page Language</w:t>
            </w:r>
          </w:p>
        </w:tc>
      </w:tr>
    </w:tbl>
    <w:p w14:paraId="0A4BEBB8" w14:textId="77777777" w:rsidR="00E07B54" w:rsidRPr="00350AF0" w:rsidRDefault="00E07B54">
      <w:pPr>
        <w:pStyle w:val="NormalArial"/>
        <w:rPr>
          <w:rFonts w:cs="Arial"/>
        </w:rPr>
      </w:pPr>
    </w:p>
    <w:p w14:paraId="1D9EB2E2" w14:textId="77777777" w:rsidR="00152993" w:rsidRPr="00350AF0" w:rsidRDefault="0031436C">
      <w:pPr>
        <w:pStyle w:val="NormalArial"/>
        <w:rPr>
          <w:rFonts w:cs="Arial"/>
        </w:rPr>
      </w:pPr>
      <w:r w:rsidRPr="00350AF0">
        <w:rPr>
          <w:rFonts w:cs="Arial"/>
        </w:rPr>
        <w:t>None</w:t>
      </w:r>
    </w:p>
    <w:p w14:paraId="6C41550D" w14:textId="77777777" w:rsidR="00BD7258" w:rsidRPr="00350AF0" w:rsidRDefault="00BD7258">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05DF" w14:paraId="565B4A2C" w14:textId="77777777">
        <w:trPr>
          <w:trHeight w:val="350"/>
        </w:trPr>
        <w:tc>
          <w:tcPr>
            <w:tcW w:w="10440" w:type="dxa"/>
            <w:tcBorders>
              <w:bottom w:val="single" w:sz="4" w:space="0" w:color="auto"/>
            </w:tcBorders>
            <w:shd w:val="clear" w:color="auto" w:fill="FFFFFF"/>
            <w:vAlign w:val="center"/>
          </w:tcPr>
          <w:p w14:paraId="4AF93B0D" w14:textId="77777777" w:rsidR="00152993" w:rsidRPr="00350AF0" w:rsidRDefault="0031436C">
            <w:pPr>
              <w:pStyle w:val="Header"/>
              <w:jc w:val="center"/>
              <w:rPr>
                <w:rFonts w:cs="Arial"/>
              </w:rPr>
            </w:pPr>
            <w:r w:rsidRPr="00350AF0">
              <w:rPr>
                <w:rFonts w:cs="Arial"/>
              </w:rPr>
              <w:t>Revised Proposed Protocol Language</w:t>
            </w:r>
          </w:p>
        </w:tc>
      </w:tr>
    </w:tbl>
    <w:p w14:paraId="07395BC5" w14:textId="77777777" w:rsidR="00081E47" w:rsidRPr="00350AF0" w:rsidRDefault="00081E47" w:rsidP="00081E47">
      <w:pPr>
        <w:pStyle w:val="NormalArial"/>
        <w:rPr>
          <w:rFonts w:cs="Arial"/>
        </w:rPr>
      </w:pPr>
    </w:p>
    <w:p w14:paraId="274EFCF4" w14:textId="1AE7B3CE" w:rsidR="00152993" w:rsidRPr="00350AF0" w:rsidRDefault="0031436C" w:rsidP="0068169A">
      <w:pPr>
        <w:pStyle w:val="NormalArial"/>
      </w:pPr>
      <w:r w:rsidRPr="00350AF0">
        <w:rPr>
          <w:rFonts w:cs="Arial"/>
        </w:rPr>
        <w:t>None</w:t>
      </w:r>
    </w:p>
    <w:sectPr w:rsidR="00152993" w:rsidRPr="00350AF0"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98E3" w14:textId="77777777" w:rsidR="008E5D3F" w:rsidRDefault="0031436C">
      <w:r>
        <w:separator/>
      </w:r>
    </w:p>
  </w:endnote>
  <w:endnote w:type="continuationSeparator" w:id="0">
    <w:p w14:paraId="0506E5BF" w14:textId="77777777" w:rsidR="008E5D3F" w:rsidRDefault="0031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B3B8" w14:textId="294053BA" w:rsidR="00EE6681" w:rsidRDefault="0031436C"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1209NPRR-0</w:t>
    </w:r>
    <w:r w:rsidR="005361F2">
      <w:rPr>
        <w:rFonts w:ascii="Arial" w:hAnsi="Arial"/>
        <w:noProof/>
        <w:sz w:val="18"/>
      </w:rPr>
      <w:t>6</w:t>
    </w:r>
    <w:r>
      <w:rPr>
        <w:rFonts w:ascii="Arial" w:hAnsi="Arial"/>
        <w:noProof/>
        <w:sz w:val="18"/>
      </w:rPr>
      <w:t xml:space="preserve"> Eolian Comments 121423</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54496F09" w14:textId="77777777" w:rsidR="00EE6681" w:rsidRDefault="0031436C"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3613" w14:textId="77777777" w:rsidR="00FF28FA" w:rsidRDefault="0031436C">
      <w:r>
        <w:separator/>
      </w:r>
    </w:p>
  </w:footnote>
  <w:footnote w:type="continuationSeparator" w:id="0">
    <w:p w14:paraId="7B224C35" w14:textId="77777777" w:rsidR="00FF28FA" w:rsidRDefault="0031436C">
      <w:r>
        <w:continuationSeparator/>
      </w:r>
    </w:p>
  </w:footnote>
  <w:footnote w:id="1">
    <w:p w14:paraId="18966D62" w14:textId="1C5F1B29" w:rsidR="002F1A84" w:rsidRPr="002D18C6" w:rsidRDefault="0031436C" w:rsidP="00E543C4">
      <w:pPr>
        <w:pStyle w:val="FootnoteText"/>
        <w:jc w:val="left"/>
        <w:rPr>
          <w:rFonts w:eastAsiaTheme="minorHAnsi" w:cs="Arial"/>
        </w:rPr>
      </w:pPr>
      <w:r w:rsidRPr="002D18C6">
        <w:rPr>
          <w:rStyle w:val="FootnoteReference"/>
          <w:rFonts w:cs="Arial"/>
        </w:rPr>
        <w:footnoteRef/>
      </w:r>
      <w:r w:rsidR="006E717F" w:rsidRPr="002D18C6">
        <w:rPr>
          <w:rFonts w:cs="Arial"/>
        </w:rPr>
        <w:t xml:space="preserve"> NPRR1209, </w:t>
      </w:r>
      <w:r w:rsidR="006E717F" w:rsidRPr="002D18C6">
        <w:rPr>
          <w:rFonts w:cs="Arial"/>
          <w:i/>
          <w:iCs/>
        </w:rPr>
        <w:t xml:space="preserve">Board Priority – State Of Charge Ancillary Service Failed Quantity Allocations under NPRR1149 </w:t>
      </w:r>
      <w:r w:rsidR="006E717F" w:rsidRPr="002D18C6">
        <w:rPr>
          <w:rFonts w:cs="Arial"/>
        </w:rPr>
        <w:t xml:space="preserve">(Nov. 8, 2023) available at https://www.ercot.com/files/docs/2023/11/08/1209NPRR-01%20Board%20Priority%20-%20State%20of%20Charge%20Ancillary%20Service%20Failed%20Quantity%20Allocations%20under%20NPRR1149%20110823.docx. </w:t>
      </w:r>
    </w:p>
  </w:footnote>
  <w:footnote w:id="2">
    <w:p w14:paraId="4E9DA447" w14:textId="07A1B1DD" w:rsidR="00E543C4" w:rsidRPr="002D18C6" w:rsidRDefault="0031436C" w:rsidP="00E543C4">
      <w:pPr>
        <w:pStyle w:val="FootnoteText"/>
        <w:rPr>
          <w:rFonts w:cs="Arial"/>
        </w:rPr>
      </w:pPr>
      <w:r w:rsidRPr="002D18C6">
        <w:rPr>
          <w:rStyle w:val="FootnoteReference"/>
          <w:rFonts w:cs="Arial"/>
        </w:rPr>
        <w:footnoteRef/>
      </w:r>
      <w:r w:rsidRPr="002D18C6">
        <w:rPr>
          <w:rFonts w:cs="Arial"/>
        </w:rPr>
        <w:t xml:space="preserve"> </w:t>
      </w:r>
      <w:r w:rsidR="000D172E" w:rsidRPr="002D18C6">
        <w:rPr>
          <w:rFonts w:cs="Arial"/>
        </w:rPr>
        <w:t>NPRR1186</w:t>
      </w:r>
      <w:r w:rsidR="0035184F">
        <w:rPr>
          <w:rFonts w:cs="Arial"/>
        </w:rPr>
        <w:t xml:space="preserve">, </w:t>
      </w:r>
      <w:r w:rsidR="0035184F" w:rsidRPr="002D18C6">
        <w:rPr>
          <w:rStyle w:val="Strong"/>
          <w:rFonts w:ascii="Roboto" w:hAnsi="Roboto"/>
          <w:b w:val="0"/>
          <w:bCs w:val="0"/>
          <w:i/>
          <w:iCs/>
          <w:color w:val="212529"/>
          <w:shd w:val="clear" w:color="auto" w:fill="FFFFFF"/>
        </w:rPr>
        <w:t>Improvements Prior to the RTC+B Project for Better ESR State of Charge Awareness, Accounting, and Monitoring</w:t>
      </w:r>
      <w:r w:rsidRPr="002D18C6">
        <w:rPr>
          <w:rFonts w:cs="Arial"/>
        </w:rPr>
        <w:t>:</w:t>
      </w:r>
    </w:p>
    <w:p w14:paraId="611C3475" w14:textId="77777777" w:rsidR="00E543C4" w:rsidRPr="002D18C6" w:rsidRDefault="0031436C" w:rsidP="00E543C4">
      <w:pPr>
        <w:pStyle w:val="FootnoteText"/>
        <w:numPr>
          <w:ilvl w:val="0"/>
          <w:numId w:val="18"/>
        </w:numPr>
        <w:jc w:val="left"/>
        <w:rPr>
          <w:rFonts w:cs="Arial"/>
        </w:rPr>
      </w:pPr>
      <w:r w:rsidRPr="002D18C6">
        <w:rPr>
          <w:rFonts w:cs="Arial"/>
        </w:rPr>
        <w:t xml:space="preserve">Eolian Comments (Jul. 6, 2023) at https://www.ercot.com/files/docs/2023/07/06/1186NPRR-03%20Eolian%20Comments%20070623.docx; </w:t>
      </w:r>
    </w:p>
    <w:p w14:paraId="56D93CE3" w14:textId="77777777" w:rsidR="00E543C4" w:rsidRPr="002D18C6" w:rsidRDefault="0031436C" w:rsidP="00E543C4">
      <w:pPr>
        <w:pStyle w:val="FootnoteText"/>
        <w:numPr>
          <w:ilvl w:val="0"/>
          <w:numId w:val="18"/>
        </w:numPr>
        <w:jc w:val="left"/>
        <w:rPr>
          <w:rFonts w:cs="Arial"/>
        </w:rPr>
      </w:pPr>
      <w:r w:rsidRPr="002D18C6">
        <w:rPr>
          <w:rFonts w:cs="Arial"/>
        </w:rPr>
        <w:t xml:space="preserve">Joint Commenters Comments (Aug. 09, 2023) at https://www.ercot.com/files/docs/2023/08/09/1186NPRR-11%20Joint%20Commenters%20Comments%20080923%20v2%20CORRECTED.docx; </w:t>
      </w:r>
    </w:p>
    <w:p w14:paraId="484DC8B8" w14:textId="77777777" w:rsidR="00E543C4" w:rsidRPr="002D18C6" w:rsidRDefault="0031436C" w:rsidP="00E543C4">
      <w:pPr>
        <w:pStyle w:val="FootnoteText"/>
        <w:numPr>
          <w:ilvl w:val="0"/>
          <w:numId w:val="18"/>
        </w:numPr>
        <w:jc w:val="left"/>
        <w:rPr>
          <w:rFonts w:cs="Arial"/>
        </w:rPr>
      </w:pPr>
      <w:r w:rsidRPr="002D18C6">
        <w:rPr>
          <w:rFonts w:cs="Arial"/>
        </w:rPr>
        <w:t xml:space="preserve">Joint Commenters Comments (Aug. 21, 2023) at https://www.ercot.com/files/docs/2023/08/21/1186NPRR-17%20Joint%20Commenters%20Comments%20082123.docx; </w:t>
      </w:r>
    </w:p>
    <w:p w14:paraId="647299E8" w14:textId="77777777" w:rsidR="00E543C4" w:rsidRPr="002D18C6" w:rsidRDefault="0031436C" w:rsidP="00E543C4">
      <w:pPr>
        <w:pStyle w:val="FootnoteText"/>
        <w:numPr>
          <w:ilvl w:val="0"/>
          <w:numId w:val="18"/>
        </w:numPr>
        <w:jc w:val="left"/>
        <w:rPr>
          <w:rFonts w:cs="Arial"/>
        </w:rPr>
      </w:pPr>
      <w:r w:rsidRPr="002D18C6">
        <w:rPr>
          <w:rFonts w:cs="Arial"/>
        </w:rPr>
        <w:t>Eolian TAC Recommendation Opposition (</w:t>
      </w:r>
      <w:r w:rsidR="000D7AA6" w:rsidRPr="002D18C6">
        <w:rPr>
          <w:rFonts w:cs="Arial"/>
        </w:rPr>
        <w:t xml:space="preserve">Aug. 24, 2023) at https://www.ercot.com/files/docs/2023/08/24/1186NPRR-20%20Eolian%20TAC%20Recommendation%20Opposition%20082423.pdf; </w:t>
      </w:r>
    </w:p>
    <w:p w14:paraId="2E47EC59" w14:textId="6018EE30" w:rsidR="00E543C4" w:rsidRPr="002D18C6" w:rsidRDefault="0031436C" w:rsidP="00E543C4">
      <w:pPr>
        <w:pStyle w:val="FootnoteText"/>
        <w:numPr>
          <w:ilvl w:val="0"/>
          <w:numId w:val="18"/>
        </w:numPr>
        <w:jc w:val="left"/>
        <w:rPr>
          <w:rFonts w:cs="Arial"/>
        </w:rPr>
      </w:pPr>
      <w:r w:rsidRPr="002D18C6">
        <w:rPr>
          <w:rFonts w:cs="Arial"/>
        </w:rPr>
        <w:t>Eolian Comments (Sep. 25, 2023) at https://www.ercot.com/files/docs/2023/09/25/1186NPRR-29%20Eolian%20Comments%20092523.docx; and</w:t>
      </w:r>
    </w:p>
    <w:p w14:paraId="4955276D" w14:textId="77777777" w:rsidR="00E543C4" w:rsidRPr="002D18C6" w:rsidRDefault="0031436C" w:rsidP="00E543C4">
      <w:pPr>
        <w:pStyle w:val="FootnoteText"/>
        <w:jc w:val="left"/>
        <w:rPr>
          <w:rFonts w:cs="Arial"/>
        </w:rPr>
      </w:pPr>
      <w:r w:rsidRPr="002D18C6">
        <w:rPr>
          <w:rFonts w:cs="Arial"/>
        </w:rPr>
        <w:t xml:space="preserve">PUC Proj. No. 54445: </w:t>
      </w:r>
    </w:p>
    <w:p w14:paraId="70264282" w14:textId="77777777" w:rsidR="00E543C4" w:rsidRPr="002D18C6" w:rsidRDefault="0031436C" w:rsidP="00E543C4">
      <w:pPr>
        <w:pStyle w:val="FootnoteText"/>
        <w:numPr>
          <w:ilvl w:val="0"/>
          <w:numId w:val="19"/>
        </w:numPr>
        <w:jc w:val="left"/>
        <w:rPr>
          <w:rFonts w:cs="Arial"/>
        </w:rPr>
      </w:pPr>
      <w:r w:rsidRPr="002D18C6">
        <w:rPr>
          <w:rFonts w:cs="Arial"/>
        </w:rPr>
        <w:t xml:space="preserve">Eolian Comments (Nov. 28, 2023) at https://interchange.puc.texas.gov/Documents/54445_40_1348960.PDF; and </w:t>
      </w:r>
    </w:p>
    <w:p w14:paraId="15459505" w14:textId="0AD0324C" w:rsidR="009D260F" w:rsidRPr="002D18C6" w:rsidRDefault="0031436C" w:rsidP="00E543C4">
      <w:pPr>
        <w:pStyle w:val="FootnoteText"/>
        <w:numPr>
          <w:ilvl w:val="0"/>
          <w:numId w:val="19"/>
        </w:numPr>
        <w:jc w:val="left"/>
        <w:rPr>
          <w:rFonts w:cs="Arial"/>
        </w:rPr>
      </w:pPr>
      <w:r w:rsidRPr="002D18C6">
        <w:rPr>
          <w:rFonts w:cs="Arial"/>
        </w:rPr>
        <w:t>Joint Comments (Dec. 11, 2023) at https://interchange.puc.texas.gov/Documents/54445_45_1352196.PDF.</w:t>
      </w:r>
    </w:p>
  </w:footnote>
  <w:footnote w:id="3">
    <w:p w14:paraId="704A686C" w14:textId="1808C6B5" w:rsidR="009D260F" w:rsidRPr="002D18C6" w:rsidRDefault="0031436C" w:rsidP="00E543C4">
      <w:pPr>
        <w:pStyle w:val="FootnoteText"/>
        <w:rPr>
          <w:rFonts w:cs="Arial"/>
        </w:rPr>
      </w:pPr>
      <w:r w:rsidRPr="002D18C6">
        <w:rPr>
          <w:rStyle w:val="FootnoteReference"/>
          <w:rFonts w:cs="Arial"/>
        </w:rPr>
        <w:footnoteRef/>
      </w:r>
      <w:r w:rsidRPr="002D18C6">
        <w:rPr>
          <w:rFonts w:cs="Arial"/>
        </w:rPr>
        <w:t xml:space="preserve"> </w:t>
      </w:r>
      <w:r w:rsidRPr="002D18C6">
        <w:rPr>
          <w:rFonts w:cs="Arial"/>
          <w:i/>
          <w:iCs/>
        </w:rPr>
        <w:t xml:space="preserve">See </w:t>
      </w:r>
      <w:r w:rsidRPr="002D18C6">
        <w:rPr>
          <w:rFonts w:cs="Arial"/>
        </w:rPr>
        <w:t>PURA § 31.009(c).</w:t>
      </w:r>
    </w:p>
  </w:footnote>
  <w:footnote w:id="4">
    <w:p w14:paraId="6EC9A6B8" w14:textId="77777777" w:rsidR="000F4D7C" w:rsidRPr="002D18C6" w:rsidRDefault="0031436C" w:rsidP="003E3E23">
      <w:pPr>
        <w:pStyle w:val="FootnoteText"/>
        <w:jc w:val="left"/>
        <w:rPr>
          <w:rFonts w:cs="Arial"/>
        </w:rPr>
      </w:pPr>
      <w:r w:rsidRPr="002D18C6">
        <w:rPr>
          <w:rStyle w:val="FootnoteReference"/>
          <w:rFonts w:cs="Arial"/>
        </w:rPr>
        <w:footnoteRef/>
      </w:r>
      <w:r w:rsidRPr="002D18C6">
        <w:rPr>
          <w:rFonts w:cs="Arial"/>
        </w:rPr>
        <w:t xml:space="preserve"> NPRR 1149, </w:t>
      </w:r>
      <w:r w:rsidRPr="002D18C6">
        <w:rPr>
          <w:rFonts w:cs="Arial"/>
          <w:i/>
          <w:iCs/>
        </w:rPr>
        <w:t>Implementation of Systematic Ancillary Service Failed Quantity Charges</w:t>
      </w:r>
      <w:r w:rsidRPr="002D18C6">
        <w:rPr>
          <w:rFonts w:cs="Arial"/>
        </w:rPr>
        <w:t xml:space="preserve"> (approved on Mar. 24, 2023, with an expected effective date of May/June 2024) available at https://www.ercot.com/files/docs/2023/03/24/1149NPRR-18%20PUCT%20Report%20032323.docx. </w:t>
      </w:r>
    </w:p>
  </w:footnote>
  <w:footnote w:id="5">
    <w:p w14:paraId="490DE1B8" w14:textId="77777777" w:rsidR="000F4D7C" w:rsidRPr="002D18C6" w:rsidRDefault="0031436C" w:rsidP="00E543C4">
      <w:pPr>
        <w:pStyle w:val="FootnoteText"/>
        <w:rPr>
          <w:rFonts w:cs="Arial"/>
        </w:rPr>
      </w:pPr>
      <w:r w:rsidRPr="002D18C6">
        <w:rPr>
          <w:rStyle w:val="FootnoteReference"/>
          <w:rFonts w:cs="Arial"/>
        </w:rPr>
        <w:footnoteRef/>
      </w:r>
      <w:r w:rsidRPr="002D18C6">
        <w:rPr>
          <w:rFonts w:cs="Arial"/>
        </w:rPr>
        <w:t xml:space="preserve"> </w:t>
      </w:r>
      <w:r w:rsidRPr="002D18C6">
        <w:rPr>
          <w:rFonts w:cs="Arial"/>
          <w:i/>
          <w:iCs/>
        </w:rPr>
        <w:t xml:space="preserve">Id. </w:t>
      </w:r>
      <w:r w:rsidRPr="002D18C6">
        <w:rPr>
          <w:rFonts w:cs="Arial"/>
        </w:rPr>
        <w:t>(emphasis added).</w:t>
      </w:r>
    </w:p>
  </w:footnote>
  <w:footnote w:id="6">
    <w:p w14:paraId="7194E6CD" w14:textId="3DB5B190" w:rsidR="009D260F" w:rsidRPr="002D18C6" w:rsidRDefault="0031436C" w:rsidP="00E543C4">
      <w:pPr>
        <w:pStyle w:val="FootnoteText"/>
        <w:widowControl w:val="0"/>
        <w:rPr>
          <w:rFonts w:cs="Arial"/>
        </w:rPr>
      </w:pPr>
      <w:r w:rsidRPr="002D18C6">
        <w:rPr>
          <w:rStyle w:val="FootnoteReference"/>
          <w:rFonts w:cs="Arial"/>
        </w:rPr>
        <w:footnoteRef/>
      </w:r>
      <w:r w:rsidRPr="002D18C6">
        <w:rPr>
          <w:rFonts w:cs="Arial"/>
        </w:rPr>
        <w:t xml:space="preserve">  PURA § 35.004(f); </w:t>
      </w:r>
      <w:r w:rsidRPr="002D18C6">
        <w:rPr>
          <w:rFonts w:cs="Arial"/>
          <w:i/>
          <w:iCs/>
        </w:rPr>
        <w:t>see also TXU Generation Co., L.P. v. Pub. Util. Comm’n of Tex.</w:t>
      </w:r>
      <w:r w:rsidRPr="002D18C6">
        <w:rPr>
          <w:rFonts w:cs="Arial"/>
        </w:rPr>
        <w:t xml:space="preserve">, 165 S.W.3d 821, 830 (Tex. App.—Austin 2005, pet. denied); </w:t>
      </w:r>
      <w:r w:rsidRPr="002D18C6">
        <w:rPr>
          <w:rFonts w:cs="Arial"/>
          <w:i/>
          <w:iCs/>
        </w:rPr>
        <w:t xml:space="preserve">see also </w:t>
      </w:r>
      <w:r w:rsidRPr="002D18C6">
        <w:rPr>
          <w:rFonts w:cs="Arial"/>
        </w:rPr>
        <w:t xml:space="preserve">Tex. Att’y Gen. Op. No. KP-0363 at 4 (2021) (“[T]he Utilities Code empowers the Commission to ‘ensure that ancillary services necessary to facilitate the transmission of electric energy are available at reasonable prices with terms and conditions that are not unreasonably preferential, prejudicial, discriminatory, predatory, or anticompetitive.’”); </w:t>
      </w:r>
      <w:r w:rsidRPr="002D18C6">
        <w:rPr>
          <w:rFonts w:cs="Arial"/>
          <w:i/>
          <w:iCs/>
        </w:rPr>
        <w:t xml:space="preserve">see also </w:t>
      </w:r>
      <w:r w:rsidRPr="002D18C6">
        <w:rPr>
          <w:rFonts w:cs="Arial"/>
        </w:rPr>
        <w:t>Docket No. 33416, Conclusion of Law No. 4 (Apr. 13, 2007) (“The Commission must ensure that the provision of ancillary services by ERCOT is not unreasonably preferential, prejudicial, discriminatory, predatory, or anticompetitive.”).</w:t>
      </w:r>
    </w:p>
  </w:footnote>
  <w:footnote w:id="7">
    <w:p w14:paraId="78673224" w14:textId="360A5DB3" w:rsidR="009D260F" w:rsidRPr="002D18C6" w:rsidRDefault="0031436C" w:rsidP="00E543C4">
      <w:pPr>
        <w:pStyle w:val="FootnoteText"/>
        <w:rPr>
          <w:rFonts w:cs="Arial"/>
        </w:rPr>
      </w:pPr>
      <w:r w:rsidRPr="002D18C6">
        <w:rPr>
          <w:rStyle w:val="FootnoteReference"/>
          <w:rFonts w:cs="Arial"/>
        </w:rPr>
        <w:footnoteRef/>
      </w:r>
      <w:r w:rsidRPr="002D18C6">
        <w:rPr>
          <w:rFonts w:cs="Arial"/>
        </w:rPr>
        <w:t xml:space="preserve">  PURA § 31.002(9).</w:t>
      </w:r>
    </w:p>
  </w:footnote>
  <w:footnote w:id="8">
    <w:p w14:paraId="29FB9008" w14:textId="51A6F171" w:rsidR="009D260F" w:rsidRPr="002D18C6" w:rsidRDefault="0031436C" w:rsidP="00E543C4">
      <w:pPr>
        <w:pStyle w:val="FootnoteText"/>
        <w:rPr>
          <w:rFonts w:cs="Arial"/>
        </w:rPr>
      </w:pPr>
      <w:r w:rsidRPr="002D18C6">
        <w:rPr>
          <w:rStyle w:val="FootnoteReference"/>
          <w:rFonts w:cs="Arial"/>
        </w:rPr>
        <w:footnoteRef/>
      </w:r>
      <w:r w:rsidRPr="002D18C6">
        <w:rPr>
          <w:rFonts w:cs="Arial"/>
        </w:rPr>
        <w:t xml:space="preserve">  PURA § 39.001(c).</w:t>
      </w:r>
    </w:p>
  </w:footnote>
  <w:footnote w:id="9">
    <w:p w14:paraId="229B372F" w14:textId="77777777" w:rsidR="009D260F" w:rsidRPr="002D18C6" w:rsidRDefault="0031436C" w:rsidP="00E543C4">
      <w:pPr>
        <w:pStyle w:val="FootnoteText"/>
        <w:rPr>
          <w:rFonts w:cs="Arial"/>
        </w:rPr>
      </w:pPr>
      <w:r w:rsidRPr="002D18C6">
        <w:rPr>
          <w:rStyle w:val="FootnoteReference"/>
          <w:rFonts w:cs="Arial"/>
        </w:rPr>
        <w:footnoteRef/>
      </w:r>
      <w:r w:rsidRPr="002D18C6">
        <w:rPr>
          <w:rFonts w:cs="Arial"/>
        </w:rPr>
        <w:t xml:space="preserve">  Docket No. 37817, ERCOT’s Response to Appellants’ Complaints at 38.</w:t>
      </w:r>
    </w:p>
  </w:footnote>
  <w:footnote w:id="10">
    <w:p w14:paraId="2E5F0030" w14:textId="1ECFE25C" w:rsidR="00CB0977" w:rsidRPr="002D18C6" w:rsidRDefault="0031436C" w:rsidP="00E543C4">
      <w:pPr>
        <w:pStyle w:val="FootnoteText"/>
        <w:rPr>
          <w:rFonts w:cs="Arial"/>
        </w:rPr>
      </w:pPr>
      <w:r w:rsidRPr="002D18C6">
        <w:rPr>
          <w:rStyle w:val="FootnoteReference"/>
          <w:rFonts w:cs="Arial"/>
        </w:rPr>
        <w:footnoteRef/>
      </w:r>
      <w:r w:rsidRPr="002D18C6">
        <w:rPr>
          <w:rFonts w:cs="Arial"/>
        </w:rPr>
        <w:t xml:space="preserve"> Docket No. 33416, Order at 7 (quoting PURA § 35.004(e), which the Texas Legislature subsequently relettered as PURA § 35.004(f) in 2021); </w:t>
      </w:r>
      <w:r w:rsidRPr="002D18C6">
        <w:rPr>
          <w:rFonts w:cs="Arial"/>
          <w:i/>
          <w:iCs/>
        </w:rPr>
        <w:t xml:space="preserve">see also </w:t>
      </w:r>
      <w:r w:rsidRPr="002D18C6">
        <w:rPr>
          <w:rFonts w:cs="Arial"/>
        </w:rPr>
        <w:t>Docket No. 33416, Commission Staff’s Brief on the Merits at 6–7 (Jan. 29, 2007).</w:t>
      </w:r>
    </w:p>
  </w:footnote>
  <w:footnote w:id="11">
    <w:p w14:paraId="2DE3D7B0" w14:textId="68983D8F" w:rsidR="00E946FF" w:rsidRPr="002D18C6" w:rsidRDefault="0031436C" w:rsidP="00E946FF">
      <w:pPr>
        <w:pStyle w:val="FootnoteText"/>
        <w:rPr>
          <w:rFonts w:cs="Arial"/>
        </w:rPr>
      </w:pPr>
      <w:r w:rsidRPr="002D18C6">
        <w:rPr>
          <w:rStyle w:val="FootnoteReference"/>
          <w:rFonts w:cs="Arial"/>
        </w:rPr>
        <w:footnoteRef/>
      </w:r>
      <w:r w:rsidRPr="002D18C6">
        <w:rPr>
          <w:rFonts w:cs="Arial"/>
        </w:rPr>
        <w:t xml:space="preserve">  </w:t>
      </w:r>
      <w:r w:rsidR="0035184F" w:rsidRPr="0035184F">
        <w:rPr>
          <w:i/>
          <w:iCs/>
        </w:rPr>
        <w:t>Amtel Communications, Inc. v. Pub. Util. Comm’n of Tex.</w:t>
      </w:r>
      <w:r w:rsidR="0035184F" w:rsidRPr="0035184F">
        <w:t xml:space="preserve">, 687 S.W.2d 95, 101–02 (Tex. App.—Austin 1985, no writ) </w:t>
      </w:r>
      <w:r w:rsidRPr="002D18C6">
        <w:rPr>
          <w:rFonts w:cs="Arial"/>
        </w:rPr>
        <w:t xml:space="preserve">(citing </w:t>
      </w:r>
      <w:r w:rsidRPr="002D18C6">
        <w:rPr>
          <w:rFonts w:cs="Arial"/>
          <w:i/>
          <w:iCs/>
        </w:rPr>
        <w:t>United Gas Corp. v. Shepherd Laundries Co.</w:t>
      </w:r>
      <w:r w:rsidRPr="002D18C6">
        <w:rPr>
          <w:rFonts w:cs="Arial"/>
        </w:rPr>
        <w:t xml:space="preserve">, 144 Tex. 164, 189 S.W.2d 485 (1945)); </w:t>
      </w:r>
      <w:r w:rsidRPr="002D18C6">
        <w:rPr>
          <w:rFonts w:cs="Arial"/>
          <w:i/>
          <w:iCs/>
        </w:rPr>
        <w:t>see also Westlake Ethylene Pipeline Corp. v. R.R. Comm'n of Tex.</w:t>
      </w:r>
      <w:r w:rsidRPr="002D18C6">
        <w:rPr>
          <w:rFonts w:cs="Arial"/>
        </w:rPr>
        <w:t xml:space="preserve">, 506 S.W.3d 676, 683 (Tex. App.—Austin 2016, pet. denied) (citing </w:t>
      </w:r>
      <w:r w:rsidRPr="002D18C6">
        <w:rPr>
          <w:rFonts w:cs="Arial"/>
          <w:i/>
          <w:iCs/>
        </w:rPr>
        <w:t>Amtel Commc’ns, Inc.</w:t>
      </w:r>
      <w:r w:rsidRPr="002D18C6">
        <w:rPr>
          <w:rFonts w:cs="Arial"/>
        </w:rPr>
        <w:t>, 687 S.W.2d at 101–02) (emphasis added).</w:t>
      </w:r>
    </w:p>
  </w:footnote>
  <w:footnote w:id="12">
    <w:p w14:paraId="3010ED63" w14:textId="0B6D8414" w:rsidR="009D260F" w:rsidRPr="002D18C6" w:rsidRDefault="0031436C" w:rsidP="002D18C6">
      <w:pPr>
        <w:pStyle w:val="FootnoteText"/>
        <w:jc w:val="left"/>
        <w:rPr>
          <w:rFonts w:cs="Arial"/>
        </w:rPr>
      </w:pPr>
      <w:r w:rsidRPr="002D18C6">
        <w:rPr>
          <w:rStyle w:val="FootnoteReference"/>
          <w:rFonts w:cs="Arial"/>
        </w:rPr>
        <w:footnoteRef/>
      </w:r>
      <w:r w:rsidRPr="002D18C6">
        <w:rPr>
          <w:rFonts w:cs="Arial"/>
        </w:rPr>
        <w:t xml:space="preserve">  </w:t>
      </w:r>
      <w:r w:rsidR="00E543C4" w:rsidRPr="002D18C6">
        <w:rPr>
          <w:rFonts w:cs="Arial"/>
        </w:rPr>
        <w:t>NPRR 1186</w:t>
      </w:r>
      <w:r w:rsidRPr="002D18C6">
        <w:rPr>
          <w:rFonts w:cs="Arial"/>
        </w:rPr>
        <w:t>, ERCOT Comments</w:t>
      </w:r>
      <w:r w:rsidRPr="002D18C6">
        <w:rPr>
          <w:rFonts w:cs="Arial"/>
          <w:i/>
          <w:iCs/>
        </w:rPr>
        <w:t xml:space="preserve"> </w:t>
      </w:r>
      <w:r w:rsidRPr="002D18C6">
        <w:rPr>
          <w:rFonts w:cs="Arial"/>
        </w:rPr>
        <w:t>(Sept. 19, 2023)</w:t>
      </w:r>
      <w:r w:rsidR="001D7879" w:rsidRPr="002D18C6">
        <w:rPr>
          <w:rFonts w:cs="Arial"/>
        </w:rPr>
        <w:t xml:space="preserve"> at https://www.ercot.com/files/docs/2023/09/19/1186NPRR-27%20ERCOT%20Comments%20091923.docx. </w:t>
      </w:r>
    </w:p>
  </w:footnote>
  <w:footnote w:id="13">
    <w:p w14:paraId="0FDC26E4" w14:textId="772F5922" w:rsidR="00734CAA" w:rsidRPr="002D18C6" w:rsidRDefault="0031436C" w:rsidP="00E543C4">
      <w:pPr>
        <w:pStyle w:val="FootnoteText"/>
        <w:rPr>
          <w:rFonts w:cs="Arial"/>
        </w:rPr>
      </w:pPr>
      <w:r w:rsidRPr="002D18C6">
        <w:rPr>
          <w:rStyle w:val="FootnoteReference"/>
          <w:rFonts w:cs="Arial"/>
        </w:rPr>
        <w:footnoteRef/>
      </w:r>
      <w:r w:rsidRPr="002D18C6">
        <w:rPr>
          <w:rFonts w:cs="Arial"/>
        </w:rPr>
        <w:t xml:space="preserve"> </w:t>
      </w:r>
      <w:r w:rsidRPr="002D18C6">
        <w:rPr>
          <w:rFonts w:cs="Arial"/>
          <w:i/>
          <w:iCs/>
        </w:rPr>
        <w:t xml:space="preserve">See </w:t>
      </w:r>
      <w:r w:rsidRPr="002D18C6">
        <w:rPr>
          <w:rFonts w:cs="Arial"/>
        </w:rPr>
        <w:t>PUCT Open Meeting, Agenda Item</w:t>
      </w:r>
      <w:r w:rsidR="00B31208" w:rsidRPr="002D18C6">
        <w:rPr>
          <w:rFonts w:cs="Arial"/>
        </w:rPr>
        <w:t xml:space="preserve"> 33, Project No. 54445 – CY 2023 Review of Rules Adopted by the Independent Organization (Nov. 30, 2023).</w:t>
      </w:r>
    </w:p>
  </w:footnote>
  <w:footnote w:id="14">
    <w:p w14:paraId="2E483E20" w14:textId="2D4C4149" w:rsidR="009E6809" w:rsidRPr="002D18C6" w:rsidRDefault="0031436C" w:rsidP="00E543C4">
      <w:pPr>
        <w:pStyle w:val="FootnoteText"/>
        <w:rPr>
          <w:rFonts w:cs="Arial"/>
        </w:rPr>
      </w:pPr>
      <w:r w:rsidRPr="002D18C6">
        <w:rPr>
          <w:rStyle w:val="FootnoteReference"/>
          <w:rFonts w:cs="Arial"/>
        </w:rPr>
        <w:footnoteRef/>
      </w:r>
      <w:r w:rsidRPr="002D18C6">
        <w:rPr>
          <w:rFonts w:cs="Arial"/>
        </w:rPr>
        <w:t xml:space="preserve"> </w:t>
      </w:r>
      <w:r w:rsidRPr="002D18C6">
        <w:rPr>
          <w:rFonts w:cs="Arial"/>
          <w:i/>
          <w:iCs/>
        </w:rPr>
        <w:t xml:space="preserve">See </w:t>
      </w:r>
      <w:r w:rsidRPr="002D18C6">
        <w:rPr>
          <w:rFonts w:cs="Arial"/>
        </w:rPr>
        <w:t xml:space="preserve">PUC Proj. No. 54445, ERCOT Letter Regarding NPRR 1186 (Dec. 11, 2023) available at https://interchange.puc.texas.gov/Documents/54445_44_1351904.PDF.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5775" w14:textId="53509C05" w:rsidR="00EE6681" w:rsidRDefault="0031436C">
    <w:pPr>
      <w:pStyle w:val="Header"/>
      <w:jc w:val="center"/>
      <w:rPr>
        <w:sz w:val="32"/>
      </w:rPr>
    </w:pPr>
    <w:r>
      <w:rPr>
        <w:sz w:val="32"/>
      </w:rPr>
      <w:t>NPRR Comments</w:t>
    </w:r>
  </w:p>
  <w:p w14:paraId="553DE00C"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D54F3F"/>
    <w:multiLevelType w:val="hybridMultilevel"/>
    <w:tmpl w:val="8D9297F0"/>
    <w:lvl w:ilvl="0" w:tplc="14D6A006">
      <w:start w:val="1"/>
      <w:numFmt w:val="decimal"/>
      <w:lvlText w:val="(%1)"/>
      <w:lvlJc w:val="left"/>
      <w:pPr>
        <w:ind w:left="720" w:hanging="360"/>
      </w:pPr>
      <w:rPr>
        <w:rFonts w:hint="default"/>
      </w:rPr>
    </w:lvl>
    <w:lvl w:ilvl="1" w:tplc="AC04B360" w:tentative="1">
      <w:start w:val="1"/>
      <w:numFmt w:val="lowerLetter"/>
      <w:lvlText w:val="%2."/>
      <w:lvlJc w:val="left"/>
      <w:pPr>
        <w:ind w:left="1440" w:hanging="360"/>
      </w:pPr>
    </w:lvl>
    <w:lvl w:ilvl="2" w:tplc="FD5C3608" w:tentative="1">
      <w:start w:val="1"/>
      <w:numFmt w:val="lowerRoman"/>
      <w:lvlText w:val="%3."/>
      <w:lvlJc w:val="right"/>
      <w:pPr>
        <w:ind w:left="2160" w:hanging="180"/>
      </w:pPr>
    </w:lvl>
    <w:lvl w:ilvl="3" w:tplc="4DC261F4" w:tentative="1">
      <w:start w:val="1"/>
      <w:numFmt w:val="decimal"/>
      <w:lvlText w:val="%4."/>
      <w:lvlJc w:val="left"/>
      <w:pPr>
        <w:ind w:left="2880" w:hanging="360"/>
      </w:pPr>
    </w:lvl>
    <w:lvl w:ilvl="4" w:tplc="3EE2DDEC" w:tentative="1">
      <w:start w:val="1"/>
      <w:numFmt w:val="lowerLetter"/>
      <w:lvlText w:val="%5."/>
      <w:lvlJc w:val="left"/>
      <w:pPr>
        <w:ind w:left="3600" w:hanging="360"/>
      </w:pPr>
    </w:lvl>
    <w:lvl w:ilvl="5" w:tplc="541E7C4A" w:tentative="1">
      <w:start w:val="1"/>
      <w:numFmt w:val="lowerRoman"/>
      <w:lvlText w:val="%6."/>
      <w:lvlJc w:val="right"/>
      <w:pPr>
        <w:ind w:left="4320" w:hanging="180"/>
      </w:pPr>
    </w:lvl>
    <w:lvl w:ilvl="6" w:tplc="873C9158" w:tentative="1">
      <w:start w:val="1"/>
      <w:numFmt w:val="decimal"/>
      <w:lvlText w:val="%7."/>
      <w:lvlJc w:val="left"/>
      <w:pPr>
        <w:ind w:left="5040" w:hanging="360"/>
      </w:pPr>
    </w:lvl>
    <w:lvl w:ilvl="7" w:tplc="5F163CA8" w:tentative="1">
      <w:start w:val="1"/>
      <w:numFmt w:val="lowerLetter"/>
      <w:lvlText w:val="%8."/>
      <w:lvlJc w:val="left"/>
      <w:pPr>
        <w:ind w:left="5760" w:hanging="360"/>
      </w:pPr>
    </w:lvl>
    <w:lvl w:ilvl="8" w:tplc="466AC4C6" w:tentative="1">
      <w:start w:val="1"/>
      <w:numFmt w:val="lowerRoman"/>
      <w:lvlText w:val="%9."/>
      <w:lvlJc w:val="right"/>
      <w:pPr>
        <w:ind w:left="6480" w:hanging="180"/>
      </w:pPr>
    </w:lvl>
  </w:abstractNum>
  <w:abstractNum w:abstractNumId="2" w15:restartNumberingAfterBreak="0">
    <w:nsid w:val="1638076A"/>
    <w:multiLevelType w:val="hybridMultilevel"/>
    <w:tmpl w:val="F560EDA4"/>
    <w:lvl w:ilvl="0" w:tplc="3A4C0704">
      <w:start w:val="1"/>
      <w:numFmt w:val="decimal"/>
      <w:lvlText w:val="(%1)"/>
      <w:lvlJc w:val="left"/>
      <w:pPr>
        <w:ind w:left="720" w:hanging="360"/>
      </w:pPr>
      <w:rPr>
        <w:rFonts w:hint="default"/>
      </w:rPr>
    </w:lvl>
    <w:lvl w:ilvl="1" w:tplc="689ED8B2" w:tentative="1">
      <w:start w:val="1"/>
      <w:numFmt w:val="lowerLetter"/>
      <w:lvlText w:val="%2."/>
      <w:lvlJc w:val="left"/>
      <w:pPr>
        <w:ind w:left="1440" w:hanging="360"/>
      </w:pPr>
    </w:lvl>
    <w:lvl w:ilvl="2" w:tplc="C86EA7C4" w:tentative="1">
      <w:start w:val="1"/>
      <w:numFmt w:val="lowerRoman"/>
      <w:lvlText w:val="%3."/>
      <w:lvlJc w:val="right"/>
      <w:pPr>
        <w:ind w:left="2160" w:hanging="180"/>
      </w:pPr>
    </w:lvl>
    <w:lvl w:ilvl="3" w:tplc="AF0CD85E" w:tentative="1">
      <w:start w:val="1"/>
      <w:numFmt w:val="decimal"/>
      <w:lvlText w:val="%4."/>
      <w:lvlJc w:val="left"/>
      <w:pPr>
        <w:ind w:left="2880" w:hanging="360"/>
      </w:pPr>
    </w:lvl>
    <w:lvl w:ilvl="4" w:tplc="24145F18" w:tentative="1">
      <w:start w:val="1"/>
      <w:numFmt w:val="lowerLetter"/>
      <w:lvlText w:val="%5."/>
      <w:lvlJc w:val="left"/>
      <w:pPr>
        <w:ind w:left="3600" w:hanging="360"/>
      </w:pPr>
    </w:lvl>
    <w:lvl w:ilvl="5" w:tplc="99F841AA" w:tentative="1">
      <w:start w:val="1"/>
      <w:numFmt w:val="lowerRoman"/>
      <w:lvlText w:val="%6."/>
      <w:lvlJc w:val="right"/>
      <w:pPr>
        <w:ind w:left="4320" w:hanging="180"/>
      </w:pPr>
    </w:lvl>
    <w:lvl w:ilvl="6" w:tplc="95CE6A14" w:tentative="1">
      <w:start w:val="1"/>
      <w:numFmt w:val="decimal"/>
      <w:lvlText w:val="%7."/>
      <w:lvlJc w:val="left"/>
      <w:pPr>
        <w:ind w:left="5040" w:hanging="360"/>
      </w:pPr>
    </w:lvl>
    <w:lvl w:ilvl="7" w:tplc="132AA248" w:tentative="1">
      <w:start w:val="1"/>
      <w:numFmt w:val="lowerLetter"/>
      <w:lvlText w:val="%8."/>
      <w:lvlJc w:val="left"/>
      <w:pPr>
        <w:ind w:left="5760" w:hanging="360"/>
      </w:pPr>
    </w:lvl>
    <w:lvl w:ilvl="8" w:tplc="2632B23C" w:tentative="1">
      <w:start w:val="1"/>
      <w:numFmt w:val="lowerRoman"/>
      <w:lvlText w:val="%9."/>
      <w:lvlJc w:val="right"/>
      <w:pPr>
        <w:ind w:left="6480" w:hanging="180"/>
      </w:pPr>
    </w:lvl>
  </w:abstractNum>
  <w:abstractNum w:abstractNumId="3" w15:restartNumberingAfterBreak="0">
    <w:nsid w:val="16614623"/>
    <w:multiLevelType w:val="hybridMultilevel"/>
    <w:tmpl w:val="D74AC61E"/>
    <w:lvl w:ilvl="0" w:tplc="06BA4E42">
      <w:start w:val="1"/>
      <w:numFmt w:val="lowerLetter"/>
      <w:lvlText w:val="%1."/>
      <w:lvlJc w:val="left"/>
      <w:pPr>
        <w:ind w:left="720" w:hanging="360"/>
      </w:pPr>
    </w:lvl>
    <w:lvl w:ilvl="1" w:tplc="ADCE610E">
      <w:start w:val="1"/>
      <w:numFmt w:val="lowerLetter"/>
      <w:lvlText w:val="%2."/>
      <w:lvlJc w:val="left"/>
      <w:pPr>
        <w:ind w:left="1440" w:hanging="360"/>
      </w:pPr>
    </w:lvl>
    <w:lvl w:ilvl="2" w:tplc="B7163ED2" w:tentative="1">
      <w:start w:val="1"/>
      <w:numFmt w:val="lowerRoman"/>
      <w:lvlText w:val="%3."/>
      <w:lvlJc w:val="right"/>
      <w:pPr>
        <w:ind w:left="2160" w:hanging="180"/>
      </w:pPr>
    </w:lvl>
    <w:lvl w:ilvl="3" w:tplc="8664512A" w:tentative="1">
      <w:start w:val="1"/>
      <w:numFmt w:val="decimal"/>
      <w:lvlText w:val="%4."/>
      <w:lvlJc w:val="left"/>
      <w:pPr>
        <w:ind w:left="2880" w:hanging="360"/>
      </w:pPr>
    </w:lvl>
    <w:lvl w:ilvl="4" w:tplc="46F6BB8E" w:tentative="1">
      <w:start w:val="1"/>
      <w:numFmt w:val="lowerLetter"/>
      <w:lvlText w:val="%5."/>
      <w:lvlJc w:val="left"/>
      <w:pPr>
        <w:ind w:left="3600" w:hanging="360"/>
      </w:pPr>
    </w:lvl>
    <w:lvl w:ilvl="5" w:tplc="ECAAB568" w:tentative="1">
      <w:start w:val="1"/>
      <w:numFmt w:val="lowerRoman"/>
      <w:lvlText w:val="%6."/>
      <w:lvlJc w:val="right"/>
      <w:pPr>
        <w:ind w:left="4320" w:hanging="180"/>
      </w:pPr>
    </w:lvl>
    <w:lvl w:ilvl="6" w:tplc="DDBE46B2" w:tentative="1">
      <w:start w:val="1"/>
      <w:numFmt w:val="decimal"/>
      <w:lvlText w:val="%7."/>
      <w:lvlJc w:val="left"/>
      <w:pPr>
        <w:ind w:left="5040" w:hanging="360"/>
      </w:pPr>
    </w:lvl>
    <w:lvl w:ilvl="7" w:tplc="A0D6CF88" w:tentative="1">
      <w:start w:val="1"/>
      <w:numFmt w:val="lowerLetter"/>
      <w:lvlText w:val="%8."/>
      <w:lvlJc w:val="left"/>
      <w:pPr>
        <w:ind w:left="5760" w:hanging="360"/>
      </w:pPr>
    </w:lvl>
    <w:lvl w:ilvl="8" w:tplc="41BEA404" w:tentative="1">
      <w:start w:val="1"/>
      <w:numFmt w:val="lowerRoman"/>
      <w:lvlText w:val="%9."/>
      <w:lvlJc w:val="right"/>
      <w:pPr>
        <w:ind w:left="6480" w:hanging="180"/>
      </w:pPr>
    </w:lvl>
  </w:abstractNum>
  <w:abstractNum w:abstractNumId="4" w15:restartNumberingAfterBreak="0">
    <w:nsid w:val="16BF5305"/>
    <w:multiLevelType w:val="hybridMultilevel"/>
    <w:tmpl w:val="6240B944"/>
    <w:lvl w:ilvl="0" w:tplc="30E62FA0">
      <w:start w:val="1"/>
      <w:numFmt w:val="lowerLetter"/>
      <w:lvlText w:val="(%1)"/>
      <w:lvlJc w:val="left"/>
      <w:pPr>
        <w:ind w:left="1800" w:hanging="360"/>
      </w:pPr>
      <w:rPr>
        <w:rFonts w:hint="default"/>
      </w:rPr>
    </w:lvl>
    <w:lvl w:ilvl="1" w:tplc="5E8C96F0" w:tentative="1">
      <w:start w:val="1"/>
      <w:numFmt w:val="lowerLetter"/>
      <w:lvlText w:val="%2."/>
      <w:lvlJc w:val="left"/>
      <w:pPr>
        <w:ind w:left="2520" w:hanging="360"/>
      </w:pPr>
    </w:lvl>
    <w:lvl w:ilvl="2" w:tplc="010EEFE8" w:tentative="1">
      <w:start w:val="1"/>
      <w:numFmt w:val="lowerRoman"/>
      <w:lvlText w:val="%3."/>
      <w:lvlJc w:val="right"/>
      <w:pPr>
        <w:ind w:left="3240" w:hanging="180"/>
      </w:pPr>
    </w:lvl>
    <w:lvl w:ilvl="3" w:tplc="491C3C12" w:tentative="1">
      <w:start w:val="1"/>
      <w:numFmt w:val="decimal"/>
      <w:lvlText w:val="%4."/>
      <w:lvlJc w:val="left"/>
      <w:pPr>
        <w:ind w:left="3960" w:hanging="360"/>
      </w:pPr>
    </w:lvl>
    <w:lvl w:ilvl="4" w:tplc="DEA89198" w:tentative="1">
      <w:start w:val="1"/>
      <w:numFmt w:val="lowerLetter"/>
      <w:lvlText w:val="%5."/>
      <w:lvlJc w:val="left"/>
      <w:pPr>
        <w:ind w:left="4680" w:hanging="360"/>
      </w:pPr>
    </w:lvl>
    <w:lvl w:ilvl="5" w:tplc="0B621BE6" w:tentative="1">
      <w:start w:val="1"/>
      <w:numFmt w:val="lowerRoman"/>
      <w:lvlText w:val="%6."/>
      <w:lvlJc w:val="right"/>
      <w:pPr>
        <w:ind w:left="5400" w:hanging="180"/>
      </w:pPr>
    </w:lvl>
    <w:lvl w:ilvl="6" w:tplc="97EA7F86" w:tentative="1">
      <w:start w:val="1"/>
      <w:numFmt w:val="decimal"/>
      <w:lvlText w:val="%7."/>
      <w:lvlJc w:val="left"/>
      <w:pPr>
        <w:ind w:left="6120" w:hanging="360"/>
      </w:pPr>
    </w:lvl>
    <w:lvl w:ilvl="7" w:tplc="BB8C80CE" w:tentative="1">
      <w:start w:val="1"/>
      <w:numFmt w:val="lowerLetter"/>
      <w:lvlText w:val="%8."/>
      <w:lvlJc w:val="left"/>
      <w:pPr>
        <w:ind w:left="6840" w:hanging="360"/>
      </w:pPr>
    </w:lvl>
    <w:lvl w:ilvl="8" w:tplc="EB62997C" w:tentative="1">
      <w:start w:val="1"/>
      <w:numFmt w:val="lowerRoman"/>
      <w:lvlText w:val="%9."/>
      <w:lvlJc w:val="right"/>
      <w:pPr>
        <w:ind w:left="7560" w:hanging="180"/>
      </w:pPr>
    </w:lvl>
  </w:abstractNum>
  <w:abstractNum w:abstractNumId="5" w15:restartNumberingAfterBreak="0">
    <w:nsid w:val="1A321A24"/>
    <w:multiLevelType w:val="hybridMultilevel"/>
    <w:tmpl w:val="458C9B06"/>
    <w:lvl w:ilvl="0" w:tplc="8076CC06">
      <w:start w:val="1"/>
      <w:numFmt w:val="upperRoman"/>
      <w:lvlText w:val="%1."/>
      <w:lvlJc w:val="left"/>
      <w:pPr>
        <w:ind w:left="1080" w:hanging="720"/>
      </w:pPr>
      <w:rPr>
        <w:rFonts w:hint="default"/>
        <w:b/>
        <w:bCs w:val="0"/>
      </w:rPr>
    </w:lvl>
    <w:lvl w:ilvl="1" w:tplc="B69AD4BE" w:tentative="1">
      <w:start w:val="1"/>
      <w:numFmt w:val="lowerLetter"/>
      <w:lvlText w:val="%2."/>
      <w:lvlJc w:val="left"/>
      <w:pPr>
        <w:ind w:left="1440" w:hanging="360"/>
      </w:pPr>
    </w:lvl>
    <w:lvl w:ilvl="2" w:tplc="20663C72" w:tentative="1">
      <w:start w:val="1"/>
      <w:numFmt w:val="lowerRoman"/>
      <w:lvlText w:val="%3."/>
      <w:lvlJc w:val="right"/>
      <w:pPr>
        <w:ind w:left="2160" w:hanging="180"/>
      </w:pPr>
    </w:lvl>
    <w:lvl w:ilvl="3" w:tplc="6A8E3854" w:tentative="1">
      <w:start w:val="1"/>
      <w:numFmt w:val="decimal"/>
      <w:lvlText w:val="%4."/>
      <w:lvlJc w:val="left"/>
      <w:pPr>
        <w:ind w:left="2880" w:hanging="360"/>
      </w:pPr>
    </w:lvl>
    <w:lvl w:ilvl="4" w:tplc="79BA42D8" w:tentative="1">
      <w:start w:val="1"/>
      <w:numFmt w:val="lowerLetter"/>
      <w:lvlText w:val="%5."/>
      <w:lvlJc w:val="left"/>
      <w:pPr>
        <w:ind w:left="3600" w:hanging="360"/>
      </w:pPr>
    </w:lvl>
    <w:lvl w:ilvl="5" w:tplc="B37C288A" w:tentative="1">
      <w:start w:val="1"/>
      <w:numFmt w:val="lowerRoman"/>
      <w:lvlText w:val="%6."/>
      <w:lvlJc w:val="right"/>
      <w:pPr>
        <w:ind w:left="4320" w:hanging="180"/>
      </w:pPr>
    </w:lvl>
    <w:lvl w:ilvl="6" w:tplc="7CD8FB50" w:tentative="1">
      <w:start w:val="1"/>
      <w:numFmt w:val="decimal"/>
      <w:lvlText w:val="%7."/>
      <w:lvlJc w:val="left"/>
      <w:pPr>
        <w:ind w:left="5040" w:hanging="360"/>
      </w:pPr>
    </w:lvl>
    <w:lvl w:ilvl="7" w:tplc="E6EA1D4C" w:tentative="1">
      <w:start w:val="1"/>
      <w:numFmt w:val="lowerLetter"/>
      <w:lvlText w:val="%8."/>
      <w:lvlJc w:val="left"/>
      <w:pPr>
        <w:ind w:left="5760" w:hanging="360"/>
      </w:pPr>
    </w:lvl>
    <w:lvl w:ilvl="8" w:tplc="360245D4" w:tentative="1">
      <w:start w:val="1"/>
      <w:numFmt w:val="lowerRoman"/>
      <w:lvlText w:val="%9."/>
      <w:lvlJc w:val="right"/>
      <w:pPr>
        <w:ind w:left="6480" w:hanging="180"/>
      </w:pPr>
    </w:lvl>
  </w:abstractNum>
  <w:abstractNum w:abstractNumId="6" w15:restartNumberingAfterBreak="0">
    <w:nsid w:val="1E0C7265"/>
    <w:multiLevelType w:val="hybridMultilevel"/>
    <w:tmpl w:val="3D4CFD20"/>
    <w:lvl w:ilvl="0" w:tplc="FDC070DA">
      <w:start w:val="1"/>
      <w:numFmt w:val="decimal"/>
      <w:lvlText w:val="%1."/>
      <w:lvlJc w:val="left"/>
      <w:pPr>
        <w:ind w:left="720" w:hanging="360"/>
      </w:pPr>
    </w:lvl>
    <w:lvl w:ilvl="1" w:tplc="DC065A40">
      <w:start w:val="1"/>
      <w:numFmt w:val="lowerLetter"/>
      <w:lvlText w:val="%2."/>
      <w:lvlJc w:val="left"/>
      <w:pPr>
        <w:ind w:left="1440" w:hanging="360"/>
      </w:pPr>
    </w:lvl>
    <w:lvl w:ilvl="2" w:tplc="C2605334">
      <w:start w:val="1"/>
      <w:numFmt w:val="bullet"/>
      <w:lvlRestart w:val="0"/>
      <w:lvlText w:val=""/>
      <w:lvlJc w:val="left"/>
      <w:pPr>
        <w:ind w:left="2160" w:hanging="180"/>
      </w:pPr>
      <w:rPr>
        <w:rFonts w:ascii="Symbol" w:hAnsi="Symbol" w:hint="default"/>
      </w:rPr>
    </w:lvl>
    <w:lvl w:ilvl="3" w:tplc="69848B1A">
      <w:start w:val="1"/>
      <w:numFmt w:val="decimal"/>
      <w:lvlText w:val="%4."/>
      <w:lvlJc w:val="left"/>
      <w:pPr>
        <w:ind w:left="2880" w:hanging="360"/>
      </w:pPr>
    </w:lvl>
    <w:lvl w:ilvl="4" w:tplc="EEE4397E" w:tentative="1">
      <w:start w:val="1"/>
      <w:numFmt w:val="lowerLetter"/>
      <w:lvlText w:val="%5."/>
      <w:lvlJc w:val="left"/>
      <w:pPr>
        <w:ind w:left="3600" w:hanging="360"/>
      </w:pPr>
    </w:lvl>
    <w:lvl w:ilvl="5" w:tplc="1D70C2CC" w:tentative="1">
      <w:start w:val="1"/>
      <w:numFmt w:val="lowerRoman"/>
      <w:lvlText w:val="%6."/>
      <w:lvlJc w:val="right"/>
      <w:pPr>
        <w:ind w:left="4320" w:hanging="180"/>
      </w:pPr>
    </w:lvl>
    <w:lvl w:ilvl="6" w:tplc="813EC746" w:tentative="1">
      <w:start w:val="1"/>
      <w:numFmt w:val="decimal"/>
      <w:lvlText w:val="%7."/>
      <w:lvlJc w:val="left"/>
      <w:pPr>
        <w:ind w:left="5040" w:hanging="360"/>
      </w:pPr>
    </w:lvl>
    <w:lvl w:ilvl="7" w:tplc="7D92A624" w:tentative="1">
      <w:start w:val="1"/>
      <w:numFmt w:val="lowerLetter"/>
      <w:lvlText w:val="%8."/>
      <w:lvlJc w:val="left"/>
      <w:pPr>
        <w:ind w:left="5760" w:hanging="360"/>
      </w:pPr>
    </w:lvl>
    <w:lvl w:ilvl="8" w:tplc="2A3E11DE" w:tentative="1">
      <w:start w:val="1"/>
      <w:numFmt w:val="lowerRoman"/>
      <w:lvlText w:val="%9."/>
      <w:lvlJc w:val="right"/>
      <w:pPr>
        <w:ind w:left="6480" w:hanging="180"/>
      </w:pPr>
    </w:lvl>
  </w:abstractNum>
  <w:abstractNum w:abstractNumId="7" w15:restartNumberingAfterBreak="0">
    <w:nsid w:val="1FB06749"/>
    <w:multiLevelType w:val="hybridMultilevel"/>
    <w:tmpl w:val="3110A17A"/>
    <w:lvl w:ilvl="0" w:tplc="5D005296">
      <w:start w:val="1"/>
      <w:numFmt w:val="bullet"/>
      <w:lvlText w:val=""/>
      <w:lvlJc w:val="left"/>
      <w:pPr>
        <w:ind w:left="720" w:hanging="360"/>
      </w:pPr>
      <w:rPr>
        <w:rFonts w:ascii="Symbol" w:hAnsi="Symbol" w:hint="default"/>
      </w:rPr>
    </w:lvl>
    <w:lvl w:ilvl="1" w:tplc="A03C8628" w:tentative="1">
      <w:start w:val="1"/>
      <w:numFmt w:val="bullet"/>
      <w:lvlText w:val="o"/>
      <w:lvlJc w:val="left"/>
      <w:pPr>
        <w:ind w:left="1440" w:hanging="360"/>
      </w:pPr>
      <w:rPr>
        <w:rFonts w:ascii="Courier New" w:hAnsi="Courier New" w:cs="Courier New" w:hint="default"/>
      </w:rPr>
    </w:lvl>
    <w:lvl w:ilvl="2" w:tplc="137CF05C" w:tentative="1">
      <w:start w:val="1"/>
      <w:numFmt w:val="bullet"/>
      <w:lvlText w:val=""/>
      <w:lvlJc w:val="left"/>
      <w:pPr>
        <w:ind w:left="2160" w:hanging="360"/>
      </w:pPr>
      <w:rPr>
        <w:rFonts w:ascii="Wingdings" w:hAnsi="Wingdings" w:hint="default"/>
      </w:rPr>
    </w:lvl>
    <w:lvl w:ilvl="3" w:tplc="94608C6A" w:tentative="1">
      <w:start w:val="1"/>
      <w:numFmt w:val="bullet"/>
      <w:lvlText w:val=""/>
      <w:lvlJc w:val="left"/>
      <w:pPr>
        <w:ind w:left="2880" w:hanging="360"/>
      </w:pPr>
      <w:rPr>
        <w:rFonts w:ascii="Symbol" w:hAnsi="Symbol" w:hint="default"/>
      </w:rPr>
    </w:lvl>
    <w:lvl w:ilvl="4" w:tplc="4E8EEE38" w:tentative="1">
      <w:start w:val="1"/>
      <w:numFmt w:val="bullet"/>
      <w:lvlText w:val="o"/>
      <w:lvlJc w:val="left"/>
      <w:pPr>
        <w:ind w:left="3600" w:hanging="360"/>
      </w:pPr>
      <w:rPr>
        <w:rFonts w:ascii="Courier New" w:hAnsi="Courier New" w:cs="Courier New" w:hint="default"/>
      </w:rPr>
    </w:lvl>
    <w:lvl w:ilvl="5" w:tplc="70DE6180" w:tentative="1">
      <w:start w:val="1"/>
      <w:numFmt w:val="bullet"/>
      <w:lvlText w:val=""/>
      <w:lvlJc w:val="left"/>
      <w:pPr>
        <w:ind w:left="4320" w:hanging="360"/>
      </w:pPr>
      <w:rPr>
        <w:rFonts w:ascii="Wingdings" w:hAnsi="Wingdings" w:hint="default"/>
      </w:rPr>
    </w:lvl>
    <w:lvl w:ilvl="6" w:tplc="C9A43CEA" w:tentative="1">
      <w:start w:val="1"/>
      <w:numFmt w:val="bullet"/>
      <w:lvlText w:val=""/>
      <w:lvlJc w:val="left"/>
      <w:pPr>
        <w:ind w:left="5040" w:hanging="360"/>
      </w:pPr>
      <w:rPr>
        <w:rFonts w:ascii="Symbol" w:hAnsi="Symbol" w:hint="default"/>
      </w:rPr>
    </w:lvl>
    <w:lvl w:ilvl="7" w:tplc="3BEC5B1E" w:tentative="1">
      <w:start w:val="1"/>
      <w:numFmt w:val="bullet"/>
      <w:lvlText w:val="o"/>
      <w:lvlJc w:val="left"/>
      <w:pPr>
        <w:ind w:left="5760" w:hanging="360"/>
      </w:pPr>
      <w:rPr>
        <w:rFonts w:ascii="Courier New" w:hAnsi="Courier New" w:cs="Courier New" w:hint="default"/>
      </w:rPr>
    </w:lvl>
    <w:lvl w:ilvl="8" w:tplc="093A43D6" w:tentative="1">
      <w:start w:val="1"/>
      <w:numFmt w:val="bullet"/>
      <w:lvlText w:val=""/>
      <w:lvlJc w:val="left"/>
      <w:pPr>
        <w:ind w:left="6480" w:hanging="360"/>
      </w:pPr>
      <w:rPr>
        <w:rFonts w:ascii="Wingdings" w:hAnsi="Wingdings" w:hint="default"/>
      </w:rPr>
    </w:lvl>
  </w:abstractNum>
  <w:abstractNum w:abstractNumId="8" w15:restartNumberingAfterBreak="0">
    <w:nsid w:val="203F39A2"/>
    <w:multiLevelType w:val="hybridMultilevel"/>
    <w:tmpl w:val="5A26C0B4"/>
    <w:lvl w:ilvl="0" w:tplc="40B61B9C">
      <w:start w:val="1"/>
      <w:numFmt w:val="decimal"/>
      <w:lvlText w:val="(%1)"/>
      <w:lvlJc w:val="left"/>
      <w:pPr>
        <w:ind w:left="720" w:hanging="360"/>
      </w:pPr>
      <w:rPr>
        <w:rFonts w:hint="default"/>
      </w:rPr>
    </w:lvl>
    <w:lvl w:ilvl="1" w:tplc="708E77E8" w:tentative="1">
      <w:start w:val="1"/>
      <w:numFmt w:val="lowerLetter"/>
      <w:lvlText w:val="%2."/>
      <w:lvlJc w:val="left"/>
      <w:pPr>
        <w:ind w:left="1440" w:hanging="360"/>
      </w:pPr>
    </w:lvl>
    <w:lvl w:ilvl="2" w:tplc="6AACDB4C" w:tentative="1">
      <w:start w:val="1"/>
      <w:numFmt w:val="lowerRoman"/>
      <w:lvlText w:val="%3."/>
      <w:lvlJc w:val="right"/>
      <w:pPr>
        <w:ind w:left="2160" w:hanging="180"/>
      </w:pPr>
    </w:lvl>
    <w:lvl w:ilvl="3" w:tplc="6CD82C26" w:tentative="1">
      <w:start w:val="1"/>
      <w:numFmt w:val="decimal"/>
      <w:lvlText w:val="%4."/>
      <w:lvlJc w:val="left"/>
      <w:pPr>
        <w:ind w:left="2880" w:hanging="360"/>
      </w:pPr>
    </w:lvl>
    <w:lvl w:ilvl="4" w:tplc="F8DC949A" w:tentative="1">
      <w:start w:val="1"/>
      <w:numFmt w:val="lowerLetter"/>
      <w:lvlText w:val="%5."/>
      <w:lvlJc w:val="left"/>
      <w:pPr>
        <w:ind w:left="3600" w:hanging="360"/>
      </w:pPr>
    </w:lvl>
    <w:lvl w:ilvl="5" w:tplc="75AA7B5E" w:tentative="1">
      <w:start w:val="1"/>
      <w:numFmt w:val="lowerRoman"/>
      <w:lvlText w:val="%6."/>
      <w:lvlJc w:val="right"/>
      <w:pPr>
        <w:ind w:left="4320" w:hanging="180"/>
      </w:pPr>
    </w:lvl>
    <w:lvl w:ilvl="6" w:tplc="5FD003FC" w:tentative="1">
      <w:start w:val="1"/>
      <w:numFmt w:val="decimal"/>
      <w:lvlText w:val="%7."/>
      <w:lvlJc w:val="left"/>
      <w:pPr>
        <w:ind w:left="5040" w:hanging="360"/>
      </w:pPr>
    </w:lvl>
    <w:lvl w:ilvl="7" w:tplc="556CA082" w:tentative="1">
      <w:start w:val="1"/>
      <w:numFmt w:val="lowerLetter"/>
      <w:lvlText w:val="%8."/>
      <w:lvlJc w:val="left"/>
      <w:pPr>
        <w:ind w:left="5760" w:hanging="360"/>
      </w:pPr>
    </w:lvl>
    <w:lvl w:ilvl="8" w:tplc="3C8A0E70" w:tentative="1">
      <w:start w:val="1"/>
      <w:numFmt w:val="lowerRoman"/>
      <w:lvlText w:val="%9."/>
      <w:lvlJc w:val="right"/>
      <w:pPr>
        <w:ind w:left="6480" w:hanging="180"/>
      </w:pPr>
    </w:lvl>
  </w:abstractNum>
  <w:abstractNum w:abstractNumId="9" w15:restartNumberingAfterBreak="0">
    <w:nsid w:val="253640DF"/>
    <w:multiLevelType w:val="hybridMultilevel"/>
    <w:tmpl w:val="C7849AD6"/>
    <w:lvl w:ilvl="0" w:tplc="5316DBCA">
      <w:start w:val="1"/>
      <w:numFmt w:val="decimal"/>
      <w:lvlText w:val="(%1)"/>
      <w:lvlJc w:val="left"/>
      <w:pPr>
        <w:ind w:left="1510" w:hanging="790"/>
      </w:pPr>
      <w:rPr>
        <w:rFonts w:hint="default"/>
      </w:rPr>
    </w:lvl>
    <w:lvl w:ilvl="1" w:tplc="88824CAC" w:tentative="1">
      <w:start w:val="1"/>
      <w:numFmt w:val="lowerLetter"/>
      <w:lvlText w:val="%2."/>
      <w:lvlJc w:val="left"/>
      <w:pPr>
        <w:ind w:left="1800" w:hanging="360"/>
      </w:pPr>
    </w:lvl>
    <w:lvl w:ilvl="2" w:tplc="B964BE64" w:tentative="1">
      <w:start w:val="1"/>
      <w:numFmt w:val="lowerRoman"/>
      <w:lvlText w:val="%3."/>
      <w:lvlJc w:val="right"/>
      <w:pPr>
        <w:ind w:left="2520" w:hanging="180"/>
      </w:pPr>
    </w:lvl>
    <w:lvl w:ilvl="3" w:tplc="9E3E5B20" w:tentative="1">
      <w:start w:val="1"/>
      <w:numFmt w:val="decimal"/>
      <w:lvlText w:val="%4."/>
      <w:lvlJc w:val="left"/>
      <w:pPr>
        <w:ind w:left="3240" w:hanging="360"/>
      </w:pPr>
    </w:lvl>
    <w:lvl w:ilvl="4" w:tplc="4622D8C6" w:tentative="1">
      <w:start w:val="1"/>
      <w:numFmt w:val="lowerLetter"/>
      <w:lvlText w:val="%5."/>
      <w:lvlJc w:val="left"/>
      <w:pPr>
        <w:ind w:left="3960" w:hanging="360"/>
      </w:pPr>
    </w:lvl>
    <w:lvl w:ilvl="5" w:tplc="DC30D618" w:tentative="1">
      <w:start w:val="1"/>
      <w:numFmt w:val="lowerRoman"/>
      <w:lvlText w:val="%6."/>
      <w:lvlJc w:val="right"/>
      <w:pPr>
        <w:ind w:left="4680" w:hanging="180"/>
      </w:pPr>
    </w:lvl>
    <w:lvl w:ilvl="6" w:tplc="D7266930" w:tentative="1">
      <w:start w:val="1"/>
      <w:numFmt w:val="decimal"/>
      <w:lvlText w:val="%7."/>
      <w:lvlJc w:val="left"/>
      <w:pPr>
        <w:ind w:left="5400" w:hanging="360"/>
      </w:pPr>
    </w:lvl>
    <w:lvl w:ilvl="7" w:tplc="E80A6350" w:tentative="1">
      <w:start w:val="1"/>
      <w:numFmt w:val="lowerLetter"/>
      <w:lvlText w:val="%8."/>
      <w:lvlJc w:val="left"/>
      <w:pPr>
        <w:ind w:left="6120" w:hanging="360"/>
      </w:pPr>
    </w:lvl>
    <w:lvl w:ilvl="8" w:tplc="4E440C38" w:tentative="1">
      <w:start w:val="1"/>
      <w:numFmt w:val="lowerRoman"/>
      <w:lvlText w:val="%9."/>
      <w:lvlJc w:val="right"/>
      <w:pPr>
        <w:ind w:left="6840" w:hanging="180"/>
      </w:pPr>
    </w:lvl>
  </w:abstractNum>
  <w:abstractNum w:abstractNumId="10" w15:restartNumberingAfterBreak="0">
    <w:nsid w:val="48907605"/>
    <w:multiLevelType w:val="hybridMultilevel"/>
    <w:tmpl w:val="DBE8D530"/>
    <w:lvl w:ilvl="0" w:tplc="C414C256">
      <w:start w:val="1"/>
      <w:numFmt w:val="bullet"/>
      <w:lvlText w:val=""/>
      <w:lvlJc w:val="left"/>
      <w:pPr>
        <w:ind w:left="720" w:hanging="360"/>
      </w:pPr>
      <w:rPr>
        <w:rFonts w:ascii="Symbol" w:hAnsi="Symbol" w:hint="default"/>
      </w:rPr>
    </w:lvl>
    <w:lvl w:ilvl="1" w:tplc="030413E6" w:tentative="1">
      <w:start w:val="1"/>
      <w:numFmt w:val="bullet"/>
      <w:lvlText w:val="o"/>
      <w:lvlJc w:val="left"/>
      <w:pPr>
        <w:ind w:left="1440" w:hanging="360"/>
      </w:pPr>
      <w:rPr>
        <w:rFonts w:ascii="Courier New" w:hAnsi="Courier New" w:cs="Courier New" w:hint="default"/>
      </w:rPr>
    </w:lvl>
    <w:lvl w:ilvl="2" w:tplc="B8620AFA" w:tentative="1">
      <w:start w:val="1"/>
      <w:numFmt w:val="bullet"/>
      <w:lvlText w:val=""/>
      <w:lvlJc w:val="left"/>
      <w:pPr>
        <w:ind w:left="2160" w:hanging="360"/>
      </w:pPr>
      <w:rPr>
        <w:rFonts w:ascii="Wingdings" w:hAnsi="Wingdings" w:hint="default"/>
      </w:rPr>
    </w:lvl>
    <w:lvl w:ilvl="3" w:tplc="9740FCFE" w:tentative="1">
      <w:start w:val="1"/>
      <w:numFmt w:val="bullet"/>
      <w:lvlText w:val=""/>
      <w:lvlJc w:val="left"/>
      <w:pPr>
        <w:ind w:left="2880" w:hanging="360"/>
      </w:pPr>
      <w:rPr>
        <w:rFonts w:ascii="Symbol" w:hAnsi="Symbol" w:hint="default"/>
      </w:rPr>
    </w:lvl>
    <w:lvl w:ilvl="4" w:tplc="5DEED300" w:tentative="1">
      <w:start w:val="1"/>
      <w:numFmt w:val="bullet"/>
      <w:lvlText w:val="o"/>
      <w:lvlJc w:val="left"/>
      <w:pPr>
        <w:ind w:left="3600" w:hanging="360"/>
      </w:pPr>
      <w:rPr>
        <w:rFonts w:ascii="Courier New" w:hAnsi="Courier New" w:cs="Courier New" w:hint="default"/>
      </w:rPr>
    </w:lvl>
    <w:lvl w:ilvl="5" w:tplc="44D043BE" w:tentative="1">
      <w:start w:val="1"/>
      <w:numFmt w:val="bullet"/>
      <w:lvlText w:val=""/>
      <w:lvlJc w:val="left"/>
      <w:pPr>
        <w:ind w:left="4320" w:hanging="360"/>
      </w:pPr>
      <w:rPr>
        <w:rFonts w:ascii="Wingdings" w:hAnsi="Wingdings" w:hint="default"/>
      </w:rPr>
    </w:lvl>
    <w:lvl w:ilvl="6" w:tplc="3530C5FA" w:tentative="1">
      <w:start w:val="1"/>
      <w:numFmt w:val="bullet"/>
      <w:lvlText w:val=""/>
      <w:lvlJc w:val="left"/>
      <w:pPr>
        <w:ind w:left="5040" w:hanging="360"/>
      </w:pPr>
      <w:rPr>
        <w:rFonts w:ascii="Symbol" w:hAnsi="Symbol" w:hint="default"/>
      </w:rPr>
    </w:lvl>
    <w:lvl w:ilvl="7" w:tplc="854067D6" w:tentative="1">
      <w:start w:val="1"/>
      <w:numFmt w:val="bullet"/>
      <w:lvlText w:val="o"/>
      <w:lvlJc w:val="left"/>
      <w:pPr>
        <w:ind w:left="5760" w:hanging="360"/>
      </w:pPr>
      <w:rPr>
        <w:rFonts w:ascii="Courier New" w:hAnsi="Courier New" w:cs="Courier New" w:hint="default"/>
      </w:rPr>
    </w:lvl>
    <w:lvl w:ilvl="8" w:tplc="EC2E6594" w:tentative="1">
      <w:start w:val="1"/>
      <w:numFmt w:val="bullet"/>
      <w:lvlText w:val=""/>
      <w:lvlJc w:val="left"/>
      <w:pPr>
        <w:ind w:left="6480" w:hanging="360"/>
      </w:pPr>
      <w:rPr>
        <w:rFonts w:ascii="Wingdings" w:hAnsi="Wingdings" w:hint="default"/>
      </w:rPr>
    </w:lvl>
  </w:abstractNum>
  <w:abstractNum w:abstractNumId="11" w15:restartNumberingAfterBreak="0">
    <w:nsid w:val="4EBC57CF"/>
    <w:multiLevelType w:val="hybridMultilevel"/>
    <w:tmpl w:val="DD268FBE"/>
    <w:lvl w:ilvl="0" w:tplc="E4F40130">
      <w:start w:val="1"/>
      <w:numFmt w:val="lowerRoman"/>
      <w:lvlText w:val="%1."/>
      <w:lvlJc w:val="left"/>
      <w:pPr>
        <w:ind w:left="1080" w:hanging="720"/>
      </w:pPr>
      <w:rPr>
        <w:rFonts w:hint="default"/>
      </w:rPr>
    </w:lvl>
    <w:lvl w:ilvl="1" w:tplc="C72A28A0" w:tentative="1">
      <w:start w:val="1"/>
      <w:numFmt w:val="lowerLetter"/>
      <w:lvlText w:val="%2."/>
      <w:lvlJc w:val="left"/>
      <w:pPr>
        <w:ind w:left="1440" w:hanging="360"/>
      </w:pPr>
    </w:lvl>
    <w:lvl w:ilvl="2" w:tplc="0CD49A38" w:tentative="1">
      <w:start w:val="1"/>
      <w:numFmt w:val="lowerRoman"/>
      <w:lvlText w:val="%3."/>
      <w:lvlJc w:val="right"/>
      <w:pPr>
        <w:ind w:left="2160" w:hanging="180"/>
      </w:pPr>
    </w:lvl>
    <w:lvl w:ilvl="3" w:tplc="F9C249F6" w:tentative="1">
      <w:start w:val="1"/>
      <w:numFmt w:val="decimal"/>
      <w:lvlText w:val="%4."/>
      <w:lvlJc w:val="left"/>
      <w:pPr>
        <w:ind w:left="2880" w:hanging="360"/>
      </w:pPr>
    </w:lvl>
    <w:lvl w:ilvl="4" w:tplc="F4C82930" w:tentative="1">
      <w:start w:val="1"/>
      <w:numFmt w:val="lowerLetter"/>
      <w:lvlText w:val="%5."/>
      <w:lvlJc w:val="left"/>
      <w:pPr>
        <w:ind w:left="3600" w:hanging="360"/>
      </w:pPr>
    </w:lvl>
    <w:lvl w:ilvl="5" w:tplc="8A845288" w:tentative="1">
      <w:start w:val="1"/>
      <w:numFmt w:val="lowerRoman"/>
      <w:lvlText w:val="%6."/>
      <w:lvlJc w:val="right"/>
      <w:pPr>
        <w:ind w:left="4320" w:hanging="180"/>
      </w:pPr>
    </w:lvl>
    <w:lvl w:ilvl="6" w:tplc="BA38A626" w:tentative="1">
      <w:start w:val="1"/>
      <w:numFmt w:val="decimal"/>
      <w:lvlText w:val="%7."/>
      <w:lvlJc w:val="left"/>
      <w:pPr>
        <w:ind w:left="5040" w:hanging="360"/>
      </w:pPr>
    </w:lvl>
    <w:lvl w:ilvl="7" w:tplc="7EA61980" w:tentative="1">
      <w:start w:val="1"/>
      <w:numFmt w:val="lowerLetter"/>
      <w:lvlText w:val="%8."/>
      <w:lvlJc w:val="left"/>
      <w:pPr>
        <w:ind w:left="5760" w:hanging="360"/>
      </w:pPr>
    </w:lvl>
    <w:lvl w:ilvl="8" w:tplc="C602F5F8" w:tentative="1">
      <w:start w:val="1"/>
      <w:numFmt w:val="lowerRoman"/>
      <w:lvlText w:val="%9."/>
      <w:lvlJc w:val="right"/>
      <w:pPr>
        <w:ind w:left="6480" w:hanging="180"/>
      </w:pPr>
    </w:lvl>
  </w:abstractNum>
  <w:abstractNum w:abstractNumId="12" w15:restartNumberingAfterBreak="0">
    <w:nsid w:val="5DBD53C9"/>
    <w:multiLevelType w:val="hybridMultilevel"/>
    <w:tmpl w:val="B142E1EC"/>
    <w:lvl w:ilvl="0" w:tplc="5F1ACB9C">
      <w:start w:val="1"/>
      <w:numFmt w:val="decimal"/>
      <w:lvlText w:val="(%1)"/>
      <w:lvlJc w:val="left"/>
      <w:pPr>
        <w:ind w:left="720" w:hanging="360"/>
      </w:pPr>
      <w:rPr>
        <w:rFonts w:hint="default"/>
      </w:rPr>
    </w:lvl>
    <w:lvl w:ilvl="1" w:tplc="A0EAB91C" w:tentative="1">
      <w:start w:val="1"/>
      <w:numFmt w:val="lowerLetter"/>
      <w:lvlText w:val="%2."/>
      <w:lvlJc w:val="left"/>
      <w:pPr>
        <w:ind w:left="1440" w:hanging="360"/>
      </w:pPr>
    </w:lvl>
    <w:lvl w:ilvl="2" w:tplc="204A3938" w:tentative="1">
      <w:start w:val="1"/>
      <w:numFmt w:val="lowerRoman"/>
      <w:lvlText w:val="%3."/>
      <w:lvlJc w:val="right"/>
      <w:pPr>
        <w:ind w:left="2160" w:hanging="180"/>
      </w:pPr>
    </w:lvl>
    <w:lvl w:ilvl="3" w:tplc="727683BC" w:tentative="1">
      <w:start w:val="1"/>
      <w:numFmt w:val="decimal"/>
      <w:lvlText w:val="%4."/>
      <w:lvlJc w:val="left"/>
      <w:pPr>
        <w:ind w:left="2880" w:hanging="360"/>
      </w:pPr>
    </w:lvl>
    <w:lvl w:ilvl="4" w:tplc="341209AC" w:tentative="1">
      <w:start w:val="1"/>
      <w:numFmt w:val="lowerLetter"/>
      <w:lvlText w:val="%5."/>
      <w:lvlJc w:val="left"/>
      <w:pPr>
        <w:ind w:left="3600" w:hanging="360"/>
      </w:pPr>
    </w:lvl>
    <w:lvl w:ilvl="5" w:tplc="8F74D8C6" w:tentative="1">
      <w:start w:val="1"/>
      <w:numFmt w:val="lowerRoman"/>
      <w:lvlText w:val="%6."/>
      <w:lvlJc w:val="right"/>
      <w:pPr>
        <w:ind w:left="4320" w:hanging="180"/>
      </w:pPr>
    </w:lvl>
    <w:lvl w:ilvl="6" w:tplc="D690F47E" w:tentative="1">
      <w:start w:val="1"/>
      <w:numFmt w:val="decimal"/>
      <w:lvlText w:val="%7."/>
      <w:lvlJc w:val="left"/>
      <w:pPr>
        <w:ind w:left="5040" w:hanging="360"/>
      </w:pPr>
    </w:lvl>
    <w:lvl w:ilvl="7" w:tplc="20DE617C" w:tentative="1">
      <w:start w:val="1"/>
      <w:numFmt w:val="lowerLetter"/>
      <w:lvlText w:val="%8."/>
      <w:lvlJc w:val="left"/>
      <w:pPr>
        <w:ind w:left="5760" w:hanging="360"/>
      </w:pPr>
    </w:lvl>
    <w:lvl w:ilvl="8" w:tplc="34AE4FCA" w:tentative="1">
      <w:start w:val="1"/>
      <w:numFmt w:val="lowerRoman"/>
      <w:lvlText w:val="%9."/>
      <w:lvlJc w:val="right"/>
      <w:pPr>
        <w:ind w:left="6480" w:hanging="180"/>
      </w:pPr>
    </w:lvl>
  </w:abstractNum>
  <w:abstractNum w:abstractNumId="13" w15:restartNumberingAfterBreak="0">
    <w:nsid w:val="607D553B"/>
    <w:multiLevelType w:val="hybridMultilevel"/>
    <w:tmpl w:val="E7F09236"/>
    <w:lvl w:ilvl="0" w:tplc="3AD67C7A">
      <w:start w:val="4"/>
      <w:numFmt w:val="bullet"/>
      <w:lvlText w:val=""/>
      <w:lvlJc w:val="left"/>
      <w:pPr>
        <w:ind w:left="720" w:hanging="360"/>
      </w:pPr>
      <w:rPr>
        <w:rFonts w:ascii="Symbol" w:eastAsia="Times New Roman" w:hAnsi="Symbol" w:cs="Arial" w:hint="default"/>
      </w:rPr>
    </w:lvl>
    <w:lvl w:ilvl="1" w:tplc="F6AE347C" w:tentative="1">
      <w:start w:val="1"/>
      <w:numFmt w:val="bullet"/>
      <w:lvlText w:val="o"/>
      <w:lvlJc w:val="left"/>
      <w:pPr>
        <w:ind w:left="1440" w:hanging="360"/>
      </w:pPr>
      <w:rPr>
        <w:rFonts w:ascii="Courier New" w:hAnsi="Courier New" w:cs="Courier New" w:hint="default"/>
      </w:rPr>
    </w:lvl>
    <w:lvl w:ilvl="2" w:tplc="F7A4D128" w:tentative="1">
      <w:start w:val="1"/>
      <w:numFmt w:val="bullet"/>
      <w:lvlText w:val=""/>
      <w:lvlJc w:val="left"/>
      <w:pPr>
        <w:ind w:left="2160" w:hanging="360"/>
      </w:pPr>
      <w:rPr>
        <w:rFonts w:ascii="Wingdings" w:hAnsi="Wingdings" w:hint="default"/>
      </w:rPr>
    </w:lvl>
    <w:lvl w:ilvl="3" w:tplc="9ED259B4" w:tentative="1">
      <w:start w:val="1"/>
      <w:numFmt w:val="bullet"/>
      <w:lvlText w:val=""/>
      <w:lvlJc w:val="left"/>
      <w:pPr>
        <w:ind w:left="2880" w:hanging="360"/>
      </w:pPr>
      <w:rPr>
        <w:rFonts w:ascii="Symbol" w:hAnsi="Symbol" w:hint="default"/>
      </w:rPr>
    </w:lvl>
    <w:lvl w:ilvl="4" w:tplc="BA8C0F04" w:tentative="1">
      <w:start w:val="1"/>
      <w:numFmt w:val="bullet"/>
      <w:lvlText w:val="o"/>
      <w:lvlJc w:val="left"/>
      <w:pPr>
        <w:ind w:left="3600" w:hanging="360"/>
      </w:pPr>
      <w:rPr>
        <w:rFonts w:ascii="Courier New" w:hAnsi="Courier New" w:cs="Courier New" w:hint="default"/>
      </w:rPr>
    </w:lvl>
    <w:lvl w:ilvl="5" w:tplc="682CC25C" w:tentative="1">
      <w:start w:val="1"/>
      <w:numFmt w:val="bullet"/>
      <w:lvlText w:val=""/>
      <w:lvlJc w:val="left"/>
      <w:pPr>
        <w:ind w:left="4320" w:hanging="360"/>
      </w:pPr>
      <w:rPr>
        <w:rFonts w:ascii="Wingdings" w:hAnsi="Wingdings" w:hint="default"/>
      </w:rPr>
    </w:lvl>
    <w:lvl w:ilvl="6" w:tplc="E8B6128E" w:tentative="1">
      <w:start w:val="1"/>
      <w:numFmt w:val="bullet"/>
      <w:lvlText w:val=""/>
      <w:lvlJc w:val="left"/>
      <w:pPr>
        <w:ind w:left="5040" w:hanging="360"/>
      </w:pPr>
      <w:rPr>
        <w:rFonts w:ascii="Symbol" w:hAnsi="Symbol" w:hint="default"/>
      </w:rPr>
    </w:lvl>
    <w:lvl w:ilvl="7" w:tplc="401841C0" w:tentative="1">
      <w:start w:val="1"/>
      <w:numFmt w:val="bullet"/>
      <w:lvlText w:val="o"/>
      <w:lvlJc w:val="left"/>
      <w:pPr>
        <w:ind w:left="5760" w:hanging="360"/>
      </w:pPr>
      <w:rPr>
        <w:rFonts w:ascii="Courier New" w:hAnsi="Courier New" w:cs="Courier New" w:hint="default"/>
      </w:rPr>
    </w:lvl>
    <w:lvl w:ilvl="8" w:tplc="D4C2A302" w:tentative="1">
      <w:start w:val="1"/>
      <w:numFmt w:val="bullet"/>
      <w:lvlText w:val=""/>
      <w:lvlJc w:val="left"/>
      <w:pPr>
        <w:ind w:left="6480" w:hanging="360"/>
      </w:pPr>
      <w:rPr>
        <w:rFonts w:ascii="Wingdings" w:hAnsi="Wingdings" w:hint="default"/>
      </w:rPr>
    </w:lvl>
  </w:abstractNum>
  <w:abstractNum w:abstractNumId="14" w15:restartNumberingAfterBreak="0">
    <w:nsid w:val="67932F65"/>
    <w:multiLevelType w:val="hybridMultilevel"/>
    <w:tmpl w:val="B2088012"/>
    <w:lvl w:ilvl="0" w:tplc="7F707016">
      <w:start w:val="1"/>
      <w:numFmt w:val="decimal"/>
      <w:lvlText w:val="(%1)"/>
      <w:lvlJc w:val="left"/>
      <w:pPr>
        <w:ind w:left="720" w:hanging="360"/>
      </w:pPr>
      <w:rPr>
        <w:rFonts w:hint="default"/>
      </w:rPr>
    </w:lvl>
    <w:lvl w:ilvl="1" w:tplc="72ACB226">
      <w:start w:val="6"/>
      <w:numFmt w:val="lowerLetter"/>
      <w:lvlText w:val="(%2)"/>
      <w:lvlJc w:val="left"/>
      <w:pPr>
        <w:ind w:left="1440" w:hanging="360"/>
      </w:pPr>
      <w:rPr>
        <w:rFonts w:hint="default"/>
      </w:rPr>
    </w:lvl>
    <w:lvl w:ilvl="2" w:tplc="EEC80094" w:tentative="1">
      <w:start w:val="1"/>
      <w:numFmt w:val="lowerRoman"/>
      <w:lvlText w:val="%3."/>
      <w:lvlJc w:val="right"/>
      <w:pPr>
        <w:ind w:left="2160" w:hanging="180"/>
      </w:pPr>
    </w:lvl>
    <w:lvl w:ilvl="3" w:tplc="66EE486A" w:tentative="1">
      <w:start w:val="1"/>
      <w:numFmt w:val="decimal"/>
      <w:lvlText w:val="%4."/>
      <w:lvlJc w:val="left"/>
      <w:pPr>
        <w:ind w:left="2880" w:hanging="360"/>
      </w:pPr>
    </w:lvl>
    <w:lvl w:ilvl="4" w:tplc="7A4071D6" w:tentative="1">
      <w:start w:val="1"/>
      <w:numFmt w:val="lowerLetter"/>
      <w:lvlText w:val="%5."/>
      <w:lvlJc w:val="left"/>
      <w:pPr>
        <w:ind w:left="3600" w:hanging="360"/>
      </w:pPr>
    </w:lvl>
    <w:lvl w:ilvl="5" w:tplc="971C9E74" w:tentative="1">
      <w:start w:val="1"/>
      <w:numFmt w:val="lowerRoman"/>
      <w:lvlText w:val="%6."/>
      <w:lvlJc w:val="right"/>
      <w:pPr>
        <w:ind w:left="4320" w:hanging="180"/>
      </w:pPr>
    </w:lvl>
    <w:lvl w:ilvl="6" w:tplc="44C6D428" w:tentative="1">
      <w:start w:val="1"/>
      <w:numFmt w:val="decimal"/>
      <w:lvlText w:val="%7."/>
      <w:lvlJc w:val="left"/>
      <w:pPr>
        <w:ind w:left="5040" w:hanging="360"/>
      </w:pPr>
    </w:lvl>
    <w:lvl w:ilvl="7" w:tplc="7FF2C4D0" w:tentative="1">
      <w:start w:val="1"/>
      <w:numFmt w:val="lowerLetter"/>
      <w:lvlText w:val="%8."/>
      <w:lvlJc w:val="left"/>
      <w:pPr>
        <w:ind w:left="5760" w:hanging="360"/>
      </w:pPr>
    </w:lvl>
    <w:lvl w:ilvl="8" w:tplc="0F0CC504" w:tentative="1">
      <w:start w:val="1"/>
      <w:numFmt w:val="lowerRoman"/>
      <w:lvlText w:val="%9."/>
      <w:lvlJc w:val="right"/>
      <w:pPr>
        <w:ind w:left="6480" w:hanging="180"/>
      </w:pPr>
    </w:lvl>
  </w:abstractNum>
  <w:abstractNum w:abstractNumId="15" w15:restartNumberingAfterBreak="0">
    <w:nsid w:val="76060C90"/>
    <w:multiLevelType w:val="hybridMultilevel"/>
    <w:tmpl w:val="246208DE"/>
    <w:lvl w:ilvl="0" w:tplc="04627802">
      <w:start w:val="1"/>
      <w:numFmt w:val="bullet"/>
      <w:pStyle w:val="Bullet"/>
      <w:lvlText w:val=""/>
      <w:lvlJc w:val="left"/>
      <w:pPr>
        <w:tabs>
          <w:tab w:val="num" w:pos="1080"/>
        </w:tabs>
        <w:ind w:left="1080" w:hanging="360"/>
      </w:pPr>
      <w:rPr>
        <w:rFonts w:ascii="Symbol" w:hAnsi="Symbol" w:hint="default"/>
      </w:rPr>
    </w:lvl>
    <w:lvl w:ilvl="1" w:tplc="62D6405E" w:tentative="1">
      <w:start w:val="1"/>
      <w:numFmt w:val="bullet"/>
      <w:lvlText w:val="o"/>
      <w:lvlJc w:val="left"/>
      <w:pPr>
        <w:tabs>
          <w:tab w:val="num" w:pos="1800"/>
        </w:tabs>
        <w:ind w:left="1800" w:hanging="360"/>
      </w:pPr>
      <w:rPr>
        <w:rFonts w:ascii="Courier New" w:hAnsi="Courier New" w:hint="default"/>
      </w:rPr>
    </w:lvl>
    <w:lvl w:ilvl="2" w:tplc="B88C7FCA" w:tentative="1">
      <w:start w:val="1"/>
      <w:numFmt w:val="bullet"/>
      <w:lvlText w:val=""/>
      <w:lvlJc w:val="left"/>
      <w:pPr>
        <w:tabs>
          <w:tab w:val="num" w:pos="2520"/>
        </w:tabs>
        <w:ind w:left="2520" w:hanging="360"/>
      </w:pPr>
      <w:rPr>
        <w:rFonts w:ascii="Wingdings" w:hAnsi="Wingdings" w:hint="default"/>
      </w:rPr>
    </w:lvl>
    <w:lvl w:ilvl="3" w:tplc="E528BCA4" w:tentative="1">
      <w:start w:val="1"/>
      <w:numFmt w:val="bullet"/>
      <w:lvlText w:val=""/>
      <w:lvlJc w:val="left"/>
      <w:pPr>
        <w:tabs>
          <w:tab w:val="num" w:pos="3240"/>
        </w:tabs>
        <w:ind w:left="3240" w:hanging="360"/>
      </w:pPr>
      <w:rPr>
        <w:rFonts w:ascii="Symbol" w:hAnsi="Symbol" w:hint="default"/>
      </w:rPr>
    </w:lvl>
    <w:lvl w:ilvl="4" w:tplc="83247E32" w:tentative="1">
      <w:start w:val="1"/>
      <w:numFmt w:val="bullet"/>
      <w:lvlText w:val="o"/>
      <w:lvlJc w:val="left"/>
      <w:pPr>
        <w:tabs>
          <w:tab w:val="num" w:pos="3960"/>
        </w:tabs>
        <w:ind w:left="3960" w:hanging="360"/>
      </w:pPr>
      <w:rPr>
        <w:rFonts w:ascii="Courier New" w:hAnsi="Courier New" w:hint="default"/>
      </w:rPr>
    </w:lvl>
    <w:lvl w:ilvl="5" w:tplc="B2747ECC" w:tentative="1">
      <w:start w:val="1"/>
      <w:numFmt w:val="bullet"/>
      <w:lvlText w:val=""/>
      <w:lvlJc w:val="left"/>
      <w:pPr>
        <w:tabs>
          <w:tab w:val="num" w:pos="4680"/>
        </w:tabs>
        <w:ind w:left="4680" w:hanging="360"/>
      </w:pPr>
      <w:rPr>
        <w:rFonts w:ascii="Wingdings" w:hAnsi="Wingdings" w:hint="default"/>
      </w:rPr>
    </w:lvl>
    <w:lvl w:ilvl="6" w:tplc="F9049C6E" w:tentative="1">
      <w:start w:val="1"/>
      <w:numFmt w:val="bullet"/>
      <w:lvlText w:val=""/>
      <w:lvlJc w:val="left"/>
      <w:pPr>
        <w:tabs>
          <w:tab w:val="num" w:pos="5400"/>
        </w:tabs>
        <w:ind w:left="5400" w:hanging="360"/>
      </w:pPr>
      <w:rPr>
        <w:rFonts w:ascii="Symbol" w:hAnsi="Symbol" w:hint="default"/>
      </w:rPr>
    </w:lvl>
    <w:lvl w:ilvl="7" w:tplc="9BBE52E4" w:tentative="1">
      <w:start w:val="1"/>
      <w:numFmt w:val="bullet"/>
      <w:lvlText w:val="o"/>
      <w:lvlJc w:val="left"/>
      <w:pPr>
        <w:tabs>
          <w:tab w:val="num" w:pos="6120"/>
        </w:tabs>
        <w:ind w:left="6120" w:hanging="360"/>
      </w:pPr>
      <w:rPr>
        <w:rFonts w:ascii="Courier New" w:hAnsi="Courier New" w:hint="default"/>
      </w:rPr>
    </w:lvl>
    <w:lvl w:ilvl="8" w:tplc="7592BF3A"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460AB2"/>
    <w:multiLevelType w:val="hybridMultilevel"/>
    <w:tmpl w:val="5462C00E"/>
    <w:lvl w:ilvl="0" w:tplc="35821568">
      <w:start w:val="1"/>
      <w:numFmt w:val="decimal"/>
      <w:lvlText w:val="%1."/>
      <w:lvlJc w:val="left"/>
      <w:pPr>
        <w:ind w:left="720" w:hanging="360"/>
      </w:pPr>
    </w:lvl>
    <w:lvl w:ilvl="1" w:tplc="B67E7814">
      <w:start w:val="1"/>
      <w:numFmt w:val="lowerLetter"/>
      <w:lvlText w:val="%2."/>
      <w:lvlJc w:val="left"/>
      <w:pPr>
        <w:ind w:left="1440" w:hanging="360"/>
      </w:pPr>
      <w:rPr>
        <w:rFonts w:hint="default"/>
        <w:b w:val="0"/>
      </w:rPr>
    </w:lvl>
    <w:lvl w:ilvl="2" w:tplc="F738EBF4">
      <w:start w:val="1"/>
      <w:numFmt w:val="lowerRoman"/>
      <w:lvlText w:val="%3."/>
      <w:lvlJc w:val="right"/>
      <w:pPr>
        <w:ind w:left="2160" w:hanging="180"/>
      </w:pPr>
    </w:lvl>
    <w:lvl w:ilvl="3" w:tplc="9E325230" w:tentative="1">
      <w:start w:val="1"/>
      <w:numFmt w:val="decimal"/>
      <w:lvlText w:val="%4."/>
      <w:lvlJc w:val="left"/>
      <w:pPr>
        <w:ind w:left="2880" w:hanging="360"/>
      </w:pPr>
    </w:lvl>
    <w:lvl w:ilvl="4" w:tplc="7B223982" w:tentative="1">
      <w:start w:val="1"/>
      <w:numFmt w:val="lowerLetter"/>
      <w:lvlText w:val="%5."/>
      <w:lvlJc w:val="left"/>
      <w:pPr>
        <w:ind w:left="3600" w:hanging="360"/>
      </w:pPr>
    </w:lvl>
    <w:lvl w:ilvl="5" w:tplc="8D86E410" w:tentative="1">
      <w:start w:val="1"/>
      <w:numFmt w:val="lowerRoman"/>
      <w:lvlText w:val="%6."/>
      <w:lvlJc w:val="right"/>
      <w:pPr>
        <w:ind w:left="4320" w:hanging="180"/>
      </w:pPr>
    </w:lvl>
    <w:lvl w:ilvl="6" w:tplc="BCE2E3C4" w:tentative="1">
      <w:start w:val="1"/>
      <w:numFmt w:val="decimal"/>
      <w:lvlText w:val="%7."/>
      <w:lvlJc w:val="left"/>
      <w:pPr>
        <w:ind w:left="5040" w:hanging="360"/>
      </w:pPr>
    </w:lvl>
    <w:lvl w:ilvl="7" w:tplc="94505A4A" w:tentative="1">
      <w:start w:val="1"/>
      <w:numFmt w:val="lowerLetter"/>
      <w:lvlText w:val="%8."/>
      <w:lvlJc w:val="left"/>
      <w:pPr>
        <w:ind w:left="5760" w:hanging="360"/>
      </w:pPr>
    </w:lvl>
    <w:lvl w:ilvl="8" w:tplc="315050E0" w:tentative="1">
      <w:start w:val="1"/>
      <w:numFmt w:val="lowerRoman"/>
      <w:lvlText w:val="%9."/>
      <w:lvlJc w:val="right"/>
      <w:pPr>
        <w:ind w:left="6480" w:hanging="180"/>
      </w:pPr>
    </w:lvl>
  </w:abstractNum>
  <w:num w:numId="1" w16cid:durableId="2097170062">
    <w:abstractNumId w:val="0"/>
  </w:num>
  <w:num w:numId="2" w16cid:durableId="1831631955">
    <w:abstractNumId w:val="15"/>
  </w:num>
  <w:num w:numId="3" w16cid:durableId="1383138995">
    <w:abstractNumId w:val="16"/>
  </w:num>
  <w:num w:numId="4" w16cid:durableId="868570823">
    <w:abstractNumId w:val="12"/>
  </w:num>
  <w:num w:numId="5" w16cid:durableId="1663121966">
    <w:abstractNumId w:val="11"/>
  </w:num>
  <w:num w:numId="6" w16cid:durableId="1014116880">
    <w:abstractNumId w:val="5"/>
  </w:num>
  <w:num w:numId="7" w16cid:durableId="1282540764">
    <w:abstractNumId w:val="3"/>
  </w:num>
  <w:num w:numId="8" w16cid:durableId="161285570">
    <w:abstractNumId w:val="6"/>
  </w:num>
  <w:num w:numId="9" w16cid:durableId="1843738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559148">
    <w:abstractNumId w:val="2"/>
  </w:num>
  <w:num w:numId="11" w16cid:durableId="20297155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4651197">
    <w:abstractNumId w:val="8"/>
  </w:num>
  <w:num w:numId="13" w16cid:durableId="826630923">
    <w:abstractNumId w:val="1"/>
  </w:num>
  <w:num w:numId="14" w16cid:durableId="327756133">
    <w:abstractNumId w:val="9"/>
  </w:num>
  <w:num w:numId="15" w16cid:durableId="1926722091">
    <w:abstractNumId w:val="13"/>
  </w:num>
  <w:num w:numId="16" w16cid:durableId="1026760329">
    <w:abstractNumId w:val="14"/>
  </w:num>
  <w:num w:numId="17" w16cid:durableId="1381246208">
    <w:abstractNumId w:val="4"/>
  </w:num>
  <w:num w:numId="18" w16cid:durableId="472334228">
    <w:abstractNumId w:val="10"/>
  </w:num>
  <w:num w:numId="19" w16cid:durableId="1586108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1A227D"/>
    <w:rsid w:val="00000054"/>
    <w:rsid w:val="00003A39"/>
    <w:rsid w:val="0001109E"/>
    <w:rsid w:val="00012DA5"/>
    <w:rsid w:val="0002450E"/>
    <w:rsid w:val="0002703C"/>
    <w:rsid w:val="0003401B"/>
    <w:rsid w:val="00037668"/>
    <w:rsid w:val="00042B82"/>
    <w:rsid w:val="0004547D"/>
    <w:rsid w:val="00047888"/>
    <w:rsid w:val="00053DAC"/>
    <w:rsid w:val="00060FF6"/>
    <w:rsid w:val="00073309"/>
    <w:rsid w:val="00075A94"/>
    <w:rsid w:val="00080464"/>
    <w:rsid w:val="0008098B"/>
    <w:rsid w:val="0008162E"/>
    <w:rsid w:val="00081E47"/>
    <w:rsid w:val="00091905"/>
    <w:rsid w:val="00091998"/>
    <w:rsid w:val="000A1ACC"/>
    <w:rsid w:val="000A5B1F"/>
    <w:rsid w:val="000A5E19"/>
    <w:rsid w:val="000A6F73"/>
    <w:rsid w:val="000A772C"/>
    <w:rsid w:val="000B038C"/>
    <w:rsid w:val="000C147F"/>
    <w:rsid w:val="000C3321"/>
    <w:rsid w:val="000C573E"/>
    <w:rsid w:val="000D172E"/>
    <w:rsid w:val="000D5E22"/>
    <w:rsid w:val="000D7AA6"/>
    <w:rsid w:val="000E52FE"/>
    <w:rsid w:val="000F302C"/>
    <w:rsid w:val="000F3599"/>
    <w:rsid w:val="000F4D7C"/>
    <w:rsid w:val="001039CA"/>
    <w:rsid w:val="0010763A"/>
    <w:rsid w:val="0011141A"/>
    <w:rsid w:val="00114208"/>
    <w:rsid w:val="00115C61"/>
    <w:rsid w:val="001219CA"/>
    <w:rsid w:val="00127B9C"/>
    <w:rsid w:val="0013206C"/>
    <w:rsid w:val="00132855"/>
    <w:rsid w:val="00136F57"/>
    <w:rsid w:val="00140999"/>
    <w:rsid w:val="00146F95"/>
    <w:rsid w:val="0014732A"/>
    <w:rsid w:val="00151D74"/>
    <w:rsid w:val="00152993"/>
    <w:rsid w:val="00155375"/>
    <w:rsid w:val="00161AEA"/>
    <w:rsid w:val="00166165"/>
    <w:rsid w:val="00166477"/>
    <w:rsid w:val="001672CC"/>
    <w:rsid w:val="00170297"/>
    <w:rsid w:val="00171A46"/>
    <w:rsid w:val="001775A0"/>
    <w:rsid w:val="00177C3F"/>
    <w:rsid w:val="0018447B"/>
    <w:rsid w:val="0019239E"/>
    <w:rsid w:val="00194DB7"/>
    <w:rsid w:val="001961EA"/>
    <w:rsid w:val="001A078E"/>
    <w:rsid w:val="001A227D"/>
    <w:rsid w:val="001A3FAA"/>
    <w:rsid w:val="001B1CE8"/>
    <w:rsid w:val="001B1D23"/>
    <w:rsid w:val="001B7815"/>
    <w:rsid w:val="001C31A2"/>
    <w:rsid w:val="001C52ED"/>
    <w:rsid w:val="001D7879"/>
    <w:rsid w:val="001E2032"/>
    <w:rsid w:val="001E2C21"/>
    <w:rsid w:val="001E5531"/>
    <w:rsid w:val="001E7197"/>
    <w:rsid w:val="001E7A54"/>
    <w:rsid w:val="001F7F57"/>
    <w:rsid w:val="00200849"/>
    <w:rsid w:val="00202CB5"/>
    <w:rsid w:val="00204F72"/>
    <w:rsid w:val="00206B85"/>
    <w:rsid w:val="00207B8E"/>
    <w:rsid w:val="002114F2"/>
    <w:rsid w:val="00211F88"/>
    <w:rsid w:val="0021240D"/>
    <w:rsid w:val="00212DED"/>
    <w:rsid w:val="00213F54"/>
    <w:rsid w:val="00220ABD"/>
    <w:rsid w:val="00221E4B"/>
    <w:rsid w:val="00232125"/>
    <w:rsid w:val="00234012"/>
    <w:rsid w:val="00245402"/>
    <w:rsid w:val="0025304B"/>
    <w:rsid w:val="00253446"/>
    <w:rsid w:val="00256D6E"/>
    <w:rsid w:val="00260FD7"/>
    <w:rsid w:val="0026219B"/>
    <w:rsid w:val="00266019"/>
    <w:rsid w:val="00277681"/>
    <w:rsid w:val="002807BB"/>
    <w:rsid w:val="00280BCC"/>
    <w:rsid w:val="00290526"/>
    <w:rsid w:val="00290F57"/>
    <w:rsid w:val="0029406B"/>
    <w:rsid w:val="00297DDC"/>
    <w:rsid w:val="00297EAC"/>
    <w:rsid w:val="002A468F"/>
    <w:rsid w:val="002A57FB"/>
    <w:rsid w:val="002B560C"/>
    <w:rsid w:val="002B57A6"/>
    <w:rsid w:val="002B64FE"/>
    <w:rsid w:val="002C66BA"/>
    <w:rsid w:val="002D0FD0"/>
    <w:rsid w:val="002D18C6"/>
    <w:rsid w:val="002D3345"/>
    <w:rsid w:val="002D3753"/>
    <w:rsid w:val="002D3E21"/>
    <w:rsid w:val="002D7158"/>
    <w:rsid w:val="002E058B"/>
    <w:rsid w:val="002E15E7"/>
    <w:rsid w:val="002E4F91"/>
    <w:rsid w:val="002F1A84"/>
    <w:rsid w:val="003010C0"/>
    <w:rsid w:val="00302F45"/>
    <w:rsid w:val="00306E15"/>
    <w:rsid w:val="00312762"/>
    <w:rsid w:val="00313CF0"/>
    <w:rsid w:val="0031436C"/>
    <w:rsid w:val="00315003"/>
    <w:rsid w:val="00317CF2"/>
    <w:rsid w:val="0032613F"/>
    <w:rsid w:val="00330A21"/>
    <w:rsid w:val="00332A97"/>
    <w:rsid w:val="00344EFC"/>
    <w:rsid w:val="003459CF"/>
    <w:rsid w:val="00350AF0"/>
    <w:rsid w:val="00350C00"/>
    <w:rsid w:val="00351452"/>
    <w:rsid w:val="0035184F"/>
    <w:rsid w:val="00353FD6"/>
    <w:rsid w:val="0035466B"/>
    <w:rsid w:val="003561CD"/>
    <w:rsid w:val="003568E9"/>
    <w:rsid w:val="00361FEF"/>
    <w:rsid w:val="00366113"/>
    <w:rsid w:val="00377216"/>
    <w:rsid w:val="00377D2A"/>
    <w:rsid w:val="00377DEC"/>
    <w:rsid w:val="00387BC8"/>
    <w:rsid w:val="00390A98"/>
    <w:rsid w:val="00391770"/>
    <w:rsid w:val="003931E9"/>
    <w:rsid w:val="003941A4"/>
    <w:rsid w:val="003A3F27"/>
    <w:rsid w:val="003A5DA9"/>
    <w:rsid w:val="003B0077"/>
    <w:rsid w:val="003B3E20"/>
    <w:rsid w:val="003C270C"/>
    <w:rsid w:val="003C3007"/>
    <w:rsid w:val="003C41E6"/>
    <w:rsid w:val="003C437E"/>
    <w:rsid w:val="003C5CCF"/>
    <w:rsid w:val="003D0994"/>
    <w:rsid w:val="003D3B77"/>
    <w:rsid w:val="003E0616"/>
    <w:rsid w:val="003E1984"/>
    <w:rsid w:val="003E2AB5"/>
    <w:rsid w:val="003E3A86"/>
    <w:rsid w:val="003E3E23"/>
    <w:rsid w:val="003E6CF2"/>
    <w:rsid w:val="003E6DBC"/>
    <w:rsid w:val="003E708F"/>
    <w:rsid w:val="004010D7"/>
    <w:rsid w:val="00410438"/>
    <w:rsid w:val="004137D2"/>
    <w:rsid w:val="00414809"/>
    <w:rsid w:val="00414D58"/>
    <w:rsid w:val="00422382"/>
    <w:rsid w:val="00423824"/>
    <w:rsid w:val="00425059"/>
    <w:rsid w:val="00425162"/>
    <w:rsid w:val="004311FF"/>
    <w:rsid w:val="00434BF2"/>
    <w:rsid w:val="0043567D"/>
    <w:rsid w:val="00436C28"/>
    <w:rsid w:val="00437DDC"/>
    <w:rsid w:val="00437FAF"/>
    <w:rsid w:val="004413CF"/>
    <w:rsid w:val="00452605"/>
    <w:rsid w:val="00453C33"/>
    <w:rsid w:val="00461E83"/>
    <w:rsid w:val="004664D2"/>
    <w:rsid w:val="00466802"/>
    <w:rsid w:val="00467ACC"/>
    <w:rsid w:val="00481350"/>
    <w:rsid w:val="00484099"/>
    <w:rsid w:val="00492654"/>
    <w:rsid w:val="00497EAF"/>
    <w:rsid w:val="004A0096"/>
    <w:rsid w:val="004B3073"/>
    <w:rsid w:val="004B5011"/>
    <w:rsid w:val="004B7B90"/>
    <w:rsid w:val="004D09C6"/>
    <w:rsid w:val="004E0E23"/>
    <w:rsid w:val="004E2C19"/>
    <w:rsid w:val="004E31BD"/>
    <w:rsid w:val="004E5197"/>
    <w:rsid w:val="004E5E48"/>
    <w:rsid w:val="004E6167"/>
    <w:rsid w:val="00502CB7"/>
    <w:rsid w:val="00503239"/>
    <w:rsid w:val="0050394D"/>
    <w:rsid w:val="00505F7D"/>
    <w:rsid w:val="0050768D"/>
    <w:rsid w:val="0051232E"/>
    <w:rsid w:val="0051397B"/>
    <w:rsid w:val="0051635E"/>
    <w:rsid w:val="005164D4"/>
    <w:rsid w:val="005177E6"/>
    <w:rsid w:val="00522F22"/>
    <w:rsid w:val="005233DC"/>
    <w:rsid w:val="00523949"/>
    <w:rsid w:val="005264C9"/>
    <w:rsid w:val="00527A92"/>
    <w:rsid w:val="00534B88"/>
    <w:rsid w:val="00535A7A"/>
    <w:rsid w:val="005361F2"/>
    <w:rsid w:val="0054231A"/>
    <w:rsid w:val="005444C7"/>
    <w:rsid w:val="00544F7C"/>
    <w:rsid w:val="00561132"/>
    <w:rsid w:val="005661EB"/>
    <w:rsid w:val="00566DCD"/>
    <w:rsid w:val="00571E8B"/>
    <w:rsid w:val="00577531"/>
    <w:rsid w:val="00585E72"/>
    <w:rsid w:val="00586842"/>
    <w:rsid w:val="00591857"/>
    <w:rsid w:val="00592476"/>
    <w:rsid w:val="00594B69"/>
    <w:rsid w:val="005964E5"/>
    <w:rsid w:val="005A1ED7"/>
    <w:rsid w:val="005A2AC6"/>
    <w:rsid w:val="005B35EE"/>
    <w:rsid w:val="005B36E0"/>
    <w:rsid w:val="005B560C"/>
    <w:rsid w:val="005C16D6"/>
    <w:rsid w:val="005C7153"/>
    <w:rsid w:val="005D284C"/>
    <w:rsid w:val="005D2CB5"/>
    <w:rsid w:val="005D5B94"/>
    <w:rsid w:val="005E388E"/>
    <w:rsid w:val="005F3FED"/>
    <w:rsid w:val="005F40C4"/>
    <w:rsid w:val="005F5B4E"/>
    <w:rsid w:val="00604512"/>
    <w:rsid w:val="0061075C"/>
    <w:rsid w:val="00612C67"/>
    <w:rsid w:val="00613C5F"/>
    <w:rsid w:val="0063015D"/>
    <w:rsid w:val="00633E23"/>
    <w:rsid w:val="00645CFC"/>
    <w:rsid w:val="00646350"/>
    <w:rsid w:val="0065178C"/>
    <w:rsid w:val="00656323"/>
    <w:rsid w:val="00661110"/>
    <w:rsid w:val="00661360"/>
    <w:rsid w:val="006623D8"/>
    <w:rsid w:val="006679F8"/>
    <w:rsid w:val="00671C43"/>
    <w:rsid w:val="00673B94"/>
    <w:rsid w:val="00677438"/>
    <w:rsid w:val="00680AC6"/>
    <w:rsid w:val="00680D9C"/>
    <w:rsid w:val="0068169A"/>
    <w:rsid w:val="006835D8"/>
    <w:rsid w:val="00684917"/>
    <w:rsid w:val="00686A17"/>
    <w:rsid w:val="00687570"/>
    <w:rsid w:val="00693390"/>
    <w:rsid w:val="006939CE"/>
    <w:rsid w:val="00697626"/>
    <w:rsid w:val="006B1026"/>
    <w:rsid w:val="006B1E8C"/>
    <w:rsid w:val="006B2BF3"/>
    <w:rsid w:val="006B3964"/>
    <w:rsid w:val="006B4272"/>
    <w:rsid w:val="006C0355"/>
    <w:rsid w:val="006C1FAD"/>
    <w:rsid w:val="006C316E"/>
    <w:rsid w:val="006C4FEA"/>
    <w:rsid w:val="006C7907"/>
    <w:rsid w:val="006D0F7C"/>
    <w:rsid w:val="006D5DA7"/>
    <w:rsid w:val="006E3C43"/>
    <w:rsid w:val="006E6E64"/>
    <w:rsid w:val="006E717F"/>
    <w:rsid w:val="006E7E12"/>
    <w:rsid w:val="006F43D1"/>
    <w:rsid w:val="006F7161"/>
    <w:rsid w:val="007015B3"/>
    <w:rsid w:val="007120BC"/>
    <w:rsid w:val="00713282"/>
    <w:rsid w:val="00716B92"/>
    <w:rsid w:val="0072015B"/>
    <w:rsid w:val="00725E92"/>
    <w:rsid w:val="0072682D"/>
    <w:rsid w:val="007269C4"/>
    <w:rsid w:val="00731F04"/>
    <w:rsid w:val="00733AD5"/>
    <w:rsid w:val="00734CAA"/>
    <w:rsid w:val="00740D24"/>
    <w:rsid w:val="0074209E"/>
    <w:rsid w:val="00743759"/>
    <w:rsid w:val="0074384D"/>
    <w:rsid w:val="00744E33"/>
    <w:rsid w:val="00745AE9"/>
    <w:rsid w:val="00753FE3"/>
    <w:rsid w:val="0076237D"/>
    <w:rsid w:val="007676C5"/>
    <w:rsid w:val="00767F29"/>
    <w:rsid w:val="007865D5"/>
    <w:rsid w:val="007902E5"/>
    <w:rsid w:val="007A1539"/>
    <w:rsid w:val="007A1CB9"/>
    <w:rsid w:val="007A51A1"/>
    <w:rsid w:val="007B2B38"/>
    <w:rsid w:val="007B7AEF"/>
    <w:rsid w:val="007C0AF8"/>
    <w:rsid w:val="007C51AC"/>
    <w:rsid w:val="007D20CC"/>
    <w:rsid w:val="007D75D5"/>
    <w:rsid w:val="007E0F83"/>
    <w:rsid w:val="007E222D"/>
    <w:rsid w:val="007E3ABB"/>
    <w:rsid w:val="007E3C4E"/>
    <w:rsid w:val="007F2CA8"/>
    <w:rsid w:val="007F7161"/>
    <w:rsid w:val="00802984"/>
    <w:rsid w:val="008033DC"/>
    <w:rsid w:val="00806F83"/>
    <w:rsid w:val="00811C90"/>
    <w:rsid w:val="00813B5B"/>
    <w:rsid w:val="0081595A"/>
    <w:rsid w:val="0081722C"/>
    <w:rsid w:val="0082090B"/>
    <w:rsid w:val="008222E5"/>
    <w:rsid w:val="00823BB0"/>
    <w:rsid w:val="00832E2F"/>
    <w:rsid w:val="0084654A"/>
    <w:rsid w:val="008465CF"/>
    <w:rsid w:val="0085559E"/>
    <w:rsid w:val="00856754"/>
    <w:rsid w:val="0086451E"/>
    <w:rsid w:val="008662E2"/>
    <w:rsid w:val="008700D4"/>
    <w:rsid w:val="00871582"/>
    <w:rsid w:val="00873691"/>
    <w:rsid w:val="00874DDB"/>
    <w:rsid w:val="00883676"/>
    <w:rsid w:val="00883CCC"/>
    <w:rsid w:val="0088629D"/>
    <w:rsid w:val="008867A4"/>
    <w:rsid w:val="008876C1"/>
    <w:rsid w:val="00896B1B"/>
    <w:rsid w:val="008A0685"/>
    <w:rsid w:val="008A3347"/>
    <w:rsid w:val="008A371D"/>
    <w:rsid w:val="008A58D8"/>
    <w:rsid w:val="008B19DA"/>
    <w:rsid w:val="008B5C99"/>
    <w:rsid w:val="008C2560"/>
    <w:rsid w:val="008E1EE4"/>
    <w:rsid w:val="008E2FE1"/>
    <w:rsid w:val="008E559E"/>
    <w:rsid w:val="008E5D3F"/>
    <w:rsid w:val="008F3B03"/>
    <w:rsid w:val="008F66F8"/>
    <w:rsid w:val="008F6BC1"/>
    <w:rsid w:val="008F75D7"/>
    <w:rsid w:val="008F7626"/>
    <w:rsid w:val="009006E0"/>
    <w:rsid w:val="00903A0F"/>
    <w:rsid w:val="0091015C"/>
    <w:rsid w:val="00914B74"/>
    <w:rsid w:val="00916080"/>
    <w:rsid w:val="00917BD6"/>
    <w:rsid w:val="00921A25"/>
    <w:rsid w:val="00921A68"/>
    <w:rsid w:val="0092233A"/>
    <w:rsid w:val="009227EF"/>
    <w:rsid w:val="00922E7A"/>
    <w:rsid w:val="00923848"/>
    <w:rsid w:val="00926F36"/>
    <w:rsid w:val="009308BC"/>
    <w:rsid w:val="00930FCB"/>
    <w:rsid w:val="0093149B"/>
    <w:rsid w:val="0093171A"/>
    <w:rsid w:val="00932DC0"/>
    <w:rsid w:val="00934B4B"/>
    <w:rsid w:val="00934EAC"/>
    <w:rsid w:val="009354A4"/>
    <w:rsid w:val="00936BB8"/>
    <w:rsid w:val="00950D8A"/>
    <w:rsid w:val="009562AD"/>
    <w:rsid w:val="0096287F"/>
    <w:rsid w:val="009630A5"/>
    <w:rsid w:val="00964223"/>
    <w:rsid w:val="00965CD6"/>
    <w:rsid w:val="00972B1C"/>
    <w:rsid w:val="00986ACF"/>
    <w:rsid w:val="00993461"/>
    <w:rsid w:val="009A12BC"/>
    <w:rsid w:val="009C35BE"/>
    <w:rsid w:val="009C7FD0"/>
    <w:rsid w:val="009D0D06"/>
    <w:rsid w:val="009D10CB"/>
    <w:rsid w:val="009D1C08"/>
    <w:rsid w:val="009D260F"/>
    <w:rsid w:val="009D31B3"/>
    <w:rsid w:val="009D36B6"/>
    <w:rsid w:val="009D40B9"/>
    <w:rsid w:val="009D4443"/>
    <w:rsid w:val="009D5851"/>
    <w:rsid w:val="009D68B0"/>
    <w:rsid w:val="009E1E6D"/>
    <w:rsid w:val="009E5A5A"/>
    <w:rsid w:val="009E6809"/>
    <w:rsid w:val="009F07FF"/>
    <w:rsid w:val="009F0AD7"/>
    <w:rsid w:val="009F372F"/>
    <w:rsid w:val="00A015C4"/>
    <w:rsid w:val="00A01F5E"/>
    <w:rsid w:val="00A07F6D"/>
    <w:rsid w:val="00A15172"/>
    <w:rsid w:val="00A17E6B"/>
    <w:rsid w:val="00A20081"/>
    <w:rsid w:val="00A24EDD"/>
    <w:rsid w:val="00A300AB"/>
    <w:rsid w:val="00A31127"/>
    <w:rsid w:val="00A332BB"/>
    <w:rsid w:val="00A417D2"/>
    <w:rsid w:val="00A45D99"/>
    <w:rsid w:val="00A46E01"/>
    <w:rsid w:val="00A47902"/>
    <w:rsid w:val="00A47AC2"/>
    <w:rsid w:val="00A52C60"/>
    <w:rsid w:val="00A567BB"/>
    <w:rsid w:val="00A56B77"/>
    <w:rsid w:val="00A729D5"/>
    <w:rsid w:val="00A75D95"/>
    <w:rsid w:val="00A773B3"/>
    <w:rsid w:val="00A806CE"/>
    <w:rsid w:val="00A8073C"/>
    <w:rsid w:val="00A848C1"/>
    <w:rsid w:val="00A870E8"/>
    <w:rsid w:val="00A87EDB"/>
    <w:rsid w:val="00A97AB9"/>
    <w:rsid w:val="00A97E29"/>
    <w:rsid w:val="00AA4AAB"/>
    <w:rsid w:val="00AA6498"/>
    <w:rsid w:val="00AB0CA5"/>
    <w:rsid w:val="00AD165F"/>
    <w:rsid w:val="00AD18F6"/>
    <w:rsid w:val="00AD1CCD"/>
    <w:rsid w:val="00AD3C14"/>
    <w:rsid w:val="00AD5B3B"/>
    <w:rsid w:val="00AD7E53"/>
    <w:rsid w:val="00AE18AE"/>
    <w:rsid w:val="00AE3190"/>
    <w:rsid w:val="00AE3610"/>
    <w:rsid w:val="00AE7608"/>
    <w:rsid w:val="00AF39A9"/>
    <w:rsid w:val="00B034A5"/>
    <w:rsid w:val="00B105DF"/>
    <w:rsid w:val="00B11B08"/>
    <w:rsid w:val="00B126D0"/>
    <w:rsid w:val="00B1330A"/>
    <w:rsid w:val="00B13F46"/>
    <w:rsid w:val="00B15822"/>
    <w:rsid w:val="00B15BA1"/>
    <w:rsid w:val="00B31208"/>
    <w:rsid w:val="00B34D74"/>
    <w:rsid w:val="00B355D8"/>
    <w:rsid w:val="00B36523"/>
    <w:rsid w:val="00B41DA2"/>
    <w:rsid w:val="00B42C57"/>
    <w:rsid w:val="00B451F1"/>
    <w:rsid w:val="00B452A2"/>
    <w:rsid w:val="00B5080A"/>
    <w:rsid w:val="00B541FF"/>
    <w:rsid w:val="00B55BF6"/>
    <w:rsid w:val="00B641A0"/>
    <w:rsid w:val="00B673D7"/>
    <w:rsid w:val="00B67504"/>
    <w:rsid w:val="00B73761"/>
    <w:rsid w:val="00B73A85"/>
    <w:rsid w:val="00B743D9"/>
    <w:rsid w:val="00B76461"/>
    <w:rsid w:val="00B76D1D"/>
    <w:rsid w:val="00B82CA0"/>
    <w:rsid w:val="00B86ED6"/>
    <w:rsid w:val="00B87448"/>
    <w:rsid w:val="00B87A84"/>
    <w:rsid w:val="00B907BA"/>
    <w:rsid w:val="00B943AE"/>
    <w:rsid w:val="00B949F4"/>
    <w:rsid w:val="00B968DE"/>
    <w:rsid w:val="00BA2733"/>
    <w:rsid w:val="00BA78D0"/>
    <w:rsid w:val="00BC018C"/>
    <w:rsid w:val="00BC68E3"/>
    <w:rsid w:val="00BD25F4"/>
    <w:rsid w:val="00BD511F"/>
    <w:rsid w:val="00BD5170"/>
    <w:rsid w:val="00BD5F86"/>
    <w:rsid w:val="00BD7258"/>
    <w:rsid w:val="00BD7DA9"/>
    <w:rsid w:val="00BF3002"/>
    <w:rsid w:val="00BF578D"/>
    <w:rsid w:val="00C0598D"/>
    <w:rsid w:val="00C11956"/>
    <w:rsid w:val="00C1568D"/>
    <w:rsid w:val="00C166A3"/>
    <w:rsid w:val="00C23741"/>
    <w:rsid w:val="00C237BC"/>
    <w:rsid w:val="00C27CF6"/>
    <w:rsid w:val="00C322EE"/>
    <w:rsid w:val="00C33823"/>
    <w:rsid w:val="00C34A0C"/>
    <w:rsid w:val="00C409A1"/>
    <w:rsid w:val="00C452C1"/>
    <w:rsid w:val="00C47A15"/>
    <w:rsid w:val="00C52571"/>
    <w:rsid w:val="00C602E5"/>
    <w:rsid w:val="00C65792"/>
    <w:rsid w:val="00C66B12"/>
    <w:rsid w:val="00C71B7C"/>
    <w:rsid w:val="00C748FD"/>
    <w:rsid w:val="00C809B6"/>
    <w:rsid w:val="00C90515"/>
    <w:rsid w:val="00C91E1B"/>
    <w:rsid w:val="00C94758"/>
    <w:rsid w:val="00CA5A33"/>
    <w:rsid w:val="00CB0977"/>
    <w:rsid w:val="00CB6902"/>
    <w:rsid w:val="00CB73FB"/>
    <w:rsid w:val="00CC6CB7"/>
    <w:rsid w:val="00CC7A3B"/>
    <w:rsid w:val="00CD198E"/>
    <w:rsid w:val="00CD28C3"/>
    <w:rsid w:val="00CD6220"/>
    <w:rsid w:val="00CE189E"/>
    <w:rsid w:val="00CE2FEF"/>
    <w:rsid w:val="00CE39FB"/>
    <w:rsid w:val="00CF4D16"/>
    <w:rsid w:val="00D003AD"/>
    <w:rsid w:val="00D01AE7"/>
    <w:rsid w:val="00D20381"/>
    <w:rsid w:val="00D24F8C"/>
    <w:rsid w:val="00D313B3"/>
    <w:rsid w:val="00D34099"/>
    <w:rsid w:val="00D4046E"/>
    <w:rsid w:val="00D41937"/>
    <w:rsid w:val="00D4362F"/>
    <w:rsid w:val="00D50517"/>
    <w:rsid w:val="00D509D3"/>
    <w:rsid w:val="00D5474B"/>
    <w:rsid w:val="00D5518C"/>
    <w:rsid w:val="00D60D07"/>
    <w:rsid w:val="00D701C6"/>
    <w:rsid w:val="00D7045A"/>
    <w:rsid w:val="00D73626"/>
    <w:rsid w:val="00D7477C"/>
    <w:rsid w:val="00D777DD"/>
    <w:rsid w:val="00D82C57"/>
    <w:rsid w:val="00D84C7F"/>
    <w:rsid w:val="00D87193"/>
    <w:rsid w:val="00D90443"/>
    <w:rsid w:val="00DA1B29"/>
    <w:rsid w:val="00DA477E"/>
    <w:rsid w:val="00DB23CC"/>
    <w:rsid w:val="00DB35E2"/>
    <w:rsid w:val="00DC374A"/>
    <w:rsid w:val="00DD0522"/>
    <w:rsid w:val="00DD18AA"/>
    <w:rsid w:val="00DD2A77"/>
    <w:rsid w:val="00DD4739"/>
    <w:rsid w:val="00DE5F33"/>
    <w:rsid w:val="00DF6419"/>
    <w:rsid w:val="00E07B54"/>
    <w:rsid w:val="00E11F78"/>
    <w:rsid w:val="00E1411E"/>
    <w:rsid w:val="00E15B5E"/>
    <w:rsid w:val="00E21B9B"/>
    <w:rsid w:val="00E26F86"/>
    <w:rsid w:val="00E322E3"/>
    <w:rsid w:val="00E32FD8"/>
    <w:rsid w:val="00E42667"/>
    <w:rsid w:val="00E43BDF"/>
    <w:rsid w:val="00E5156F"/>
    <w:rsid w:val="00E53B36"/>
    <w:rsid w:val="00E543C4"/>
    <w:rsid w:val="00E554DB"/>
    <w:rsid w:val="00E621E1"/>
    <w:rsid w:val="00E656C1"/>
    <w:rsid w:val="00E6654B"/>
    <w:rsid w:val="00E709DC"/>
    <w:rsid w:val="00E709E3"/>
    <w:rsid w:val="00E72DA5"/>
    <w:rsid w:val="00E800EB"/>
    <w:rsid w:val="00E928F8"/>
    <w:rsid w:val="00E946FF"/>
    <w:rsid w:val="00E95398"/>
    <w:rsid w:val="00EA1EE8"/>
    <w:rsid w:val="00EB453F"/>
    <w:rsid w:val="00EC55B3"/>
    <w:rsid w:val="00ED0388"/>
    <w:rsid w:val="00EE15E9"/>
    <w:rsid w:val="00EE6681"/>
    <w:rsid w:val="00EF60EE"/>
    <w:rsid w:val="00F05F9C"/>
    <w:rsid w:val="00F1235E"/>
    <w:rsid w:val="00F1271E"/>
    <w:rsid w:val="00F1373A"/>
    <w:rsid w:val="00F14174"/>
    <w:rsid w:val="00F14AA5"/>
    <w:rsid w:val="00F23509"/>
    <w:rsid w:val="00F30B91"/>
    <w:rsid w:val="00F30D1B"/>
    <w:rsid w:val="00F32769"/>
    <w:rsid w:val="00F340D0"/>
    <w:rsid w:val="00F5088A"/>
    <w:rsid w:val="00F57452"/>
    <w:rsid w:val="00F603B0"/>
    <w:rsid w:val="00F73CDE"/>
    <w:rsid w:val="00F81B74"/>
    <w:rsid w:val="00F86AE1"/>
    <w:rsid w:val="00F93D42"/>
    <w:rsid w:val="00F9419E"/>
    <w:rsid w:val="00F9469F"/>
    <w:rsid w:val="00F948AC"/>
    <w:rsid w:val="00F96FB2"/>
    <w:rsid w:val="00FA1826"/>
    <w:rsid w:val="00FA2859"/>
    <w:rsid w:val="00FA4681"/>
    <w:rsid w:val="00FB17E2"/>
    <w:rsid w:val="00FB39FB"/>
    <w:rsid w:val="00FB51D8"/>
    <w:rsid w:val="00FC1E46"/>
    <w:rsid w:val="00FC204A"/>
    <w:rsid w:val="00FD08E8"/>
    <w:rsid w:val="00FD347A"/>
    <w:rsid w:val="00FD4FBF"/>
    <w:rsid w:val="00FE175B"/>
    <w:rsid w:val="00FE1C88"/>
    <w:rsid w:val="00FE6154"/>
    <w:rsid w:val="00FE7AF5"/>
    <w:rsid w:val="00FF2537"/>
    <w:rsid w:val="00FF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2B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FB17E2"/>
    <w:rPr>
      <w:rFonts w:ascii="Arial" w:hAnsi="Arial"/>
      <w:b/>
      <w:bCs/>
      <w:sz w:val="24"/>
      <w:szCs w:val="24"/>
    </w:rPr>
  </w:style>
  <w:style w:type="character" w:styleId="UnresolvedMention">
    <w:name w:val="Unresolved Mention"/>
    <w:uiPriority w:val="99"/>
    <w:semiHidden/>
    <w:unhideWhenUsed/>
    <w:rsid w:val="00FB17E2"/>
    <w:rPr>
      <w:color w:val="605E5C"/>
      <w:shd w:val="clear" w:color="auto" w:fill="E1DFDD"/>
    </w:rPr>
  </w:style>
  <w:style w:type="table" w:customStyle="1" w:styleId="BoxedLanguage">
    <w:name w:val="Boxed Language"/>
    <w:basedOn w:val="TableNormal"/>
    <w:rsid w:val="002D0FD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2D0FD0"/>
    <w:rPr>
      <w:rFonts w:ascii="Arial" w:hAnsi="Arial"/>
      <w:sz w:val="24"/>
      <w:szCs w:val="24"/>
    </w:rPr>
  </w:style>
  <w:style w:type="paragraph" w:styleId="FootnoteText">
    <w:name w:val="footnote text"/>
    <w:basedOn w:val="Normal"/>
    <w:link w:val="FootnoteTextChar"/>
    <w:rsid w:val="00A806CE"/>
    <w:pPr>
      <w:jc w:val="both"/>
    </w:pPr>
    <w:rPr>
      <w:rFonts w:ascii="Arial" w:hAnsi="Arial"/>
      <w:sz w:val="20"/>
      <w:szCs w:val="20"/>
    </w:rPr>
  </w:style>
  <w:style w:type="character" w:customStyle="1" w:styleId="FootnoteTextChar">
    <w:name w:val="Footnote Text Char"/>
    <w:basedOn w:val="DefaultParagraphFont"/>
    <w:link w:val="FootnoteText"/>
    <w:rsid w:val="00A806CE"/>
    <w:rPr>
      <w:rFonts w:ascii="Arial" w:hAnsi="Arial"/>
    </w:rPr>
  </w:style>
  <w:style w:type="character" w:styleId="FootnoteReference">
    <w:name w:val="footnote reference"/>
    <w:rsid w:val="0019239E"/>
    <w:rPr>
      <w:vertAlign w:val="superscript"/>
    </w:rPr>
  </w:style>
  <w:style w:type="character" w:styleId="FollowedHyperlink">
    <w:name w:val="FollowedHyperlink"/>
    <w:rsid w:val="0091015C"/>
    <w:rPr>
      <w:color w:val="954F72"/>
      <w:u w:val="single"/>
    </w:rPr>
  </w:style>
  <w:style w:type="paragraph" w:styleId="Revision">
    <w:name w:val="Revision"/>
    <w:hidden/>
    <w:uiPriority w:val="99"/>
    <w:semiHidden/>
    <w:rsid w:val="00D84C7F"/>
    <w:rPr>
      <w:sz w:val="24"/>
      <w:szCs w:val="24"/>
    </w:rPr>
  </w:style>
  <w:style w:type="paragraph" w:customStyle="1" w:styleId="xmsonormal">
    <w:name w:val="x_msonormal"/>
    <w:basedOn w:val="Normal"/>
    <w:rsid w:val="00BC018C"/>
    <w:pPr>
      <w:spacing w:before="100" w:beforeAutospacing="1" w:after="100" w:afterAutospacing="1"/>
    </w:pPr>
  </w:style>
  <w:style w:type="character" w:customStyle="1" w:styleId="apple-converted-space">
    <w:name w:val="apple-converted-space"/>
    <w:basedOn w:val="DefaultParagraphFont"/>
    <w:rsid w:val="00BC018C"/>
  </w:style>
  <w:style w:type="paragraph" w:styleId="ListParagraph">
    <w:name w:val="List Paragraph"/>
    <w:basedOn w:val="Normal"/>
    <w:uiPriority w:val="34"/>
    <w:qFormat/>
    <w:rsid w:val="000A1ACC"/>
    <w:pPr>
      <w:ind w:left="720"/>
    </w:pPr>
  </w:style>
  <w:style w:type="character" w:styleId="Strong">
    <w:name w:val="Strong"/>
    <w:basedOn w:val="DefaultParagraphFont"/>
    <w:uiPriority w:val="22"/>
    <w:qFormat/>
    <w:rsid w:val="00351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mith@eolian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1B1C-74B4-4D9E-88AB-74A477F0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2023-12-14T17:50:00Z</dcterms:created>
  <dcterms:modified xsi:type="dcterms:W3CDTF">2023-12-14T17:52:00Z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2023-12-14T17:50:13Z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4580834c-dbd9-4df2-9fa3-54e9d2c1fdfc</vt:lpwstr>
  </property>
  <property fmtid="{D5CDD505-2E9C-101B-9397-08002B2CF9AE}" pid="8" name="MSIP_Label_7084cbda-52b8-46fb-a7b7-cb5bd465ed85_ContentBits">
    <vt:lpwstr>0</vt:lpwstr>
  </property>
</Properties>
</file>