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88A01" w14:textId="2720BF24" w:rsidR="004D35AA" w:rsidRDefault="001E0006" w:rsidP="001E0006">
      <w:pPr>
        <w:jc w:val="center"/>
        <w:rPr>
          <w:b/>
          <w:bCs/>
          <w:sz w:val="24"/>
          <w:szCs w:val="24"/>
          <w:u w:val="single"/>
        </w:rPr>
      </w:pPr>
      <w:r w:rsidRPr="001E0006">
        <w:rPr>
          <w:b/>
          <w:bCs/>
          <w:sz w:val="24"/>
          <w:szCs w:val="24"/>
          <w:u w:val="single"/>
        </w:rPr>
        <w:t>Purpose and Needs for Load Profiles and Annual Validation</w:t>
      </w:r>
    </w:p>
    <w:p w14:paraId="2E518179" w14:textId="467027FE" w:rsidR="001E0006" w:rsidRDefault="001E0006" w:rsidP="001E0006">
      <w:pPr>
        <w:rPr>
          <w:sz w:val="24"/>
          <w:szCs w:val="24"/>
        </w:rPr>
      </w:pPr>
      <w:r>
        <w:rPr>
          <w:sz w:val="24"/>
          <w:szCs w:val="24"/>
        </w:rPr>
        <w:t>While the vast deployment of AMS meters and its interval data provide arguably the most accurate usage pr</w:t>
      </w:r>
      <w:r w:rsidR="008A7CEB">
        <w:rPr>
          <w:sz w:val="24"/>
          <w:szCs w:val="24"/>
        </w:rPr>
        <w:t xml:space="preserve">ofiling, interval data is currently </w:t>
      </w:r>
      <w:r w:rsidR="0053071A">
        <w:rPr>
          <w:sz w:val="24"/>
          <w:szCs w:val="24"/>
        </w:rPr>
        <w:t xml:space="preserve">not </w:t>
      </w:r>
      <w:r w:rsidR="008A7CEB">
        <w:rPr>
          <w:sz w:val="24"/>
          <w:szCs w:val="24"/>
        </w:rPr>
        <w:t xml:space="preserve">readily accessible to all market participants.  </w:t>
      </w:r>
      <w:r w:rsidR="0053071A">
        <w:rPr>
          <w:sz w:val="24"/>
          <w:szCs w:val="24"/>
        </w:rPr>
        <w:t xml:space="preserve">As such, </w:t>
      </w:r>
      <w:r w:rsidR="0053071A">
        <w:rPr>
          <w:sz w:val="24"/>
          <w:szCs w:val="24"/>
        </w:rPr>
        <w:t xml:space="preserve">Load Profiles and </w:t>
      </w:r>
      <w:r w:rsidR="0053071A">
        <w:rPr>
          <w:sz w:val="24"/>
          <w:szCs w:val="24"/>
        </w:rPr>
        <w:t xml:space="preserve">the </w:t>
      </w:r>
      <w:r w:rsidR="0053071A">
        <w:rPr>
          <w:sz w:val="24"/>
          <w:szCs w:val="24"/>
        </w:rPr>
        <w:t>Annual Validation</w:t>
      </w:r>
      <w:r w:rsidR="0053071A">
        <w:rPr>
          <w:sz w:val="24"/>
          <w:szCs w:val="24"/>
        </w:rPr>
        <w:t xml:space="preserve"> process (Protocol 18.4.3.1)</w:t>
      </w:r>
      <w:r w:rsidR="0053071A">
        <w:rPr>
          <w:sz w:val="24"/>
          <w:szCs w:val="24"/>
        </w:rPr>
        <w:t xml:space="preserve"> </w:t>
      </w:r>
      <w:r w:rsidR="0053071A">
        <w:rPr>
          <w:sz w:val="24"/>
          <w:szCs w:val="24"/>
        </w:rPr>
        <w:t xml:space="preserve">continue to </w:t>
      </w:r>
      <w:r w:rsidR="0053071A">
        <w:rPr>
          <w:sz w:val="24"/>
          <w:szCs w:val="24"/>
        </w:rPr>
        <w:t>benefit the market for a number of reasons outlined below.</w:t>
      </w:r>
      <w:r w:rsidR="00AB0088">
        <w:rPr>
          <w:sz w:val="24"/>
          <w:szCs w:val="24"/>
        </w:rPr>
        <w:t xml:space="preserve">  Estimated </w:t>
      </w:r>
      <w:r w:rsidR="00A00E57">
        <w:rPr>
          <w:sz w:val="24"/>
          <w:szCs w:val="24"/>
        </w:rPr>
        <w:t xml:space="preserve">annual </w:t>
      </w:r>
      <w:r w:rsidR="00AB0088">
        <w:rPr>
          <w:sz w:val="24"/>
          <w:szCs w:val="24"/>
        </w:rPr>
        <w:t xml:space="preserve">cost to support </w:t>
      </w:r>
      <w:r w:rsidR="00A00E57">
        <w:rPr>
          <w:sz w:val="24"/>
          <w:szCs w:val="24"/>
        </w:rPr>
        <w:t>Annual Validation is also below.</w:t>
      </w:r>
    </w:p>
    <w:p w14:paraId="4193A140" w14:textId="579DDB22" w:rsidR="0053071A" w:rsidRDefault="0053071A" w:rsidP="001E0006">
      <w:pPr>
        <w:rPr>
          <w:sz w:val="24"/>
          <w:szCs w:val="24"/>
        </w:rPr>
      </w:pPr>
    </w:p>
    <w:p w14:paraId="4CD39B81" w14:textId="77777777" w:rsidR="0053071A" w:rsidRPr="0053071A" w:rsidRDefault="0053071A" w:rsidP="0053071A">
      <w:pPr>
        <w:rPr>
          <w:sz w:val="24"/>
          <w:szCs w:val="24"/>
        </w:rPr>
      </w:pPr>
      <w:r w:rsidRPr="0053071A">
        <w:rPr>
          <w:b/>
          <w:bCs/>
          <w:sz w:val="24"/>
          <w:szCs w:val="24"/>
          <w:u w:val="single"/>
        </w:rPr>
        <w:t>Pricing</w:t>
      </w:r>
    </w:p>
    <w:p w14:paraId="6D019095" w14:textId="017B57B7" w:rsidR="0053071A" w:rsidRPr="00795612" w:rsidRDefault="00795612" w:rsidP="0079561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95612">
        <w:rPr>
          <w:sz w:val="24"/>
          <w:szCs w:val="24"/>
        </w:rPr>
        <w:t>D</w:t>
      </w:r>
      <w:r w:rsidR="0053071A" w:rsidRPr="00795612">
        <w:rPr>
          <w:sz w:val="24"/>
          <w:szCs w:val="24"/>
        </w:rPr>
        <w:t>eveloping pricing programs for customers is frequently time sensitive. If AMS data cannot be</w:t>
      </w:r>
      <w:r w:rsidRPr="00795612">
        <w:rPr>
          <w:sz w:val="24"/>
          <w:szCs w:val="24"/>
        </w:rPr>
        <w:t xml:space="preserve"> </w:t>
      </w:r>
      <w:r w:rsidR="0053071A" w:rsidRPr="00795612">
        <w:rPr>
          <w:sz w:val="24"/>
          <w:szCs w:val="24"/>
        </w:rPr>
        <w:t>obtained in time for development of pricing, Load Profiles may be used.</w:t>
      </w:r>
    </w:p>
    <w:p w14:paraId="606A5FCC" w14:textId="77777777" w:rsidR="0053071A" w:rsidRPr="0053071A" w:rsidRDefault="0053071A" w:rsidP="0053071A">
      <w:pPr>
        <w:rPr>
          <w:sz w:val="24"/>
          <w:szCs w:val="24"/>
        </w:rPr>
      </w:pPr>
      <w:r w:rsidRPr="0053071A">
        <w:rPr>
          <w:b/>
          <w:bCs/>
          <w:sz w:val="24"/>
          <w:szCs w:val="24"/>
          <w:u w:val="single"/>
        </w:rPr>
        <w:t>Load Forecasting</w:t>
      </w:r>
    </w:p>
    <w:p w14:paraId="6BEA0307" w14:textId="19DE1704" w:rsidR="0053071A" w:rsidRPr="00795612" w:rsidRDefault="0053071A" w:rsidP="00795612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795612">
        <w:rPr>
          <w:sz w:val="24"/>
          <w:szCs w:val="24"/>
        </w:rPr>
        <w:t>Accurate Profiles support development of accurate load forecasts for new Customers</w:t>
      </w:r>
    </w:p>
    <w:p w14:paraId="0B830F4B" w14:textId="68FD73B0" w:rsidR="0053071A" w:rsidRPr="00795612" w:rsidRDefault="0053071A" w:rsidP="00795612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795612">
        <w:rPr>
          <w:sz w:val="24"/>
          <w:szCs w:val="24"/>
        </w:rPr>
        <w:t>Accurate Profiles allow for accurate aggregation in grouping classes of Customers</w:t>
      </w:r>
    </w:p>
    <w:p w14:paraId="3DEE6B84" w14:textId="77777777" w:rsidR="0053071A" w:rsidRPr="0053071A" w:rsidRDefault="0053071A" w:rsidP="0053071A">
      <w:pPr>
        <w:rPr>
          <w:sz w:val="24"/>
          <w:szCs w:val="24"/>
        </w:rPr>
      </w:pPr>
      <w:r w:rsidRPr="0053071A">
        <w:rPr>
          <w:b/>
          <w:bCs/>
          <w:sz w:val="24"/>
          <w:szCs w:val="24"/>
          <w:u w:val="single"/>
        </w:rPr>
        <w:t>Procurement</w:t>
      </w:r>
    </w:p>
    <w:p w14:paraId="7E9F746D" w14:textId="11906DF0" w:rsidR="0053071A" w:rsidRPr="00795612" w:rsidRDefault="0053071A" w:rsidP="0079561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95612">
        <w:rPr>
          <w:sz w:val="24"/>
          <w:szCs w:val="24"/>
        </w:rPr>
        <w:t>Allows for aggregation for accurate hedging and provides a checkpoint to compare AMS Data</w:t>
      </w:r>
    </w:p>
    <w:p w14:paraId="464272C2" w14:textId="77777777" w:rsidR="0053071A" w:rsidRPr="0053071A" w:rsidRDefault="0053071A" w:rsidP="0053071A">
      <w:pPr>
        <w:rPr>
          <w:sz w:val="24"/>
          <w:szCs w:val="24"/>
        </w:rPr>
      </w:pPr>
      <w:r w:rsidRPr="0053071A">
        <w:rPr>
          <w:b/>
          <w:bCs/>
          <w:sz w:val="24"/>
          <w:szCs w:val="24"/>
          <w:u w:val="single"/>
        </w:rPr>
        <w:t>Validation of Substations</w:t>
      </w:r>
    </w:p>
    <w:p w14:paraId="7E394B5F" w14:textId="6E2BE780" w:rsidR="0053071A" w:rsidRPr="00795612" w:rsidRDefault="0053071A" w:rsidP="0079561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95612">
        <w:rPr>
          <w:sz w:val="24"/>
          <w:szCs w:val="24"/>
        </w:rPr>
        <w:t xml:space="preserve">Substation assignments are validated through Annual Validation. Accurate Substation assignments is critical to determining the correct Congestion Zone (which is a vital component for determining accurate pricing for customers). </w:t>
      </w:r>
    </w:p>
    <w:p w14:paraId="770D85FA" w14:textId="77777777" w:rsidR="0053071A" w:rsidRPr="0053071A" w:rsidRDefault="0053071A" w:rsidP="0053071A">
      <w:pPr>
        <w:rPr>
          <w:sz w:val="24"/>
          <w:szCs w:val="24"/>
        </w:rPr>
      </w:pPr>
      <w:r w:rsidRPr="0053071A">
        <w:rPr>
          <w:b/>
          <w:bCs/>
          <w:sz w:val="24"/>
          <w:szCs w:val="24"/>
          <w:u w:val="single"/>
        </w:rPr>
        <w:t>Other Uses</w:t>
      </w:r>
    </w:p>
    <w:p w14:paraId="5CD9BB6F" w14:textId="080B6531" w:rsidR="0053071A" w:rsidRPr="00795612" w:rsidRDefault="0053071A" w:rsidP="00795612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795612">
        <w:rPr>
          <w:sz w:val="24"/>
          <w:szCs w:val="24"/>
        </w:rPr>
        <w:t>Non-IDR ESI ids – Load Profiles are used for Settlement processes</w:t>
      </w:r>
    </w:p>
    <w:p w14:paraId="27F875A8" w14:textId="0C112028" w:rsidR="0053071A" w:rsidRPr="00795612" w:rsidRDefault="0053071A" w:rsidP="00795612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795612">
        <w:rPr>
          <w:sz w:val="24"/>
          <w:szCs w:val="24"/>
        </w:rPr>
        <w:t>REP Marketing efforts to segregate groups of customers</w:t>
      </w:r>
    </w:p>
    <w:p w14:paraId="01C669D4" w14:textId="526D998C" w:rsidR="0053071A" w:rsidRPr="00795612" w:rsidRDefault="0053071A" w:rsidP="00795612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795612">
        <w:rPr>
          <w:sz w:val="24"/>
          <w:szCs w:val="24"/>
        </w:rPr>
        <w:t xml:space="preserve">REP Marketing materials and programs </w:t>
      </w:r>
    </w:p>
    <w:p w14:paraId="5DEC7ABF" w14:textId="57C6165D" w:rsidR="0053071A" w:rsidRDefault="0053071A" w:rsidP="001E0006">
      <w:pPr>
        <w:rPr>
          <w:sz w:val="24"/>
          <w:szCs w:val="24"/>
        </w:rPr>
      </w:pPr>
    </w:p>
    <w:p w14:paraId="79284F61" w14:textId="3E4E0214" w:rsidR="00FF2F7E" w:rsidRDefault="00795612" w:rsidP="001E0006">
      <w:pPr>
        <w:rPr>
          <w:sz w:val="24"/>
          <w:szCs w:val="24"/>
        </w:rPr>
      </w:pPr>
      <w:r>
        <w:rPr>
          <w:sz w:val="24"/>
          <w:szCs w:val="24"/>
        </w:rPr>
        <w:t xml:space="preserve">As reported at the June 27, 2023 TAC meeting, estimated annual cost of </w:t>
      </w:r>
      <w:r w:rsidR="00FF2F7E">
        <w:rPr>
          <w:sz w:val="24"/>
          <w:szCs w:val="24"/>
        </w:rPr>
        <w:t xml:space="preserve">supporting </w:t>
      </w:r>
      <w:r>
        <w:rPr>
          <w:sz w:val="24"/>
          <w:szCs w:val="24"/>
        </w:rPr>
        <w:t>Annual Validation</w:t>
      </w:r>
      <w:r w:rsidR="00FF2F7E">
        <w:rPr>
          <w:sz w:val="24"/>
          <w:szCs w:val="24"/>
        </w:rPr>
        <w:t xml:space="preserve"> processing </w:t>
      </w:r>
      <w:r w:rsidR="00970C04">
        <w:rPr>
          <w:sz w:val="24"/>
          <w:szCs w:val="24"/>
        </w:rPr>
        <w:t>is</w:t>
      </w:r>
      <w:r w:rsidR="00FF2F7E">
        <w:rPr>
          <w:sz w:val="24"/>
          <w:szCs w:val="24"/>
        </w:rPr>
        <w:t xml:space="preserve"> as follows:</w:t>
      </w:r>
    </w:p>
    <w:p w14:paraId="5C26C513" w14:textId="75F7DE97" w:rsidR="0053071A" w:rsidRPr="0053071A" w:rsidRDefault="0053071A" w:rsidP="00970C04">
      <w:pPr>
        <w:pStyle w:val="NoSpacing"/>
        <w:numPr>
          <w:ilvl w:val="0"/>
          <w:numId w:val="7"/>
        </w:numPr>
      </w:pPr>
      <w:r w:rsidRPr="0053071A">
        <w:t>ERCOT</w:t>
      </w:r>
      <w:r w:rsidRPr="0053071A">
        <w:tab/>
      </w:r>
      <w:r w:rsidRPr="0053071A">
        <w:tab/>
        <w:t>$25,000</w:t>
      </w:r>
    </w:p>
    <w:p w14:paraId="5663513A" w14:textId="13E7E0A2" w:rsidR="0053071A" w:rsidRPr="0053071A" w:rsidRDefault="0053071A" w:rsidP="00970C04">
      <w:pPr>
        <w:pStyle w:val="NoSpacing"/>
        <w:numPr>
          <w:ilvl w:val="0"/>
          <w:numId w:val="7"/>
        </w:numPr>
      </w:pPr>
      <w:r w:rsidRPr="0053071A">
        <w:t>AEP</w:t>
      </w:r>
      <w:r w:rsidRPr="0053071A">
        <w:tab/>
      </w:r>
      <w:r w:rsidRPr="0053071A">
        <w:tab/>
        <w:t>$40,000</w:t>
      </w:r>
    </w:p>
    <w:p w14:paraId="3B300A6B" w14:textId="41A15B60" w:rsidR="0053071A" w:rsidRPr="0053071A" w:rsidRDefault="0053071A" w:rsidP="00970C04">
      <w:pPr>
        <w:pStyle w:val="NoSpacing"/>
        <w:numPr>
          <w:ilvl w:val="0"/>
          <w:numId w:val="7"/>
        </w:numPr>
      </w:pPr>
      <w:proofErr w:type="spellStart"/>
      <w:r w:rsidRPr="0053071A">
        <w:t>Centerpoint</w:t>
      </w:r>
      <w:proofErr w:type="spellEnd"/>
      <w:r w:rsidRPr="0053071A">
        <w:t xml:space="preserve"> </w:t>
      </w:r>
      <w:r w:rsidRPr="0053071A">
        <w:tab/>
        <w:t>$50,000</w:t>
      </w:r>
    </w:p>
    <w:p w14:paraId="3D0C7760" w14:textId="593D4CDD" w:rsidR="0053071A" w:rsidRPr="0053071A" w:rsidRDefault="0053071A" w:rsidP="00970C04">
      <w:pPr>
        <w:pStyle w:val="NoSpacing"/>
        <w:numPr>
          <w:ilvl w:val="0"/>
          <w:numId w:val="7"/>
        </w:numPr>
      </w:pPr>
      <w:r w:rsidRPr="0053071A">
        <w:t xml:space="preserve">Oncor </w:t>
      </w:r>
      <w:r w:rsidRPr="0053071A">
        <w:tab/>
      </w:r>
      <w:r w:rsidRPr="0053071A">
        <w:tab/>
        <w:t>$18,000</w:t>
      </w:r>
    </w:p>
    <w:p w14:paraId="4C521493" w14:textId="1FBA9507" w:rsidR="0053071A" w:rsidRPr="00FF2F7E" w:rsidRDefault="0053071A" w:rsidP="00970C04">
      <w:pPr>
        <w:pStyle w:val="NoSpacing"/>
        <w:numPr>
          <w:ilvl w:val="0"/>
          <w:numId w:val="7"/>
        </w:numPr>
      </w:pPr>
      <w:r w:rsidRPr="0053071A">
        <w:t>TNMP</w:t>
      </w:r>
      <w:r w:rsidRPr="0053071A">
        <w:tab/>
      </w:r>
      <w:r w:rsidR="00970C04">
        <w:tab/>
      </w:r>
      <w:r w:rsidRPr="0053071A">
        <w:t>$7,000</w:t>
      </w:r>
    </w:p>
    <w:sectPr w:rsidR="0053071A" w:rsidRPr="00FF2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3779"/>
    <w:multiLevelType w:val="hybridMultilevel"/>
    <w:tmpl w:val="A4DE5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7484A"/>
    <w:multiLevelType w:val="hybridMultilevel"/>
    <w:tmpl w:val="F5544432"/>
    <w:lvl w:ilvl="0" w:tplc="81A05AC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384A66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15C5CF8"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F8A089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90E4B0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51EEF7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E5481F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D920C2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B4CF8E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36481602"/>
    <w:multiLevelType w:val="hybridMultilevel"/>
    <w:tmpl w:val="F734322A"/>
    <w:lvl w:ilvl="0" w:tplc="FD5661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0E5F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C22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E640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C6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54D0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7AED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2633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1617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57216"/>
    <w:multiLevelType w:val="hybridMultilevel"/>
    <w:tmpl w:val="F2704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22AB8"/>
    <w:multiLevelType w:val="hybridMultilevel"/>
    <w:tmpl w:val="A34E8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F11E3"/>
    <w:multiLevelType w:val="hybridMultilevel"/>
    <w:tmpl w:val="D21C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457D5"/>
    <w:multiLevelType w:val="hybridMultilevel"/>
    <w:tmpl w:val="BC964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06"/>
    <w:rsid w:val="001E0006"/>
    <w:rsid w:val="002E5D0F"/>
    <w:rsid w:val="00431AF8"/>
    <w:rsid w:val="0052785D"/>
    <w:rsid w:val="0053071A"/>
    <w:rsid w:val="00795612"/>
    <w:rsid w:val="008A7CEB"/>
    <w:rsid w:val="008C6347"/>
    <w:rsid w:val="00970C04"/>
    <w:rsid w:val="00A00E57"/>
    <w:rsid w:val="00AB0088"/>
    <w:rsid w:val="00EE182E"/>
    <w:rsid w:val="00F03A1B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A8F05"/>
  <w15:chartTrackingRefBased/>
  <w15:docId w15:val="{E6FADA27-81C3-4C13-B6FE-4BA04941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561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5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6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14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887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6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61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9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0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34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 Company LLC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Pak, Sam</dc:creator>
  <cp:keywords/>
  <dc:description/>
  <cp:lastModifiedBy>Pak, Sam</cp:lastModifiedBy>
  <cp:revision>4</cp:revision>
  <dcterms:created xsi:type="dcterms:W3CDTF">2023-12-06T22:31:00Z</dcterms:created>
  <dcterms:modified xsi:type="dcterms:W3CDTF">2023-12-07T15:27:00Z</dcterms:modified>
</cp:coreProperties>
</file>