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675B79"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06EA0B6B" w:rsidR="00067FE2" w:rsidRDefault="00FB6B4F" w:rsidP="00F44236">
            <w:pPr>
              <w:pStyle w:val="NormalArial"/>
            </w:pPr>
            <w:r>
              <w:t xml:space="preserve">December </w:t>
            </w:r>
            <w:r w:rsidR="00675B79">
              <w:t>7</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117FBD" w14:paraId="289A3DAF" w14:textId="77777777" w:rsidTr="006037B8">
        <w:trPr>
          <w:trHeight w:val="260"/>
        </w:trPr>
        <w:tc>
          <w:tcPr>
            <w:tcW w:w="2880" w:type="dxa"/>
            <w:gridSpan w:val="2"/>
            <w:shd w:val="clear" w:color="auto" w:fill="FFFFFF"/>
            <w:vAlign w:val="center"/>
          </w:tcPr>
          <w:p w14:paraId="48674485" w14:textId="6B742981" w:rsidR="00117FBD" w:rsidRDefault="00117FBD" w:rsidP="00117FBD">
            <w:pPr>
              <w:pStyle w:val="Header"/>
              <w:spacing w:before="120" w:after="120"/>
            </w:pPr>
            <w:r>
              <w:t>Name</w:t>
            </w:r>
          </w:p>
        </w:tc>
        <w:tc>
          <w:tcPr>
            <w:tcW w:w="7560" w:type="dxa"/>
            <w:gridSpan w:val="2"/>
            <w:vAlign w:val="center"/>
          </w:tcPr>
          <w:p w14:paraId="3CBC8DD7" w14:textId="0ABB1D6A" w:rsidR="00117FBD" w:rsidRPr="00FB509B" w:rsidRDefault="00572D35" w:rsidP="00117FBD">
            <w:pPr>
              <w:pStyle w:val="NormalArial"/>
              <w:spacing w:before="120" w:after="120"/>
            </w:pPr>
            <w:r>
              <w:t>Robert Helton</w:t>
            </w:r>
          </w:p>
        </w:tc>
      </w:tr>
      <w:tr w:rsidR="00117FBD" w14:paraId="01704E71" w14:textId="77777777" w:rsidTr="006037B8">
        <w:trPr>
          <w:trHeight w:val="269"/>
        </w:trPr>
        <w:tc>
          <w:tcPr>
            <w:tcW w:w="2880" w:type="dxa"/>
            <w:gridSpan w:val="2"/>
            <w:shd w:val="clear" w:color="auto" w:fill="FFFFFF"/>
            <w:vAlign w:val="center"/>
          </w:tcPr>
          <w:p w14:paraId="403D2E7A" w14:textId="291230D8" w:rsidR="00117FBD" w:rsidRDefault="00117FBD" w:rsidP="00117FBD">
            <w:pPr>
              <w:pStyle w:val="Header"/>
              <w:spacing w:before="120" w:after="100" w:afterAutospacing="1"/>
            </w:pPr>
            <w:r>
              <w:t>E-mail Address</w:t>
            </w:r>
          </w:p>
        </w:tc>
        <w:tc>
          <w:tcPr>
            <w:tcW w:w="7560" w:type="dxa"/>
            <w:gridSpan w:val="2"/>
            <w:vAlign w:val="center"/>
          </w:tcPr>
          <w:p w14:paraId="062CD83D" w14:textId="622D8428" w:rsidR="00117FBD" w:rsidRPr="00FB509B" w:rsidRDefault="00675B79" w:rsidP="00117FBD">
            <w:pPr>
              <w:pStyle w:val="NormalArial"/>
              <w:spacing w:before="120" w:after="120"/>
            </w:pPr>
            <w:hyperlink r:id="rId9" w:history="1">
              <w:r w:rsidR="00572D35">
                <w:rPr>
                  <w:rStyle w:val="Hyperlink"/>
                </w:rPr>
                <w:t>robert.helton@engie.com</w:t>
              </w:r>
            </w:hyperlink>
          </w:p>
        </w:tc>
      </w:tr>
      <w:tr w:rsidR="00117FBD" w14:paraId="54290F4A" w14:textId="77777777" w:rsidTr="006037B8">
        <w:trPr>
          <w:trHeight w:val="566"/>
        </w:trPr>
        <w:tc>
          <w:tcPr>
            <w:tcW w:w="2880" w:type="dxa"/>
            <w:gridSpan w:val="2"/>
            <w:shd w:val="clear" w:color="auto" w:fill="FFFFFF"/>
            <w:vAlign w:val="center"/>
          </w:tcPr>
          <w:p w14:paraId="4C7DF3F5" w14:textId="0630C407" w:rsidR="00117FBD" w:rsidRDefault="00117FBD" w:rsidP="00117FBD">
            <w:pPr>
              <w:pStyle w:val="Header"/>
            </w:pPr>
            <w:r>
              <w:t>Company</w:t>
            </w:r>
          </w:p>
        </w:tc>
        <w:tc>
          <w:tcPr>
            <w:tcW w:w="7560" w:type="dxa"/>
            <w:gridSpan w:val="2"/>
            <w:vAlign w:val="center"/>
          </w:tcPr>
          <w:p w14:paraId="44D901DB" w14:textId="087494A3" w:rsidR="00117FBD" w:rsidRPr="006037B8" w:rsidRDefault="00572D35" w:rsidP="00117FBD">
            <w:pPr>
              <w:pStyle w:val="NormalArial"/>
              <w:spacing w:before="120"/>
              <w:rPr>
                <w:rFonts w:cs="Arial"/>
                <w:color w:val="000000"/>
              </w:rPr>
            </w:pPr>
            <w:r>
              <w:t>Engie North America Inc.</w:t>
            </w:r>
          </w:p>
        </w:tc>
      </w:tr>
      <w:tr w:rsidR="00117FBD" w14:paraId="6D08E83F" w14:textId="77777777" w:rsidTr="006037B8">
        <w:trPr>
          <w:trHeight w:val="71"/>
        </w:trPr>
        <w:tc>
          <w:tcPr>
            <w:tcW w:w="2880" w:type="dxa"/>
            <w:gridSpan w:val="2"/>
            <w:shd w:val="clear" w:color="auto" w:fill="FFFFFF"/>
            <w:vAlign w:val="center"/>
          </w:tcPr>
          <w:p w14:paraId="463C76D4" w14:textId="093A29EF" w:rsidR="00117FBD" w:rsidRDefault="00117FBD" w:rsidP="00117FBD">
            <w:pPr>
              <w:pStyle w:val="Header"/>
              <w:spacing w:before="120" w:after="120"/>
            </w:pPr>
            <w:r>
              <w:t>Phone Number</w:t>
            </w:r>
          </w:p>
        </w:tc>
        <w:tc>
          <w:tcPr>
            <w:tcW w:w="7560" w:type="dxa"/>
            <w:gridSpan w:val="2"/>
            <w:vAlign w:val="center"/>
          </w:tcPr>
          <w:p w14:paraId="18A780E7" w14:textId="48AB8FAD" w:rsidR="00117FBD" w:rsidRPr="00272C15" w:rsidRDefault="00572D35" w:rsidP="00117FBD">
            <w:pPr>
              <w:autoSpaceDE w:val="0"/>
              <w:autoSpaceDN w:val="0"/>
              <w:adjustRightInd w:val="0"/>
              <w:spacing w:before="120" w:after="120"/>
              <w:rPr>
                <w:rFonts w:ascii="Arial" w:hAnsi="Arial" w:cs="Arial"/>
              </w:rPr>
            </w:pPr>
            <w:r>
              <w:rPr>
                <w:rFonts w:ascii="Arial" w:hAnsi="Arial" w:cs="Arial"/>
              </w:rPr>
              <w:t>832-435-7815</w:t>
            </w:r>
          </w:p>
        </w:tc>
      </w:tr>
      <w:tr w:rsidR="00117FBD" w14:paraId="7F111433" w14:textId="77777777" w:rsidTr="006037B8">
        <w:trPr>
          <w:trHeight w:val="260"/>
        </w:trPr>
        <w:tc>
          <w:tcPr>
            <w:tcW w:w="2880" w:type="dxa"/>
            <w:gridSpan w:val="2"/>
            <w:shd w:val="clear" w:color="auto" w:fill="FFFFFF"/>
            <w:vAlign w:val="center"/>
          </w:tcPr>
          <w:p w14:paraId="53BB2BCF" w14:textId="7120C465" w:rsidR="00117FBD" w:rsidRDefault="00117FBD" w:rsidP="00117FBD">
            <w:pPr>
              <w:pStyle w:val="Header"/>
              <w:spacing w:before="120" w:after="120"/>
            </w:pPr>
            <w:r>
              <w:t>Cell Number</w:t>
            </w:r>
          </w:p>
        </w:tc>
        <w:tc>
          <w:tcPr>
            <w:tcW w:w="7560" w:type="dxa"/>
            <w:gridSpan w:val="2"/>
            <w:vAlign w:val="center"/>
          </w:tcPr>
          <w:p w14:paraId="4E8C7FD6" w14:textId="7E74B682" w:rsidR="00117FBD" w:rsidRPr="00347BEE" w:rsidRDefault="00572D35" w:rsidP="00117FBD">
            <w:pPr>
              <w:autoSpaceDE w:val="0"/>
              <w:autoSpaceDN w:val="0"/>
              <w:adjustRightInd w:val="0"/>
              <w:spacing w:before="120" w:after="120"/>
            </w:pPr>
            <w:r>
              <w:rPr>
                <w:rFonts w:ascii="Arial" w:hAnsi="Arial" w:cs="Arial"/>
              </w:rPr>
              <w:t>832-435-7815</w:t>
            </w:r>
          </w:p>
        </w:tc>
      </w:tr>
      <w:tr w:rsidR="00117FBD" w14:paraId="4E0237BB" w14:textId="77777777" w:rsidTr="006037B8">
        <w:trPr>
          <w:trHeight w:val="269"/>
        </w:trPr>
        <w:tc>
          <w:tcPr>
            <w:tcW w:w="2880" w:type="dxa"/>
            <w:gridSpan w:val="2"/>
            <w:shd w:val="clear" w:color="auto" w:fill="FFFFFF"/>
            <w:vAlign w:val="center"/>
          </w:tcPr>
          <w:p w14:paraId="5B7FA9A8" w14:textId="6030E061" w:rsidR="00117FBD" w:rsidRDefault="00117FBD" w:rsidP="00117FBD">
            <w:pPr>
              <w:pStyle w:val="Header"/>
              <w:spacing w:before="120" w:after="120"/>
            </w:pPr>
            <w:r>
              <w:t>Market Segment</w:t>
            </w:r>
          </w:p>
        </w:tc>
        <w:tc>
          <w:tcPr>
            <w:tcW w:w="7560" w:type="dxa"/>
            <w:gridSpan w:val="2"/>
            <w:vAlign w:val="center"/>
          </w:tcPr>
          <w:p w14:paraId="4B9C80B3" w14:textId="0B563CEC" w:rsidR="00117FBD" w:rsidRPr="00117FBD" w:rsidRDefault="00572D35" w:rsidP="00117FBD">
            <w:pPr>
              <w:autoSpaceDE w:val="0"/>
              <w:autoSpaceDN w:val="0"/>
              <w:adjustRightInd w:val="0"/>
              <w:spacing w:before="120" w:after="120"/>
              <w:rPr>
                <w:rFonts w:ascii="Arial" w:hAnsi="Arial" w:cs="Arial"/>
              </w:rPr>
            </w:pPr>
            <w:r>
              <w:rPr>
                <w:rFonts w:ascii="Arial" w:hAnsi="Arial" w:cs="Arial"/>
              </w:rPr>
              <w:t>Independent Generator</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0F7E99C0" w14:textId="09461527" w:rsidR="00572D35" w:rsidRPr="00572D35" w:rsidRDefault="00572D35" w:rsidP="00572D35">
      <w:pPr>
        <w:pStyle w:val="NormalArial"/>
        <w:spacing w:before="120" w:after="120"/>
      </w:pPr>
      <w:r>
        <w:t>Engie appreciates ERCOT’s continuing efforts to work with stakeholders to reach a reasonable and effective improvement to the reliability of the ERCOT grid.  N</w:t>
      </w:r>
      <w:r w:rsidR="004C4E31">
        <w:t>odal Operating Guide Revision Request (N</w:t>
      </w:r>
      <w:r w:rsidR="0025248A">
        <w:t>OGRR</w:t>
      </w:r>
      <w:r w:rsidR="004C4E31">
        <w:t xml:space="preserve">) </w:t>
      </w:r>
      <w:r w:rsidRPr="00572D35">
        <w:t xml:space="preserve">255 touches on a lot of areas. </w:t>
      </w:r>
      <w:r w:rsidR="004C4E31">
        <w:t xml:space="preserve"> </w:t>
      </w:r>
      <w:r>
        <w:t xml:space="preserve">Below Engie is summarizing some of the impacts we </w:t>
      </w:r>
      <w:r w:rsidR="00F17D21">
        <w:t>initially</w:t>
      </w:r>
      <w:r>
        <w:t xml:space="preserve"> see reviewing the current proposal.</w:t>
      </w:r>
      <w:r w:rsidR="00D51C99">
        <w:t xml:space="preserve"> Engie focuses particularly on </w:t>
      </w:r>
      <w:r w:rsidR="007D4E5A">
        <w:t xml:space="preserve">the </w:t>
      </w:r>
      <w:r w:rsidR="00FF7EE8">
        <w:t xml:space="preserve">proposed </w:t>
      </w:r>
      <w:r w:rsidR="004C4E31">
        <w:t xml:space="preserve">Section </w:t>
      </w:r>
      <w:r w:rsidR="00FF7EE8">
        <w:t xml:space="preserve">6.1.4 </w:t>
      </w:r>
      <w:r w:rsidR="004C4E31">
        <w:t xml:space="preserve">, Fault Recording, Sequence of Events Recording, and Phasor Measurement Unit Requirements for Inverter-Based Resources (IBRs), </w:t>
      </w:r>
      <w:r w:rsidR="00FF7EE8">
        <w:t xml:space="preserve">because Engie’s entire </w:t>
      </w:r>
      <w:r w:rsidR="00871F0D">
        <w:t xml:space="preserve">installed base of </w:t>
      </w:r>
      <w:r w:rsidR="006420F9">
        <w:t xml:space="preserve">assets consists of IBR-based Generation Resources or </w:t>
      </w:r>
      <w:r w:rsidR="004C4E31">
        <w:t>Energy Storage Resources (</w:t>
      </w:r>
      <w:r w:rsidR="00B55AB4">
        <w:t>ESRs</w:t>
      </w:r>
      <w:r w:rsidR="004C4E31">
        <w:t>)</w:t>
      </w:r>
      <w:r w:rsidR="00B55AB4">
        <w:t>.</w:t>
      </w:r>
      <w:r w:rsidR="00F17D21">
        <w:t xml:space="preserve">  Engie does not have any language revisions at this time</w:t>
      </w:r>
      <w:r w:rsidR="0025248A">
        <w:t>.</w:t>
      </w:r>
    </w:p>
    <w:p w14:paraId="67CE2BE1" w14:textId="035C3CEC" w:rsidR="00572D35" w:rsidRPr="00572D35" w:rsidRDefault="00572D35" w:rsidP="00F17D21">
      <w:pPr>
        <w:pStyle w:val="NormalArial"/>
        <w:numPr>
          <w:ilvl w:val="0"/>
          <w:numId w:val="13"/>
        </w:numPr>
        <w:spacing w:before="120" w:after="120"/>
      </w:pPr>
      <w:r w:rsidRPr="00572D35">
        <w:t>W</w:t>
      </w:r>
      <w:r w:rsidR="00DF30A9">
        <w:t>hile</w:t>
      </w:r>
      <w:r w:rsidR="00726417">
        <w:t xml:space="preserve"> </w:t>
      </w:r>
      <w:r w:rsidR="00700DD4">
        <w:t>Engie’s</w:t>
      </w:r>
      <w:r w:rsidR="00DF30A9">
        <w:t xml:space="preserve"> fleet</w:t>
      </w:r>
      <w:r w:rsidR="00700DD4">
        <w:t xml:space="preserve"> of operating assets in the ERCOT region</w:t>
      </w:r>
      <w:r w:rsidRPr="00572D35">
        <w:t xml:space="preserve"> generally have the</w:t>
      </w:r>
      <w:r w:rsidR="005B6742">
        <w:t xml:space="preserve"> plant-level</w:t>
      </w:r>
      <w:r w:rsidRPr="00572D35">
        <w:t xml:space="preserve"> fault recording, disturbance monitoring and phasor measurement equipment required to comply installed today</w:t>
      </w:r>
      <w:r w:rsidR="0025248A">
        <w:t>, i</w:t>
      </w:r>
      <w:r w:rsidR="00DF30A9">
        <w:t xml:space="preserve">t will take time </w:t>
      </w:r>
      <w:r w:rsidRPr="00572D35">
        <w:t xml:space="preserve">to properly set up, test and commission </w:t>
      </w:r>
      <w:r w:rsidR="005B6742">
        <w:t>existing equipment</w:t>
      </w:r>
      <w:r w:rsidRPr="00572D35">
        <w:t xml:space="preserve"> to meet the NOGRR255. </w:t>
      </w:r>
      <w:r w:rsidR="00F17D21">
        <w:t>Going</w:t>
      </w:r>
      <w:r w:rsidR="00DF30A9">
        <w:t xml:space="preserve"> forward ERCOT must recognize that there are limited resources to complete all the work that is being required including efforts to comply with N</w:t>
      </w:r>
      <w:r w:rsidR="0025248A">
        <w:t>OGRR</w:t>
      </w:r>
      <w:r w:rsidR="00DF30A9">
        <w:t>245</w:t>
      </w:r>
      <w:r w:rsidR="004C4E31">
        <w:t xml:space="preserve">, </w:t>
      </w:r>
      <w:r w:rsidR="004C4C6B">
        <w:t>Inverter-Based Resource (IBR) Ride-Through Requirements</w:t>
      </w:r>
      <w:r w:rsidR="00DF30A9">
        <w:t>.</w:t>
      </w:r>
      <w:r w:rsidRPr="00572D35">
        <w:t> </w:t>
      </w:r>
      <w:r w:rsidR="004A7ACE">
        <w:t>Meeting the IBR unit</w:t>
      </w:r>
      <w:r w:rsidR="002446C2">
        <w:t>-</w:t>
      </w:r>
      <w:r w:rsidR="004A7ACE">
        <w:t>level requirements will require new equipment, as detailed below.</w:t>
      </w:r>
    </w:p>
    <w:p w14:paraId="354B74B9" w14:textId="320C9888" w:rsidR="00572D35" w:rsidRPr="00572D35" w:rsidRDefault="00572D35" w:rsidP="00F17D21">
      <w:pPr>
        <w:pStyle w:val="NormalArial"/>
        <w:numPr>
          <w:ilvl w:val="0"/>
          <w:numId w:val="14"/>
        </w:numPr>
        <w:spacing w:before="120" w:after="120"/>
      </w:pPr>
      <w:r w:rsidRPr="00572D35">
        <w:t xml:space="preserve">The NOGRR adds </w:t>
      </w:r>
      <w:r w:rsidR="00DF30A9">
        <w:t xml:space="preserve">new </w:t>
      </w:r>
      <w:r w:rsidRPr="00572D35">
        <w:t xml:space="preserve">monthly maintenance requirements </w:t>
      </w:r>
      <w:r w:rsidR="00214263">
        <w:t xml:space="preserve">for </w:t>
      </w:r>
      <w:r w:rsidR="004C4C6B">
        <w:t>phasor measurement units</w:t>
      </w:r>
      <w:r w:rsidR="004C4C6B" w:rsidRPr="00572D35">
        <w:t xml:space="preserve"> </w:t>
      </w:r>
      <w:r w:rsidRPr="00572D35">
        <w:t xml:space="preserve">to check that they are functioning properly. </w:t>
      </w:r>
      <w:r w:rsidR="004C4C6B">
        <w:t xml:space="preserve"> </w:t>
      </w:r>
      <w:r w:rsidR="00DF30A9">
        <w:t xml:space="preserve">Engie would like to properly evaluate this maintenance schedule to ensure that a testing and </w:t>
      </w:r>
      <w:r w:rsidR="00DF30A9">
        <w:lastRenderedPageBreak/>
        <w:t xml:space="preserve">maintenance program is properly evaluated and is based on engineering and </w:t>
      </w:r>
      <w:r w:rsidR="004C4C6B">
        <w:t xml:space="preserve">original equipment manufacturer </w:t>
      </w:r>
      <w:r w:rsidR="00DF30A9">
        <w:t>data.</w:t>
      </w:r>
      <w:r w:rsidRPr="00572D35">
        <w:t> </w:t>
      </w:r>
    </w:p>
    <w:p w14:paraId="18C20A8D" w14:textId="5CFDF211" w:rsidR="00572D35" w:rsidRPr="00572D35" w:rsidRDefault="002631E5" w:rsidP="00FB6B4F">
      <w:pPr>
        <w:pStyle w:val="NormalArial"/>
        <w:numPr>
          <w:ilvl w:val="0"/>
          <w:numId w:val="14"/>
        </w:numPr>
        <w:spacing w:before="120" w:after="120"/>
      </w:pPr>
      <w:r>
        <w:t xml:space="preserve">Meeting the </w:t>
      </w:r>
      <w:r w:rsidR="00DF5597">
        <w:t xml:space="preserve">proposed </w:t>
      </w:r>
      <w:r w:rsidR="004C4C6B">
        <w:t>d</w:t>
      </w:r>
      <w:r w:rsidR="00E84E7F">
        <w:t xml:space="preserve">ata </w:t>
      </w:r>
      <w:r w:rsidR="004C4C6B">
        <w:t>r</w:t>
      </w:r>
      <w:r w:rsidR="00E84E7F">
        <w:t xml:space="preserve">etention </w:t>
      </w:r>
      <w:r w:rsidR="004C4C6B">
        <w:t>r</w:t>
      </w:r>
      <w:r w:rsidR="00E84E7F">
        <w:t xml:space="preserve">equirements </w:t>
      </w:r>
      <w:r w:rsidR="00084223">
        <w:t>for IBRs will require the use of centralized data collection</w:t>
      </w:r>
      <w:r w:rsidR="00513004">
        <w:t xml:space="preserve"> and </w:t>
      </w:r>
      <w:r w:rsidR="00084223">
        <w:t xml:space="preserve">storage </w:t>
      </w:r>
      <w:r w:rsidR="00513004">
        <w:t>systems</w:t>
      </w:r>
      <w:r w:rsidR="002A5C26">
        <w:t xml:space="preserve"> as many pieces of substation equipment currently installed </w:t>
      </w:r>
      <w:r w:rsidR="00197AB5">
        <w:t xml:space="preserve">and able to record the required </w:t>
      </w:r>
      <w:r w:rsidR="002A5C26">
        <w:t xml:space="preserve">data </w:t>
      </w:r>
      <w:r w:rsidR="00197AB5">
        <w:t xml:space="preserve">are not </w:t>
      </w:r>
      <w:r w:rsidR="00743CED">
        <w:t xml:space="preserve">necessarily </w:t>
      </w:r>
      <w:r w:rsidR="00197AB5">
        <w:t>able to store it for</w:t>
      </w:r>
      <w:r w:rsidR="002A5C26">
        <w:t xml:space="preserve"> 30 days. </w:t>
      </w:r>
      <w:r w:rsidR="004C4C6B">
        <w:t xml:space="preserve"> </w:t>
      </w:r>
      <w:r w:rsidR="002A5C26">
        <w:t xml:space="preserve">This is </w:t>
      </w:r>
      <w:r w:rsidR="00197AB5">
        <w:t>feasible</w:t>
      </w:r>
      <w:r w:rsidR="00513004">
        <w:t xml:space="preserve">, </w:t>
      </w:r>
      <w:r w:rsidR="004F1685">
        <w:t xml:space="preserve">but ERCOT must recognize the time </w:t>
      </w:r>
      <w:r w:rsidR="00E44F2C">
        <w:t xml:space="preserve">required </w:t>
      </w:r>
      <w:r w:rsidR="001F775E">
        <w:t>for implementation</w:t>
      </w:r>
      <w:r w:rsidR="00513004">
        <w:t xml:space="preserve">. </w:t>
      </w:r>
      <w:r w:rsidR="004C4C6B">
        <w:t xml:space="preserve"> </w:t>
      </w:r>
      <w:r w:rsidR="00513004">
        <w:t xml:space="preserve">In particular, </w:t>
      </w:r>
      <w:r w:rsidR="00C1717E">
        <w:t xml:space="preserve">Resource Entities that must introduce new external connectivity into plant control networks to comply with </w:t>
      </w:r>
      <w:r w:rsidR="00916A5A">
        <w:t xml:space="preserve">the NOGRR255 requirements will require sufficient time to do so in </w:t>
      </w:r>
      <w:r w:rsidR="00D77F71">
        <w:t xml:space="preserve">compliance with all applicable </w:t>
      </w:r>
      <w:r w:rsidR="004C4C6B">
        <w:t>North American Electric Reliability Corporation (</w:t>
      </w:r>
      <w:r w:rsidR="00D77F71">
        <w:t>NERC</w:t>
      </w:r>
      <w:r w:rsidR="004C4C6B">
        <w:t>)</w:t>
      </w:r>
      <w:r w:rsidR="00D77F71">
        <w:t xml:space="preserve"> </w:t>
      </w:r>
      <w:r w:rsidR="004C4C6B">
        <w:t>Critical Infrastructure Protection (</w:t>
      </w:r>
      <w:r w:rsidR="00D77F71">
        <w:t>CIP</w:t>
      </w:r>
      <w:r w:rsidR="004C4C6B">
        <w:t>)</w:t>
      </w:r>
      <w:r w:rsidR="00D77F71">
        <w:t xml:space="preserve"> standards. </w:t>
      </w:r>
      <w:r w:rsidR="004C4C6B">
        <w:t xml:space="preserve"> </w:t>
      </w:r>
      <w:r w:rsidR="00E42166">
        <w:t xml:space="preserve">ERCOT should consider treating </w:t>
      </w:r>
      <w:r w:rsidR="004C4C6B">
        <w:t>d</w:t>
      </w:r>
      <w:r w:rsidR="00E42166">
        <w:t xml:space="preserve">ata </w:t>
      </w:r>
      <w:r w:rsidR="004C4C6B">
        <w:t>r</w:t>
      </w:r>
      <w:r w:rsidR="00E42166">
        <w:t xml:space="preserve">etention </w:t>
      </w:r>
      <w:r w:rsidR="004C4C6B">
        <w:t>r</w:t>
      </w:r>
      <w:r w:rsidR="00E42166">
        <w:t>equirements that require the implementation of new operational technology systems</w:t>
      </w:r>
      <w:r w:rsidR="001B47E3">
        <w:t xml:space="preserve"> for existing </w:t>
      </w:r>
      <w:r w:rsidR="004C4C6B">
        <w:t>dynamic disturbance recording</w:t>
      </w:r>
      <w:r w:rsidR="001B47E3">
        <w:t>, fault recording</w:t>
      </w:r>
      <w:r w:rsidR="004C4C6B">
        <w:t>,</w:t>
      </w:r>
      <w:r w:rsidR="001B47E3">
        <w:t xml:space="preserve"> and </w:t>
      </w:r>
      <w:r w:rsidR="004C4C6B">
        <w:t xml:space="preserve">phasor measurement unit </w:t>
      </w:r>
      <w:r w:rsidR="001B47E3">
        <w:t xml:space="preserve">equipment similarly to </w:t>
      </w:r>
      <w:r w:rsidR="00901EB2">
        <w:t xml:space="preserve">the installation of new </w:t>
      </w:r>
      <w:r w:rsidR="00BF7986">
        <w:t>recording equipment and allow for staged implementation over time.</w:t>
      </w:r>
      <w:r w:rsidR="00572D35" w:rsidRPr="00572D35">
        <w:t> </w:t>
      </w:r>
    </w:p>
    <w:p w14:paraId="671B750C" w14:textId="3DD2BE71" w:rsidR="00572D35" w:rsidRPr="00572D35" w:rsidRDefault="00572D35" w:rsidP="00F17D21">
      <w:pPr>
        <w:pStyle w:val="NormalArial"/>
        <w:numPr>
          <w:ilvl w:val="0"/>
          <w:numId w:val="16"/>
        </w:numPr>
        <w:spacing w:before="120" w:after="120"/>
      </w:pPr>
      <w:r w:rsidRPr="00572D35">
        <w:t>The most challenging aspect of the NOGRR is the requirement to record fault data from individual IBR units</w:t>
      </w:r>
      <w:r w:rsidR="004C4C6B">
        <w:t>: paragraph (1)(b) of Section</w:t>
      </w:r>
      <w:r w:rsidRPr="00572D35">
        <w:t xml:space="preserve"> 6.1.4.1.1</w:t>
      </w:r>
      <w:r w:rsidR="003C0AE3">
        <w:t xml:space="preserve">, Sequence of Events </w:t>
      </w:r>
      <w:r w:rsidR="003C0AE3" w:rsidRPr="003C0AE3">
        <w:t>Recording Data Requirements,</w:t>
      </w:r>
      <w:r w:rsidRPr="003C0AE3">
        <w:t xml:space="preserve"> and </w:t>
      </w:r>
      <w:r w:rsidR="003C0AE3" w:rsidRPr="003C0AE3">
        <w:t xml:space="preserve">paragraph (1)(b) of Section </w:t>
      </w:r>
      <w:r w:rsidRPr="003C0AE3">
        <w:t>6.1.4.1.2</w:t>
      </w:r>
      <w:r w:rsidR="003C0AE3" w:rsidRPr="003C0AE3">
        <w:t>, Fault Recording Data and Triggering Requirements</w:t>
      </w:r>
      <w:r w:rsidRPr="003C0AE3">
        <w:t>. </w:t>
      </w:r>
      <w:r w:rsidR="003C0AE3">
        <w:t xml:space="preserve"> </w:t>
      </w:r>
      <w:r w:rsidR="008B4827" w:rsidRPr="003C0AE3">
        <w:t>Unlike the changes to plant-level</w:t>
      </w:r>
      <w:r w:rsidR="00D77A80" w:rsidRPr="003C0AE3">
        <w:t xml:space="preserve"> data recording, which largely require configuration changes to equipment that</w:t>
      </w:r>
      <w:r w:rsidR="00D77A80">
        <w:t xml:space="preserve"> </w:t>
      </w:r>
      <w:r w:rsidR="00705511">
        <w:t xml:space="preserve">is </w:t>
      </w:r>
      <w:r w:rsidR="00D77A80">
        <w:t xml:space="preserve">already commonly installed </w:t>
      </w:r>
      <w:r w:rsidR="005813FE">
        <w:t>or deployment of well-established</w:t>
      </w:r>
      <w:r w:rsidR="00705511">
        <w:t xml:space="preserve"> </w:t>
      </w:r>
      <w:r w:rsidR="005813FE">
        <w:t xml:space="preserve">technologies, </w:t>
      </w:r>
      <w:r w:rsidR="006C5BA3">
        <w:t>Engie believes that implement</w:t>
      </w:r>
      <w:r w:rsidR="0002662F">
        <w:t>ing</w:t>
      </w:r>
      <w:r w:rsidR="006C5BA3">
        <w:t xml:space="preserve"> the IBR unit </w:t>
      </w:r>
      <w:r w:rsidR="0002662F">
        <w:t xml:space="preserve">data recording requirements is a significant technical challenge that will require close cooperation with </w:t>
      </w:r>
      <w:r w:rsidR="00BC09C7">
        <w:t xml:space="preserve">and participation from IBR unit </w:t>
      </w:r>
      <w:r w:rsidR="003C0AE3">
        <w:t xml:space="preserve">original equipment manufacturers </w:t>
      </w:r>
      <w:r w:rsidR="00BC09C7">
        <w:t>and the development of novel technical solutions.</w:t>
      </w:r>
      <w:r w:rsidR="008B4827">
        <w:t xml:space="preserve"> </w:t>
      </w:r>
      <w:r w:rsidR="003C0AE3">
        <w:t xml:space="preserve"> </w:t>
      </w:r>
      <w:r w:rsidR="008B4827">
        <w:t xml:space="preserve">Below, Engie highlights specific examples of technical </w:t>
      </w:r>
      <w:r w:rsidR="005813FE">
        <w:t xml:space="preserve">challenges with the </w:t>
      </w:r>
      <w:r w:rsidR="00820537">
        <w:t>proposed changes.</w:t>
      </w:r>
    </w:p>
    <w:p w14:paraId="2B423B4A" w14:textId="21113869" w:rsidR="00BC09C7" w:rsidRDefault="00820537" w:rsidP="00F17D21">
      <w:pPr>
        <w:pStyle w:val="NormalArial"/>
        <w:numPr>
          <w:ilvl w:val="1"/>
          <w:numId w:val="17"/>
        </w:numPr>
        <w:spacing w:before="120" w:after="120"/>
      </w:pPr>
      <w:r>
        <w:t xml:space="preserve">The requirement to provide </w:t>
      </w:r>
      <w:r w:rsidR="002B03BF">
        <w:t>G</w:t>
      </w:r>
      <w:r w:rsidR="003C0AE3">
        <w:t xml:space="preserve">lobal </w:t>
      </w:r>
      <w:r w:rsidR="002B03BF">
        <w:t>P</w:t>
      </w:r>
      <w:r w:rsidR="003C0AE3">
        <w:t xml:space="preserve">ositioning </w:t>
      </w:r>
      <w:r w:rsidR="002B03BF">
        <w:t>S</w:t>
      </w:r>
      <w:r w:rsidR="003C0AE3">
        <w:t xml:space="preserve">ystem </w:t>
      </w:r>
      <w:r>
        <w:t xml:space="preserve">time synchronized </w:t>
      </w:r>
      <w:r w:rsidR="005E1DEA">
        <w:t xml:space="preserve">fault recording and </w:t>
      </w:r>
      <w:r w:rsidR="002B03BF">
        <w:t>sequence of events recording</w:t>
      </w:r>
      <w:r w:rsidR="005E1DEA">
        <w:t xml:space="preserve"> at the IBR unit level </w:t>
      </w:r>
      <w:r w:rsidR="00597294">
        <w:t>will</w:t>
      </w:r>
      <w:r w:rsidR="005E1DEA">
        <w:t xml:space="preserve"> require changes to IBR plant fibe</w:t>
      </w:r>
      <w:r w:rsidR="003D3DF7">
        <w:t>r</w:t>
      </w:r>
      <w:r w:rsidR="005E1DEA">
        <w:t xml:space="preserve">-optic networks to accommodate the distribution of </w:t>
      </w:r>
      <w:r w:rsidR="003D3DF7">
        <w:t xml:space="preserve">precision time signals from the substation to IBR units using protocols such as </w:t>
      </w:r>
      <w:r w:rsidR="002B03BF">
        <w:t>Institute of Electrical and Electronic Engineers (</w:t>
      </w:r>
      <w:r w:rsidR="003D3DF7">
        <w:t>IEEE</w:t>
      </w:r>
      <w:r w:rsidR="002B03BF">
        <w:t>)</w:t>
      </w:r>
      <w:r w:rsidR="003D3DF7">
        <w:t xml:space="preserve"> 1588</w:t>
      </w:r>
      <w:r w:rsidR="002B03BF">
        <w:t>, Standard for a Precision Clock Synchronization Protocol for Networked Measurement and Control Systems</w:t>
      </w:r>
      <w:r w:rsidR="003D3DF7">
        <w:t xml:space="preserve">. </w:t>
      </w:r>
      <w:r w:rsidR="002B03BF">
        <w:t xml:space="preserve"> </w:t>
      </w:r>
      <w:r w:rsidR="003D3DF7">
        <w:t>Replacement of network equipment in IBR units with equipment that supports precision time protocols</w:t>
      </w:r>
      <w:r w:rsidR="006A6380">
        <w:t xml:space="preserve"> will require </w:t>
      </w:r>
      <w:r w:rsidR="002B03BF">
        <w:t xml:space="preserve">original equipment </w:t>
      </w:r>
      <w:r w:rsidR="00A60080">
        <w:t>manufacturer participation</w:t>
      </w:r>
      <w:r w:rsidR="006A6380">
        <w:t xml:space="preserve"> and approval.</w:t>
      </w:r>
    </w:p>
    <w:p w14:paraId="2366458C" w14:textId="1B30B265" w:rsidR="00572D35" w:rsidRPr="00572D35" w:rsidRDefault="00597294" w:rsidP="00F17D21">
      <w:pPr>
        <w:pStyle w:val="NormalArial"/>
        <w:numPr>
          <w:ilvl w:val="1"/>
          <w:numId w:val="17"/>
        </w:numPr>
        <w:spacing w:before="120" w:after="120"/>
      </w:pPr>
      <w:r>
        <w:t xml:space="preserve">Recording IBR unit control system command values, reference values and feedback signals as required by item </w:t>
      </w:r>
      <w:r w:rsidR="00FC17F9">
        <w:t xml:space="preserve">(1)(b)(vi) of Section </w:t>
      </w:r>
      <w:r w:rsidR="00572D35" w:rsidRPr="00572D35">
        <w:t xml:space="preserve">6.1.4.1.1is dependent on </w:t>
      </w:r>
      <w:r w:rsidR="00FC17F9">
        <w:t xml:space="preserve">original equipment manufacturers </w:t>
      </w:r>
      <w:r w:rsidR="00572D35" w:rsidRPr="00572D35">
        <w:t>providing access to that data and a method of retrieving it.</w:t>
      </w:r>
      <w:r w:rsidR="002149E7">
        <w:t xml:space="preserve"> </w:t>
      </w:r>
      <w:r w:rsidR="00CD29A7">
        <w:t xml:space="preserve"> </w:t>
      </w:r>
      <w:r w:rsidR="002149E7">
        <w:t xml:space="preserve">IBR unit owners do not typically have access to this level of data and it may be considered proprietary by </w:t>
      </w:r>
      <w:r w:rsidR="00FC17F9">
        <w:t>original equipment manufacturers</w:t>
      </w:r>
      <w:r w:rsidR="002149E7">
        <w:t>.</w:t>
      </w:r>
      <w:r w:rsidR="00572D35" w:rsidRPr="00572D35">
        <w:t xml:space="preserve"> </w:t>
      </w:r>
      <w:r w:rsidR="00FC17F9">
        <w:t xml:space="preserve"> </w:t>
      </w:r>
      <w:r w:rsidR="002149E7">
        <w:t>T</w:t>
      </w:r>
      <w:r w:rsidR="00572D35" w:rsidRPr="00572D35">
        <w:t xml:space="preserve">he feasibility of </w:t>
      </w:r>
      <w:r w:rsidR="002149E7">
        <w:t>recording such data will</w:t>
      </w:r>
      <w:r w:rsidR="00572D35" w:rsidRPr="00572D35">
        <w:t xml:space="preserve"> have to be determined on a plant</w:t>
      </w:r>
      <w:r w:rsidR="00FC17F9">
        <w:t>-</w:t>
      </w:r>
      <w:r w:rsidR="00572D35" w:rsidRPr="00572D35">
        <w:t>by</w:t>
      </w:r>
      <w:r w:rsidR="00FC17F9">
        <w:t>-</w:t>
      </w:r>
      <w:r w:rsidR="00572D35" w:rsidRPr="00572D35">
        <w:t>plant basis.</w:t>
      </w:r>
    </w:p>
    <w:p w14:paraId="07A64AB1" w14:textId="49051580" w:rsidR="001A372B" w:rsidRDefault="00344882" w:rsidP="001A372B">
      <w:pPr>
        <w:pStyle w:val="NormalArial"/>
        <w:numPr>
          <w:ilvl w:val="1"/>
          <w:numId w:val="17"/>
        </w:numPr>
        <w:spacing w:before="120" w:after="120"/>
      </w:pPr>
      <w:r>
        <w:lastRenderedPageBreak/>
        <w:t>Pursuant to paragraph (</w:t>
      </w:r>
      <w:r w:rsidR="00550CF4">
        <w:t>2</w:t>
      </w:r>
      <w:r>
        <w:t xml:space="preserve">)(b) of Section </w:t>
      </w:r>
      <w:r w:rsidR="00572D35" w:rsidRPr="00572D35">
        <w:t>6.1.4.1.2</w:t>
      </w:r>
      <w:r>
        <w:t>,</w:t>
      </w:r>
      <w:r w:rsidR="00572D35" w:rsidRPr="00572D35">
        <w:t xml:space="preserve"> </w:t>
      </w:r>
      <w:r w:rsidR="00DF30A9">
        <w:t xml:space="preserve">Engie does not believe that </w:t>
      </w:r>
      <w:r w:rsidR="00A60B7C">
        <w:t xml:space="preserve">the protection and control </w:t>
      </w:r>
      <w:r w:rsidR="00572D35" w:rsidRPr="00572D35">
        <w:t>equipment installed today</w:t>
      </w:r>
      <w:r w:rsidR="00A60B7C">
        <w:t xml:space="preserve"> in many IBR units</w:t>
      </w:r>
      <w:r w:rsidR="00572D35" w:rsidRPr="00572D35">
        <w:t xml:space="preserve"> can record this data at the resolution and </w:t>
      </w:r>
      <w:r w:rsidR="00A60B7C">
        <w:t>duration</w:t>
      </w:r>
      <w:r w:rsidR="00572D35" w:rsidRPr="00572D35">
        <w:t xml:space="preserve"> requested. </w:t>
      </w:r>
      <w:r w:rsidR="00DF30A9">
        <w:t>While i</w:t>
      </w:r>
      <w:r w:rsidR="00572D35" w:rsidRPr="00572D35">
        <w:t>t is</w:t>
      </w:r>
      <w:r w:rsidR="000576F6">
        <w:t xml:space="preserve"> technically</w:t>
      </w:r>
      <w:r w:rsidR="00572D35" w:rsidRPr="00572D35">
        <w:t xml:space="preserve"> feasible</w:t>
      </w:r>
      <w:r w:rsidR="00CC4563">
        <w:t xml:space="preserve"> to retrofit IBR units with state-of-the-art fault recording equipment</w:t>
      </w:r>
      <w:r w:rsidR="00572D35" w:rsidRPr="00572D35">
        <w:t xml:space="preserve">, </w:t>
      </w:r>
      <w:r w:rsidR="00DF30A9">
        <w:t>it</w:t>
      </w:r>
      <w:r w:rsidR="00572D35" w:rsidRPr="00572D35">
        <w:t xml:space="preserve"> would be a complex engineering project requiring physical modification of one IBR unit on each feeder at each site to </w:t>
      </w:r>
      <w:r w:rsidR="00746C00">
        <w:t>do so</w:t>
      </w:r>
      <w:r w:rsidR="00572D35" w:rsidRPr="00572D35">
        <w:t>.</w:t>
      </w:r>
      <w:r w:rsidR="00746C00">
        <w:t xml:space="preserve"> </w:t>
      </w:r>
      <w:r w:rsidR="00DF30A9">
        <w:t>C</w:t>
      </w:r>
      <w:r w:rsidR="00572D35" w:rsidRPr="00572D35">
        <w:t xml:space="preserve">onservatively, </w:t>
      </w:r>
      <w:r w:rsidR="00F17D21">
        <w:t xml:space="preserve">Engie believes </w:t>
      </w:r>
      <w:r w:rsidR="00F71DE8">
        <w:t xml:space="preserve">it would </w:t>
      </w:r>
      <w:r w:rsidR="00F17D21">
        <w:t xml:space="preserve">take </w:t>
      </w:r>
      <w:r w:rsidR="00572D35" w:rsidRPr="00572D35">
        <w:t xml:space="preserve">several years to accomplish this </w:t>
      </w:r>
      <w:r w:rsidR="00F17D21">
        <w:t>effort</w:t>
      </w:r>
      <w:r w:rsidR="00572D35" w:rsidRPr="00572D35">
        <w:t>.</w:t>
      </w:r>
      <w:r w:rsidR="00B46E42">
        <w:t xml:space="preserve"> </w:t>
      </w:r>
      <w:r>
        <w:t xml:space="preserve"> </w:t>
      </w:r>
      <w:r w:rsidR="00F71DE8">
        <w:t>ERCOT shoul</w:t>
      </w:r>
      <w:r w:rsidR="000576F6">
        <w:t xml:space="preserve">d consider establishing extended timelines or exceptions for IBR unit level data recording if Resource Entities can demonstrate that retrofits are </w:t>
      </w:r>
      <w:r w:rsidR="00A90D33">
        <w:t>required to comply</w:t>
      </w:r>
      <w:r w:rsidR="00E51459">
        <w:t xml:space="preserve"> and that they have exhausted all reasonable options to maximize the capability of existing equipment</w:t>
      </w:r>
      <w:r w:rsidR="00A90D33">
        <w:t>.</w:t>
      </w:r>
    </w:p>
    <w:p w14:paraId="6F1E883E" w14:textId="37DF68C3" w:rsidR="001A372B" w:rsidRDefault="00021783" w:rsidP="00D5047B">
      <w:pPr>
        <w:pStyle w:val="NormalArial"/>
        <w:numPr>
          <w:ilvl w:val="1"/>
          <w:numId w:val="17"/>
        </w:numPr>
        <w:spacing w:before="120" w:after="120"/>
      </w:pPr>
      <w:r>
        <w:t xml:space="preserve">ERCOT should clarify whether the proposed IBR unit-level data recorders are required to trigger based on thresholds measured </w:t>
      </w:r>
      <w:r w:rsidR="00305B86">
        <w:t xml:space="preserve">at the </w:t>
      </w:r>
      <w:r w:rsidR="00344882">
        <w:t>Point of Interconnection (</w:t>
      </w:r>
      <w:r w:rsidR="00305B86">
        <w:t>POI</w:t>
      </w:r>
      <w:r w:rsidR="00344882">
        <w:t>)</w:t>
      </w:r>
      <w:r w:rsidR="00305B86">
        <w:t xml:space="preserve"> or at the unit terminals. </w:t>
      </w:r>
      <w:r w:rsidR="00344882">
        <w:t xml:space="preserve"> </w:t>
      </w:r>
      <w:r w:rsidR="00305B86">
        <w:t xml:space="preserve">Triggering based on thresholds measured remotely will increase the complexity of the required </w:t>
      </w:r>
      <w:r w:rsidR="00B66A04">
        <w:t xml:space="preserve">recording systems since it will necessitate very high speed communications between substation </w:t>
      </w:r>
      <w:r w:rsidR="00DF37A1">
        <w:t>data recorders and IBR unit recorders.</w:t>
      </w:r>
    </w:p>
    <w:p w14:paraId="408FB9B8" w14:textId="70FCFD60" w:rsidR="00572D35" w:rsidRPr="00572D35" w:rsidRDefault="009149B8" w:rsidP="00572D35">
      <w:pPr>
        <w:pStyle w:val="NormalArial"/>
        <w:spacing w:before="120" w:after="120"/>
      </w:pPr>
      <w:r w:rsidRPr="00892ECC">
        <w:t>In conclusion, Engie understands that NERC is currently working on NERC Reliability Standard PRC-028</w:t>
      </w:r>
      <w:r w:rsidRPr="00FB6B4F">
        <w:rPr>
          <w:rFonts w:eastAsiaTheme="minorHAnsi"/>
        </w:rPr>
        <w:t>, which is currently being drafted and going through revisions</w:t>
      </w:r>
      <w:r w:rsidRPr="00892ECC">
        <w:t xml:space="preserve">, addressing the same issue.  Engie </w:t>
      </w:r>
      <w:r w:rsidRPr="00FB6B4F">
        <w:rPr>
          <w:rFonts w:eastAsiaTheme="minorHAnsi"/>
        </w:rPr>
        <w:t>is concerned that ERCOT is creating a similar but conflicting standard.</w:t>
      </w:r>
      <w:r w:rsidR="00344882">
        <w:rPr>
          <w:rFonts w:eastAsiaTheme="minorHAnsi"/>
        </w:rPr>
        <w:t xml:space="preserve"> </w:t>
      </w:r>
      <w:r w:rsidRPr="00FB6B4F">
        <w:rPr>
          <w:rFonts w:eastAsiaTheme="minorHAnsi"/>
        </w:rPr>
        <w:t xml:space="preserve"> </w:t>
      </w:r>
      <w:r w:rsidR="00BE6AD2" w:rsidRPr="00FB6B4F">
        <w:rPr>
          <w:rFonts w:eastAsiaTheme="minorHAnsi"/>
        </w:rPr>
        <w:t xml:space="preserve">As Engie as highlighted in its comments, many of the actions required by NOGRR255 require active involvement from IBR unit </w:t>
      </w:r>
      <w:r w:rsidR="00344882">
        <w:rPr>
          <w:rFonts w:eastAsiaTheme="minorHAnsi"/>
        </w:rPr>
        <w:t>original equipment manufacturers</w:t>
      </w:r>
      <w:r w:rsidR="00BE6AD2" w:rsidRPr="00FB6B4F">
        <w:rPr>
          <w:rFonts w:eastAsiaTheme="minorHAnsi"/>
        </w:rPr>
        <w:t xml:space="preserve">. </w:t>
      </w:r>
      <w:r w:rsidR="00344882">
        <w:rPr>
          <w:rFonts w:eastAsiaTheme="minorHAnsi"/>
        </w:rPr>
        <w:t xml:space="preserve"> </w:t>
      </w:r>
      <w:r w:rsidR="00AD40F9" w:rsidRPr="00FB6B4F">
        <w:rPr>
          <w:rFonts w:eastAsiaTheme="minorHAnsi"/>
        </w:rPr>
        <w:t>A single, North American reliability standard will allow the industry to focus its efforts to complying with one, mandatory standard rather than numerous different regional standards.</w:t>
      </w:r>
      <w:r w:rsidRPr="00FB6B4F">
        <w:rPr>
          <w:rFonts w:eastAsiaTheme="minorHAnsi"/>
        </w:rPr>
        <w:t xml:space="preserve"> </w:t>
      </w:r>
      <w:r w:rsidR="00344882">
        <w:rPr>
          <w:rFonts w:eastAsiaTheme="minorHAnsi"/>
        </w:rPr>
        <w:t xml:space="preserve"> </w:t>
      </w:r>
      <w:r w:rsidRPr="00FB6B4F">
        <w:rPr>
          <w:rFonts w:eastAsiaTheme="minorHAnsi"/>
        </w:rPr>
        <w:t>Therefore, Engie recommends that NOGRR255 remain tabled to allow for alignment with PRC-028.</w:t>
      </w:r>
      <w:r w:rsidR="001705D9" w:rsidRPr="00FB6B4F">
        <w:rPr>
          <w:rFonts w:eastAsiaTheme="minorHAnsi"/>
        </w:rPr>
        <w:t xml:space="preserve"> </w:t>
      </w:r>
      <w:r w:rsidR="00344882">
        <w:rPr>
          <w:rFonts w:eastAsiaTheme="minorHAnsi"/>
        </w:rPr>
        <w:t xml:space="preserve"> </w:t>
      </w:r>
      <w:r w:rsidR="001705D9" w:rsidRPr="00FB6B4F">
        <w:rPr>
          <w:rFonts w:eastAsiaTheme="minorHAnsi"/>
        </w:rPr>
        <w:t xml:space="preserve">Engie also recommends that ERCOT issue </w:t>
      </w:r>
      <w:r w:rsidR="00344882">
        <w:rPr>
          <w:rFonts w:eastAsiaTheme="minorHAnsi"/>
        </w:rPr>
        <w:t xml:space="preserve">a </w:t>
      </w:r>
      <w:r w:rsidR="002A01ED">
        <w:rPr>
          <w:rFonts w:eastAsiaTheme="minorHAnsi"/>
        </w:rPr>
        <w:t>R</w:t>
      </w:r>
      <w:r w:rsidR="00344882">
        <w:rPr>
          <w:rFonts w:eastAsiaTheme="minorHAnsi"/>
        </w:rPr>
        <w:t xml:space="preserve">equest </w:t>
      </w:r>
      <w:r w:rsidR="002A01ED">
        <w:rPr>
          <w:rFonts w:eastAsiaTheme="minorHAnsi"/>
        </w:rPr>
        <w:t>F</w:t>
      </w:r>
      <w:r w:rsidR="00344882">
        <w:rPr>
          <w:rFonts w:eastAsiaTheme="minorHAnsi"/>
        </w:rPr>
        <w:t xml:space="preserve">or </w:t>
      </w:r>
      <w:r w:rsidR="002A01ED">
        <w:rPr>
          <w:rFonts w:eastAsiaTheme="minorHAnsi"/>
        </w:rPr>
        <w:t>I</w:t>
      </w:r>
      <w:r w:rsidR="00344882">
        <w:rPr>
          <w:rFonts w:eastAsiaTheme="minorHAnsi"/>
        </w:rPr>
        <w:t>nformation</w:t>
      </w:r>
      <w:r w:rsidR="001705D9" w:rsidRPr="00FB6B4F">
        <w:rPr>
          <w:rFonts w:eastAsiaTheme="minorHAnsi"/>
        </w:rPr>
        <w:t xml:space="preserve"> to </w:t>
      </w:r>
      <w:r w:rsidR="00344882">
        <w:rPr>
          <w:rFonts w:eastAsiaTheme="minorHAnsi"/>
        </w:rPr>
        <w:t>original equipment manufacturers</w:t>
      </w:r>
      <w:r w:rsidR="006609D0" w:rsidRPr="00FB6B4F">
        <w:rPr>
          <w:rFonts w:eastAsiaTheme="minorHAnsi"/>
        </w:rPr>
        <w:t xml:space="preserve"> specifically addressing the IBR unit level data recording requirements to gain further context on the ability of existing IBR units to comply without retrofit.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73752987" w:rsidR="006037B8" w:rsidRPr="00350C00" w:rsidRDefault="00B51563" w:rsidP="00BA1572">
      <w:pPr>
        <w:pStyle w:val="BodyText"/>
        <w:spacing w:before="120" w:after="120"/>
        <w:rPr>
          <w:rFonts w:ascii="Arial" w:hAnsi="Arial" w:cs="Arial"/>
          <w:b/>
          <w:color w:val="FF0000"/>
        </w:rPr>
      </w:pPr>
      <w:r>
        <w:rPr>
          <w:rFonts w:ascii="Arial" w:hAnsi="Arial" w:cs="Arial"/>
          <w:bCs/>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1177711E" w14:textId="6CD588EB" w:rsidR="00F228DE" w:rsidRPr="00A60080" w:rsidRDefault="004C4E31" w:rsidP="00A60080">
      <w:pPr>
        <w:pStyle w:val="BodyText"/>
        <w:spacing w:before="120" w:after="120"/>
        <w:rPr>
          <w:rFonts w:ascii="Arial" w:hAnsi="Arial" w:cs="Arial"/>
          <w:b/>
          <w:color w:val="FF0000"/>
        </w:rPr>
      </w:pPr>
      <w:r>
        <w:rPr>
          <w:rFonts w:ascii="Arial" w:hAnsi="Arial" w:cs="Arial"/>
          <w:bCs/>
        </w:rPr>
        <w:t>None</w:t>
      </w:r>
    </w:p>
    <w:sectPr w:rsidR="00F228DE" w:rsidRPr="00A60080">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E4A2" w14:textId="77777777" w:rsidR="00D51189" w:rsidRDefault="00D51189">
      <w:r>
        <w:separator/>
      </w:r>
    </w:p>
  </w:endnote>
  <w:endnote w:type="continuationSeparator" w:id="0">
    <w:p w14:paraId="52496283" w14:textId="77777777" w:rsidR="00D51189" w:rsidRDefault="00D5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42BDA130"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675B79">
      <w:rPr>
        <w:rFonts w:ascii="Arial" w:hAnsi="Arial" w:cs="Arial"/>
        <w:sz w:val="18"/>
        <w:szCs w:val="18"/>
      </w:rPr>
      <w:t>11</w:t>
    </w:r>
    <w:r w:rsidR="006037B8">
      <w:rPr>
        <w:rFonts w:ascii="Arial" w:hAnsi="Arial" w:cs="Arial"/>
        <w:sz w:val="18"/>
        <w:szCs w:val="18"/>
      </w:rPr>
      <w:t xml:space="preserve"> </w:t>
    </w:r>
    <w:r w:rsidR="00117FBD">
      <w:rPr>
        <w:rFonts w:ascii="Arial" w:hAnsi="Arial" w:cs="Arial"/>
        <w:sz w:val="18"/>
        <w:szCs w:val="18"/>
      </w:rPr>
      <w:t>E</w:t>
    </w:r>
    <w:r w:rsidR="004C4E31">
      <w:rPr>
        <w:rFonts w:ascii="Arial" w:hAnsi="Arial" w:cs="Arial"/>
        <w:sz w:val="18"/>
        <w:szCs w:val="18"/>
      </w:rPr>
      <w:t xml:space="preserve">ngie </w:t>
    </w:r>
    <w:r w:rsidR="006037B8">
      <w:rPr>
        <w:rFonts w:ascii="Arial" w:hAnsi="Arial" w:cs="Arial"/>
        <w:sz w:val="18"/>
        <w:szCs w:val="18"/>
      </w:rPr>
      <w:t>Comments</w:t>
    </w:r>
    <w:r w:rsidR="009826E7" w:rsidRPr="009826E7">
      <w:rPr>
        <w:rFonts w:ascii="Arial" w:hAnsi="Arial" w:cs="Arial"/>
        <w:sz w:val="18"/>
        <w:szCs w:val="18"/>
      </w:rPr>
      <w:t xml:space="preserve"> </w:t>
    </w:r>
    <w:r w:rsidR="004C4E31">
      <w:rPr>
        <w:rFonts w:ascii="Arial" w:hAnsi="Arial" w:cs="Arial"/>
        <w:sz w:val="18"/>
        <w:szCs w:val="18"/>
      </w:rPr>
      <w:t>12</w:t>
    </w:r>
    <w:r w:rsidR="00675B79">
      <w:rPr>
        <w:rFonts w:ascii="Arial" w:hAnsi="Arial" w:cs="Arial"/>
        <w:sz w:val="18"/>
        <w:szCs w:val="18"/>
      </w:rPr>
      <w:t>07</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1653" w14:textId="77777777" w:rsidR="00D51189" w:rsidRDefault="00D51189">
      <w:r>
        <w:separator/>
      </w:r>
    </w:p>
  </w:footnote>
  <w:footnote w:type="continuationSeparator" w:id="0">
    <w:p w14:paraId="0F7B4DA7" w14:textId="77777777" w:rsidR="00D51189" w:rsidRDefault="00D51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723431"/>
    <w:multiLevelType w:val="multilevel"/>
    <w:tmpl w:val="D7DCC26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11125B"/>
    <w:multiLevelType w:val="multilevel"/>
    <w:tmpl w:val="B258512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87F38E5"/>
    <w:multiLevelType w:val="multilevel"/>
    <w:tmpl w:val="BAB09B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E720E38"/>
    <w:multiLevelType w:val="multilevel"/>
    <w:tmpl w:val="7772EA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0"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17E6FA6"/>
    <w:multiLevelType w:val="multilevel"/>
    <w:tmpl w:val="20D00D4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5"/>
  </w:num>
  <w:num w:numId="2" w16cid:durableId="580916476">
    <w:abstractNumId w:val="1"/>
  </w:num>
  <w:num w:numId="3" w16cid:durableId="1061488706">
    <w:abstractNumId w:val="12"/>
  </w:num>
  <w:num w:numId="4" w16cid:durableId="1596087232">
    <w:abstractNumId w:val="3"/>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9"/>
  </w:num>
  <w:num w:numId="7" w16cid:durableId="1827478828">
    <w:abstractNumId w:val="16"/>
  </w:num>
  <w:num w:numId="8" w16cid:durableId="213779540">
    <w:abstractNumId w:val="13"/>
  </w:num>
  <w:num w:numId="9" w16cid:durableId="1866362166">
    <w:abstractNumId w:val="14"/>
  </w:num>
  <w:num w:numId="10" w16cid:durableId="845364690">
    <w:abstractNumId w:val="2"/>
  </w:num>
  <w:num w:numId="11" w16cid:durableId="1186751359">
    <w:abstractNumId w:val="8"/>
  </w:num>
  <w:num w:numId="12" w16cid:durableId="567810260">
    <w:abstractNumId w:val="10"/>
  </w:num>
  <w:num w:numId="13" w16cid:durableId="5237118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3303072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2085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018555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04871">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21783"/>
    <w:rsid w:val="0002662F"/>
    <w:rsid w:val="00035A07"/>
    <w:rsid w:val="00035F62"/>
    <w:rsid w:val="00037F41"/>
    <w:rsid w:val="000576F6"/>
    <w:rsid w:val="00060A5A"/>
    <w:rsid w:val="00064B44"/>
    <w:rsid w:val="00065465"/>
    <w:rsid w:val="000665A6"/>
    <w:rsid w:val="00067FE2"/>
    <w:rsid w:val="0007398C"/>
    <w:rsid w:val="0007682E"/>
    <w:rsid w:val="00080D15"/>
    <w:rsid w:val="000820AA"/>
    <w:rsid w:val="00084223"/>
    <w:rsid w:val="00086AA2"/>
    <w:rsid w:val="000949EB"/>
    <w:rsid w:val="00094DDC"/>
    <w:rsid w:val="000B1BB4"/>
    <w:rsid w:val="000B7800"/>
    <w:rsid w:val="000C117E"/>
    <w:rsid w:val="000D1426"/>
    <w:rsid w:val="000D1AEB"/>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5246"/>
    <w:rsid w:val="001352A9"/>
    <w:rsid w:val="001424E3"/>
    <w:rsid w:val="0014546D"/>
    <w:rsid w:val="0014663D"/>
    <w:rsid w:val="001469E0"/>
    <w:rsid w:val="001500D9"/>
    <w:rsid w:val="00150A8D"/>
    <w:rsid w:val="00155516"/>
    <w:rsid w:val="00156DB7"/>
    <w:rsid w:val="00157228"/>
    <w:rsid w:val="00157E27"/>
    <w:rsid w:val="00160C3C"/>
    <w:rsid w:val="0016127C"/>
    <w:rsid w:val="001705D9"/>
    <w:rsid w:val="0017783C"/>
    <w:rsid w:val="0019314C"/>
    <w:rsid w:val="00197AB5"/>
    <w:rsid w:val="001A372B"/>
    <w:rsid w:val="001A79CA"/>
    <w:rsid w:val="001B12B3"/>
    <w:rsid w:val="001B47E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1F775E"/>
    <w:rsid w:val="00207BE9"/>
    <w:rsid w:val="00214263"/>
    <w:rsid w:val="002149E7"/>
    <w:rsid w:val="002258B8"/>
    <w:rsid w:val="00225A9E"/>
    <w:rsid w:val="00226217"/>
    <w:rsid w:val="00237430"/>
    <w:rsid w:val="00240BC7"/>
    <w:rsid w:val="002446C2"/>
    <w:rsid w:val="002469CF"/>
    <w:rsid w:val="002503C7"/>
    <w:rsid w:val="002508D0"/>
    <w:rsid w:val="0025248A"/>
    <w:rsid w:val="002531F9"/>
    <w:rsid w:val="0025728A"/>
    <w:rsid w:val="00262423"/>
    <w:rsid w:val="00262788"/>
    <w:rsid w:val="002631E5"/>
    <w:rsid w:val="0026710F"/>
    <w:rsid w:val="00272C15"/>
    <w:rsid w:val="00274A6D"/>
    <w:rsid w:val="00274B0D"/>
    <w:rsid w:val="00276A99"/>
    <w:rsid w:val="00281187"/>
    <w:rsid w:val="00284341"/>
    <w:rsid w:val="00286AD9"/>
    <w:rsid w:val="002909DD"/>
    <w:rsid w:val="002918C5"/>
    <w:rsid w:val="002928F9"/>
    <w:rsid w:val="0029405C"/>
    <w:rsid w:val="002966F3"/>
    <w:rsid w:val="002A00D1"/>
    <w:rsid w:val="002A01ED"/>
    <w:rsid w:val="002A5C26"/>
    <w:rsid w:val="002B03BF"/>
    <w:rsid w:val="002B041C"/>
    <w:rsid w:val="002B0507"/>
    <w:rsid w:val="002B20B7"/>
    <w:rsid w:val="002B69F3"/>
    <w:rsid w:val="002B763A"/>
    <w:rsid w:val="002C5A26"/>
    <w:rsid w:val="002D382A"/>
    <w:rsid w:val="002D478C"/>
    <w:rsid w:val="002E7D73"/>
    <w:rsid w:val="002F005A"/>
    <w:rsid w:val="002F1EDD"/>
    <w:rsid w:val="003013F2"/>
    <w:rsid w:val="003017DD"/>
    <w:rsid w:val="0030232A"/>
    <w:rsid w:val="003047A5"/>
    <w:rsid w:val="00304F75"/>
    <w:rsid w:val="00305B86"/>
    <w:rsid w:val="0030694A"/>
    <w:rsid w:val="003069F4"/>
    <w:rsid w:val="00315DD4"/>
    <w:rsid w:val="00316730"/>
    <w:rsid w:val="00324066"/>
    <w:rsid w:val="00324BCF"/>
    <w:rsid w:val="00330DBD"/>
    <w:rsid w:val="00344882"/>
    <w:rsid w:val="00346969"/>
    <w:rsid w:val="00347BEE"/>
    <w:rsid w:val="00360920"/>
    <w:rsid w:val="003613A7"/>
    <w:rsid w:val="003618DF"/>
    <w:rsid w:val="003652EA"/>
    <w:rsid w:val="00366C7A"/>
    <w:rsid w:val="00380034"/>
    <w:rsid w:val="003832C0"/>
    <w:rsid w:val="00384709"/>
    <w:rsid w:val="00385B5D"/>
    <w:rsid w:val="00385D75"/>
    <w:rsid w:val="00386C35"/>
    <w:rsid w:val="003940F1"/>
    <w:rsid w:val="003978D5"/>
    <w:rsid w:val="003A3D77"/>
    <w:rsid w:val="003A71CF"/>
    <w:rsid w:val="003B0249"/>
    <w:rsid w:val="003B5AED"/>
    <w:rsid w:val="003C0AE3"/>
    <w:rsid w:val="003C6B7B"/>
    <w:rsid w:val="003D1849"/>
    <w:rsid w:val="003D3DF7"/>
    <w:rsid w:val="003D4FD5"/>
    <w:rsid w:val="003E2CAD"/>
    <w:rsid w:val="003E429A"/>
    <w:rsid w:val="003E78D0"/>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225E"/>
    <w:rsid w:val="0049290B"/>
    <w:rsid w:val="004A1E09"/>
    <w:rsid w:val="004A4451"/>
    <w:rsid w:val="004A7ACE"/>
    <w:rsid w:val="004B60D1"/>
    <w:rsid w:val="004B61B7"/>
    <w:rsid w:val="004C4C6B"/>
    <w:rsid w:val="004C4E31"/>
    <w:rsid w:val="004D1032"/>
    <w:rsid w:val="004D3958"/>
    <w:rsid w:val="004E68C2"/>
    <w:rsid w:val="004E7B0B"/>
    <w:rsid w:val="004F1685"/>
    <w:rsid w:val="004F4B77"/>
    <w:rsid w:val="004F693B"/>
    <w:rsid w:val="005008DF"/>
    <w:rsid w:val="00501B11"/>
    <w:rsid w:val="005045D0"/>
    <w:rsid w:val="00513004"/>
    <w:rsid w:val="005232D7"/>
    <w:rsid w:val="00523EC6"/>
    <w:rsid w:val="005266C2"/>
    <w:rsid w:val="0052759C"/>
    <w:rsid w:val="00530522"/>
    <w:rsid w:val="005309D3"/>
    <w:rsid w:val="005347F7"/>
    <w:rsid w:val="00534C51"/>
    <w:rsid w:val="00534C6C"/>
    <w:rsid w:val="005362D6"/>
    <w:rsid w:val="00550CF4"/>
    <w:rsid w:val="0057093A"/>
    <w:rsid w:val="00572D35"/>
    <w:rsid w:val="005813FE"/>
    <w:rsid w:val="005841C0"/>
    <w:rsid w:val="005859E8"/>
    <w:rsid w:val="0059260F"/>
    <w:rsid w:val="00597294"/>
    <w:rsid w:val="005972BC"/>
    <w:rsid w:val="005A58D4"/>
    <w:rsid w:val="005B52DE"/>
    <w:rsid w:val="005B6742"/>
    <w:rsid w:val="005C2E04"/>
    <w:rsid w:val="005C4691"/>
    <w:rsid w:val="005C491B"/>
    <w:rsid w:val="005D5F34"/>
    <w:rsid w:val="005E1DEA"/>
    <w:rsid w:val="005E204C"/>
    <w:rsid w:val="005E5074"/>
    <w:rsid w:val="005E6BD1"/>
    <w:rsid w:val="005F34EB"/>
    <w:rsid w:val="006034D5"/>
    <w:rsid w:val="006037B8"/>
    <w:rsid w:val="00604647"/>
    <w:rsid w:val="006047C1"/>
    <w:rsid w:val="00612E4F"/>
    <w:rsid w:val="006135A0"/>
    <w:rsid w:val="0061498F"/>
    <w:rsid w:val="00615D5E"/>
    <w:rsid w:val="00616B5A"/>
    <w:rsid w:val="006174B9"/>
    <w:rsid w:val="00622E99"/>
    <w:rsid w:val="00625E5D"/>
    <w:rsid w:val="006420F9"/>
    <w:rsid w:val="006609D0"/>
    <w:rsid w:val="0066370F"/>
    <w:rsid w:val="006713F2"/>
    <w:rsid w:val="006724C4"/>
    <w:rsid w:val="006741CE"/>
    <w:rsid w:val="00674754"/>
    <w:rsid w:val="00675B79"/>
    <w:rsid w:val="0067787B"/>
    <w:rsid w:val="00680F78"/>
    <w:rsid w:val="00684000"/>
    <w:rsid w:val="006902B2"/>
    <w:rsid w:val="006A0784"/>
    <w:rsid w:val="006A2A79"/>
    <w:rsid w:val="006A6380"/>
    <w:rsid w:val="006A697B"/>
    <w:rsid w:val="006B2873"/>
    <w:rsid w:val="006B4DDE"/>
    <w:rsid w:val="006C1A1C"/>
    <w:rsid w:val="006C3E55"/>
    <w:rsid w:val="006C59AA"/>
    <w:rsid w:val="006C5B14"/>
    <w:rsid w:val="006C5BA3"/>
    <w:rsid w:val="006E4B06"/>
    <w:rsid w:val="006F04BA"/>
    <w:rsid w:val="006F2AA5"/>
    <w:rsid w:val="00700DD4"/>
    <w:rsid w:val="007011AC"/>
    <w:rsid w:val="00701B93"/>
    <w:rsid w:val="00702DC8"/>
    <w:rsid w:val="00705228"/>
    <w:rsid w:val="00705511"/>
    <w:rsid w:val="00714885"/>
    <w:rsid w:val="00714F3F"/>
    <w:rsid w:val="00716067"/>
    <w:rsid w:val="00726417"/>
    <w:rsid w:val="0073300F"/>
    <w:rsid w:val="00743968"/>
    <w:rsid w:val="00743CED"/>
    <w:rsid w:val="00744745"/>
    <w:rsid w:val="00746C00"/>
    <w:rsid w:val="00752598"/>
    <w:rsid w:val="00764DDE"/>
    <w:rsid w:val="00773CDA"/>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4E5A"/>
    <w:rsid w:val="007D64B9"/>
    <w:rsid w:val="007D6D00"/>
    <w:rsid w:val="007D72D4"/>
    <w:rsid w:val="007E036F"/>
    <w:rsid w:val="007E0452"/>
    <w:rsid w:val="007E34A3"/>
    <w:rsid w:val="007F4F65"/>
    <w:rsid w:val="007F53D9"/>
    <w:rsid w:val="008036E9"/>
    <w:rsid w:val="00803CB9"/>
    <w:rsid w:val="008070C0"/>
    <w:rsid w:val="00811C12"/>
    <w:rsid w:val="008158BD"/>
    <w:rsid w:val="00816950"/>
    <w:rsid w:val="00820537"/>
    <w:rsid w:val="00826EE8"/>
    <w:rsid w:val="00831266"/>
    <w:rsid w:val="008317FF"/>
    <w:rsid w:val="008320A7"/>
    <w:rsid w:val="008320DB"/>
    <w:rsid w:val="00832D35"/>
    <w:rsid w:val="008344E9"/>
    <w:rsid w:val="008414C2"/>
    <w:rsid w:val="00845778"/>
    <w:rsid w:val="0086076A"/>
    <w:rsid w:val="008642A4"/>
    <w:rsid w:val="00871F0D"/>
    <w:rsid w:val="008807D3"/>
    <w:rsid w:val="00883499"/>
    <w:rsid w:val="008845A6"/>
    <w:rsid w:val="00887E28"/>
    <w:rsid w:val="00892ECC"/>
    <w:rsid w:val="008978AA"/>
    <w:rsid w:val="008A4E86"/>
    <w:rsid w:val="008A6E01"/>
    <w:rsid w:val="008B4827"/>
    <w:rsid w:val="008B554B"/>
    <w:rsid w:val="008B71CC"/>
    <w:rsid w:val="008D5C3A"/>
    <w:rsid w:val="008E4617"/>
    <w:rsid w:val="008E6DA2"/>
    <w:rsid w:val="00901EB2"/>
    <w:rsid w:val="00907B1E"/>
    <w:rsid w:val="00910C3F"/>
    <w:rsid w:val="00910DB1"/>
    <w:rsid w:val="00910F9E"/>
    <w:rsid w:val="00912AB7"/>
    <w:rsid w:val="009149B8"/>
    <w:rsid w:val="00916A5A"/>
    <w:rsid w:val="0092117B"/>
    <w:rsid w:val="0092735F"/>
    <w:rsid w:val="00937DA1"/>
    <w:rsid w:val="0094195C"/>
    <w:rsid w:val="00943AFD"/>
    <w:rsid w:val="009456C2"/>
    <w:rsid w:val="0095567C"/>
    <w:rsid w:val="00963A51"/>
    <w:rsid w:val="009666C7"/>
    <w:rsid w:val="009734BB"/>
    <w:rsid w:val="009753C1"/>
    <w:rsid w:val="00976A60"/>
    <w:rsid w:val="00981DF7"/>
    <w:rsid w:val="009826E7"/>
    <w:rsid w:val="00983B6E"/>
    <w:rsid w:val="00992AC2"/>
    <w:rsid w:val="009936F8"/>
    <w:rsid w:val="009A3772"/>
    <w:rsid w:val="009B63EB"/>
    <w:rsid w:val="009B7E8A"/>
    <w:rsid w:val="009C5E18"/>
    <w:rsid w:val="009D0C96"/>
    <w:rsid w:val="009D17F0"/>
    <w:rsid w:val="009D267E"/>
    <w:rsid w:val="009E1493"/>
    <w:rsid w:val="009E2981"/>
    <w:rsid w:val="009E7B60"/>
    <w:rsid w:val="009F362D"/>
    <w:rsid w:val="00A03DFC"/>
    <w:rsid w:val="00A04D6B"/>
    <w:rsid w:val="00A11807"/>
    <w:rsid w:val="00A1352A"/>
    <w:rsid w:val="00A172AA"/>
    <w:rsid w:val="00A24EFD"/>
    <w:rsid w:val="00A26EA1"/>
    <w:rsid w:val="00A426C1"/>
    <w:rsid w:val="00A42796"/>
    <w:rsid w:val="00A5217F"/>
    <w:rsid w:val="00A52594"/>
    <w:rsid w:val="00A5311D"/>
    <w:rsid w:val="00A56419"/>
    <w:rsid w:val="00A60080"/>
    <w:rsid w:val="00A60B7C"/>
    <w:rsid w:val="00A64030"/>
    <w:rsid w:val="00A719CE"/>
    <w:rsid w:val="00A759F5"/>
    <w:rsid w:val="00A8712C"/>
    <w:rsid w:val="00A90D33"/>
    <w:rsid w:val="00A926BE"/>
    <w:rsid w:val="00AA0262"/>
    <w:rsid w:val="00AB15F5"/>
    <w:rsid w:val="00AC5FAD"/>
    <w:rsid w:val="00AD0E63"/>
    <w:rsid w:val="00AD1C17"/>
    <w:rsid w:val="00AD3B58"/>
    <w:rsid w:val="00AD40F9"/>
    <w:rsid w:val="00AD775E"/>
    <w:rsid w:val="00AE4BCC"/>
    <w:rsid w:val="00AF1D75"/>
    <w:rsid w:val="00AF56C6"/>
    <w:rsid w:val="00AF7358"/>
    <w:rsid w:val="00B000EA"/>
    <w:rsid w:val="00B032E8"/>
    <w:rsid w:val="00B05BAA"/>
    <w:rsid w:val="00B10CB9"/>
    <w:rsid w:val="00B221E1"/>
    <w:rsid w:val="00B40256"/>
    <w:rsid w:val="00B45E8C"/>
    <w:rsid w:val="00B46E42"/>
    <w:rsid w:val="00B51563"/>
    <w:rsid w:val="00B53095"/>
    <w:rsid w:val="00B55AB4"/>
    <w:rsid w:val="00B57F96"/>
    <w:rsid w:val="00B638D8"/>
    <w:rsid w:val="00B66A04"/>
    <w:rsid w:val="00B67892"/>
    <w:rsid w:val="00B70A37"/>
    <w:rsid w:val="00B81332"/>
    <w:rsid w:val="00B84909"/>
    <w:rsid w:val="00B97727"/>
    <w:rsid w:val="00BA1572"/>
    <w:rsid w:val="00BA4D33"/>
    <w:rsid w:val="00BA6039"/>
    <w:rsid w:val="00BB1E5C"/>
    <w:rsid w:val="00BB37A6"/>
    <w:rsid w:val="00BC0069"/>
    <w:rsid w:val="00BC09C7"/>
    <w:rsid w:val="00BC2D06"/>
    <w:rsid w:val="00BE11EE"/>
    <w:rsid w:val="00BE564A"/>
    <w:rsid w:val="00BE6AD2"/>
    <w:rsid w:val="00BF00F2"/>
    <w:rsid w:val="00BF7986"/>
    <w:rsid w:val="00C045BC"/>
    <w:rsid w:val="00C1717E"/>
    <w:rsid w:val="00C23BA1"/>
    <w:rsid w:val="00C279C5"/>
    <w:rsid w:val="00C32B01"/>
    <w:rsid w:val="00C34DD7"/>
    <w:rsid w:val="00C40E12"/>
    <w:rsid w:val="00C4123F"/>
    <w:rsid w:val="00C55765"/>
    <w:rsid w:val="00C61570"/>
    <w:rsid w:val="00C744EB"/>
    <w:rsid w:val="00C76A2C"/>
    <w:rsid w:val="00C776EF"/>
    <w:rsid w:val="00C81FB4"/>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563"/>
    <w:rsid w:val="00CC4BB4"/>
    <w:rsid w:val="00CC4F39"/>
    <w:rsid w:val="00CD257F"/>
    <w:rsid w:val="00CD29A7"/>
    <w:rsid w:val="00CD38D6"/>
    <w:rsid w:val="00CD544C"/>
    <w:rsid w:val="00CD6D54"/>
    <w:rsid w:val="00CE4DA0"/>
    <w:rsid w:val="00CF36B7"/>
    <w:rsid w:val="00CF388E"/>
    <w:rsid w:val="00CF4256"/>
    <w:rsid w:val="00CF63F3"/>
    <w:rsid w:val="00CF6821"/>
    <w:rsid w:val="00D015EE"/>
    <w:rsid w:val="00D04FE8"/>
    <w:rsid w:val="00D06455"/>
    <w:rsid w:val="00D06E2F"/>
    <w:rsid w:val="00D10B5D"/>
    <w:rsid w:val="00D13F80"/>
    <w:rsid w:val="00D151CB"/>
    <w:rsid w:val="00D16E72"/>
    <w:rsid w:val="00D176CF"/>
    <w:rsid w:val="00D271E3"/>
    <w:rsid w:val="00D32C77"/>
    <w:rsid w:val="00D4001A"/>
    <w:rsid w:val="00D45D02"/>
    <w:rsid w:val="00D47A80"/>
    <w:rsid w:val="00D51189"/>
    <w:rsid w:val="00D51C99"/>
    <w:rsid w:val="00D55C29"/>
    <w:rsid w:val="00D76E74"/>
    <w:rsid w:val="00D77A80"/>
    <w:rsid w:val="00D77F71"/>
    <w:rsid w:val="00D819B9"/>
    <w:rsid w:val="00D82923"/>
    <w:rsid w:val="00D8546B"/>
    <w:rsid w:val="00D85807"/>
    <w:rsid w:val="00D87349"/>
    <w:rsid w:val="00D91EE9"/>
    <w:rsid w:val="00D94B1F"/>
    <w:rsid w:val="00D95DC2"/>
    <w:rsid w:val="00D97220"/>
    <w:rsid w:val="00DA4223"/>
    <w:rsid w:val="00DA7083"/>
    <w:rsid w:val="00DB4E15"/>
    <w:rsid w:val="00DC30E6"/>
    <w:rsid w:val="00DD0334"/>
    <w:rsid w:val="00DD4F46"/>
    <w:rsid w:val="00DD6FE6"/>
    <w:rsid w:val="00DF30A9"/>
    <w:rsid w:val="00DF37A1"/>
    <w:rsid w:val="00DF5597"/>
    <w:rsid w:val="00E06FF9"/>
    <w:rsid w:val="00E14D47"/>
    <w:rsid w:val="00E1641C"/>
    <w:rsid w:val="00E20E5E"/>
    <w:rsid w:val="00E26708"/>
    <w:rsid w:val="00E34958"/>
    <w:rsid w:val="00E35D73"/>
    <w:rsid w:val="00E37AB0"/>
    <w:rsid w:val="00E42166"/>
    <w:rsid w:val="00E42541"/>
    <w:rsid w:val="00E44F2C"/>
    <w:rsid w:val="00E51459"/>
    <w:rsid w:val="00E51D71"/>
    <w:rsid w:val="00E55CF5"/>
    <w:rsid w:val="00E55E4B"/>
    <w:rsid w:val="00E63EE3"/>
    <w:rsid w:val="00E650DA"/>
    <w:rsid w:val="00E676B5"/>
    <w:rsid w:val="00E71C39"/>
    <w:rsid w:val="00E73617"/>
    <w:rsid w:val="00E7485F"/>
    <w:rsid w:val="00E84E7F"/>
    <w:rsid w:val="00E85609"/>
    <w:rsid w:val="00E87541"/>
    <w:rsid w:val="00EA56E6"/>
    <w:rsid w:val="00EC2C2D"/>
    <w:rsid w:val="00EC335F"/>
    <w:rsid w:val="00EC48FB"/>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17D21"/>
    <w:rsid w:val="00F228DE"/>
    <w:rsid w:val="00F22B62"/>
    <w:rsid w:val="00F3421F"/>
    <w:rsid w:val="00F37E31"/>
    <w:rsid w:val="00F40AE6"/>
    <w:rsid w:val="00F43FFD"/>
    <w:rsid w:val="00F44236"/>
    <w:rsid w:val="00F52517"/>
    <w:rsid w:val="00F52611"/>
    <w:rsid w:val="00F56A71"/>
    <w:rsid w:val="00F62D18"/>
    <w:rsid w:val="00F6543A"/>
    <w:rsid w:val="00F67A5C"/>
    <w:rsid w:val="00F71DE8"/>
    <w:rsid w:val="00F71FC5"/>
    <w:rsid w:val="00F72668"/>
    <w:rsid w:val="00F74730"/>
    <w:rsid w:val="00F8377A"/>
    <w:rsid w:val="00F850D6"/>
    <w:rsid w:val="00F8572B"/>
    <w:rsid w:val="00F92E3D"/>
    <w:rsid w:val="00F975A2"/>
    <w:rsid w:val="00FA2C65"/>
    <w:rsid w:val="00FA46DF"/>
    <w:rsid w:val="00FA47C4"/>
    <w:rsid w:val="00FA4FAF"/>
    <w:rsid w:val="00FA57B2"/>
    <w:rsid w:val="00FA580D"/>
    <w:rsid w:val="00FB2215"/>
    <w:rsid w:val="00FB509B"/>
    <w:rsid w:val="00FB6B4F"/>
    <w:rsid w:val="00FC17F9"/>
    <w:rsid w:val="00FC3D4B"/>
    <w:rsid w:val="00FC6312"/>
    <w:rsid w:val="00FC7966"/>
    <w:rsid w:val="00FD78FF"/>
    <w:rsid w:val="00FE36E3"/>
    <w:rsid w:val="00FE6B01"/>
    <w:rsid w:val="00FF5985"/>
    <w:rsid w:val="00FF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 w:id="1866014970">
      <w:bodyDiv w:val="1"/>
      <w:marLeft w:val="0"/>
      <w:marRight w:val="0"/>
      <w:marTop w:val="0"/>
      <w:marBottom w:val="0"/>
      <w:divBdr>
        <w:top w:val="none" w:sz="0" w:space="0" w:color="auto"/>
        <w:left w:val="none" w:sz="0" w:space="0" w:color="auto"/>
        <w:bottom w:val="none" w:sz="0" w:space="0" w:color="auto"/>
        <w:right w:val="none" w:sz="0" w:space="0" w:color="auto"/>
      </w:divBdr>
    </w:div>
    <w:div w:id="19820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1031</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Desktop Edits WMS 120623</cp:lastModifiedBy>
  <cp:revision>3</cp:revision>
  <cp:lastPrinted>2013-11-15T22:11:00Z</cp:lastPrinted>
  <dcterms:created xsi:type="dcterms:W3CDTF">2023-12-07T14:56:00Z</dcterms:created>
  <dcterms:modified xsi:type="dcterms:W3CDTF">2023-12-07T15:00:00Z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y fmtid="{D5CDD505-2E9C-101B-9397-08002B2CF9AE}" pid="9" name="MSIP_Label_ed3826ce-7c18-471d-9596-93de5bae332e_Enabled">
    <vt:lpwstr>true</vt:lpwstr>
  </property>
  <property fmtid="{D5CDD505-2E9C-101B-9397-08002B2CF9AE}" pid="10" name="MSIP_Label_ed3826ce-7c18-471d-9596-93de5bae332e_SetDate">
    <vt:lpwstr>2023-11-17T16:12:24Z</vt:lpwstr>
  </property>
  <property fmtid="{D5CDD505-2E9C-101B-9397-08002B2CF9AE}" pid="11" name="MSIP_Label_ed3826ce-7c18-471d-9596-93de5bae332e_Method">
    <vt:lpwstr>Standard</vt:lpwstr>
  </property>
  <property fmtid="{D5CDD505-2E9C-101B-9397-08002B2CF9AE}" pid="12" name="MSIP_Label_ed3826ce-7c18-471d-9596-93de5bae332e_Name">
    <vt:lpwstr>Internal</vt:lpwstr>
  </property>
  <property fmtid="{D5CDD505-2E9C-101B-9397-08002B2CF9AE}" pid="13" name="MSIP_Label_ed3826ce-7c18-471d-9596-93de5bae332e_SiteId">
    <vt:lpwstr>c0a02e2d-1186-410a-8895-0a4a252ebf17</vt:lpwstr>
  </property>
  <property fmtid="{D5CDD505-2E9C-101B-9397-08002B2CF9AE}" pid="14" name="MSIP_Label_ed3826ce-7c18-471d-9596-93de5bae332e_ActionId">
    <vt:lpwstr>a0b39899-3d8f-4180-9e01-ba73ef0e482f</vt:lpwstr>
  </property>
  <property fmtid="{D5CDD505-2E9C-101B-9397-08002B2CF9AE}" pid="15" name="MSIP_Label_ed3826ce-7c18-471d-9596-93de5bae332e_ContentBits">
    <vt:lpwstr>0</vt:lpwstr>
  </property>
</Properties>
</file>