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25" w:vertAnchor="text"/>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5"/>
        <w:gridCol w:w="6999"/>
        <w:gridCol w:w="1262"/>
        <w:gridCol w:w="4168"/>
      </w:tblGrid>
      <w:tr w:rsidR="00356DF4" w14:paraId="468A207D" w14:textId="77777777" w:rsidTr="00C25A5F">
        <w:tc>
          <w:tcPr>
            <w:tcW w:w="628" w:type="pct"/>
            <w:shd w:val="clear" w:color="auto" w:fill="366092"/>
            <w:tcMar>
              <w:top w:w="0" w:type="dxa"/>
              <w:left w:w="108" w:type="dxa"/>
              <w:bottom w:w="0" w:type="dxa"/>
              <w:right w:w="108" w:type="dxa"/>
            </w:tcMar>
            <w:hideMark/>
          </w:tcPr>
          <w:p w14:paraId="36C6DD67" w14:textId="77777777" w:rsidR="00356DF4" w:rsidRDefault="00356DF4">
            <w:pPr>
              <w:spacing w:line="252" w:lineRule="auto"/>
              <w:rPr>
                <w:b/>
                <w:bCs/>
                <w:color w:val="FFFFFF"/>
                <w:sz w:val="20"/>
                <w:szCs w:val="20"/>
              </w:rPr>
            </w:pPr>
            <w:r>
              <w:rPr>
                <w:b/>
                <w:bCs/>
                <w:color w:val="FFFFFF"/>
                <w:sz w:val="20"/>
                <w:szCs w:val="20"/>
              </w:rPr>
              <w:t>REV REQ NO.</w:t>
            </w:r>
          </w:p>
        </w:tc>
        <w:tc>
          <w:tcPr>
            <w:tcW w:w="2462" w:type="pct"/>
            <w:shd w:val="clear" w:color="auto" w:fill="366092"/>
            <w:tcMar>
              <w:top w:w="0" w:type="dxa"/>
              <w:left w:w="108" w:type="dxa"/>
              <w:bottom w:w="0" w:type="dxa"/>
              <w:right w:w="108" w:type="dxa"/>
            </w:tcMar>
            <w:hideMark/>
          </w:tcPr>
          <w:p w14:paraId="06287D22" w14:textId="77777777" w:rsidR="00356DF4" w:rsidRDefault="00356DF4">
            <w:pPr>
              <w:spacing w:line="252" w:lineRule="auto"/>
              <w:rPr>
                <w:b/>
                <w:bCs/>
                <w:color w:val="FFFFFF"/>
                <w:sz w:val="20"/>
                <w:szCs w:val="20"/>
              </w:rPr>
            </w:pPr>
            <w:r>
              <w:rPr>
                <w:b/>
                <w:bCs/>
                <w:color w:val="FFFFFF"/>
                <w:sz w:val="20"/>
                <w:szCs w:val="20"/>
              </w:rPr>
              <w:t>DESCRIPTION</w:t>
            </w:r>
          </w:p>
        </w:tc>
        <w:tc>
          <w:tcPr>
            <w:tcW w:w="444" w:type="pct"/>
            <w:shd w:val="clear" w:color="auto" w:fill="366092"/>
            <w:tcMar>
              <w:top w:w="0" w:type="dxa"/>
              <w:left w:w="108" w:type="dxa"/>
              <w:bottom w:w="0" w:type="dxa"/>
              <w:right w:w="108" w:type="dxa"/>
            </w:tcMar>
            <w:hideMark/>
          </w:tcPr>
          <w:p w14:paraId="5A55241E" w14:textId="77777777" w:rsidR="00356DF4" w:rsidRDefault="00356DF4">
            <w:pPr>
              <w:spacing w:line="252" w:lineRule="auto"/>
              <w:jc w:val="center"/>
              <w:rPr>
                <w:b/>
                <w:bCs/>
                <w:color w:val="FFFFFF"/>
                <w:sz w:val="20"/>
                <w:szCs w:val="20"/>
              </w:rPr>
            </w:pPr>
            <w:r>
              <w:rPr>
                <w:b/>
                <w:bCs/>
                <w:color w:val="FFFFFF"/>
                <w:sz w:val="20"/>
                <w:szCs w:val="20"/>
              </w:rPr>
              <w:t>URGENT</w:t>
            </w:r>
          </w:p>
        </w:tc>
        <w:tc>
          <w:tcPr>
            <w:tcW w:w="1466" w:type="pct"/>
            <w:shd w:val="clear" w:color="auto" w:fill="366092"/>
            <w:tcMar>
              <w:top w:w="0" w:type="dxa"/>
              <w:left w:w="108" w:type="dxa"/>
              <w:bottom w:w="0" w:type="dxa"/>
              <w:right w:w="108" w:type="dxa"/>
            </w:tcMar>
            <w:hideMark/>
          </w:tcPr>
          <w:p w14:paraId="29914DB6" w14:textId="29EC70D2" w:rsidR="00356DF4" w:rsidRDefault="00356DF4">
            <w:pPr>
              <w:spacing w:line="252" w:lineRule="auto"/>
              <w:rPr>
                <w:b/>
                <w:bCs/>
                <w:color w:val="FFFFFF"/>
                <w:sz w:val="20"/>
                <w:szCs w:val="20"/>
              </w:rPr>
            </w:pPr>
            <w:r>
              <w:rPr>
                <w:b/>
                <w:bCs/>
                <w:color w:val="FFFFFF"/>
                <w:sz w:val="20"/>
                <w:szCs w:val="20"/>
              </w:rPr>
              <w:t>IMM Opinion</w:t>
            </w:r>
          </w:p>
        </w:tc>
      </w:tr>
      <w:tr w:rsidR="00C25A5F" w14:paraId="44BAC486" w14:textId="77777777" w:rsidTr="00C25A5F">
        <w:tc>
          <w:tcPr>
            <w:tcW w:w="628" w:type="pct"/>
            <w:tcMar>
              <w:top w:w="0" w:type="dxa"/>
              <w:left w:w="108" w:type="dxa"/>
              <w:bottom w:w="0" w:type="dxa"/>
              <w:right w:w="108" w:type="dxa"/>
            </w:tcMar>
          </w:tcPr>
          <w:p w14:paraId="6ACCEEBA" w14:textId="77777777" w:rsidR="00C25A5F" w:rsidRDefault="00C25A5F" w:rsidP="00C25A5F">
            <w:pPr>
              <w:spacing w:line="252" w:lineRule="auto"/>
              <w:rPr>
                <w:b/>
                <w:bCs/>
                <w:color w:val="000000"/>
                <w:sz w:val="20"/>
                <w:szCs w:val="20"/>
              </w:rPr>
            </w:pPr>
            <w:r>
              <w:rPr>
                <w:rFonts w:cs="Calibri"/>
                <w:b/>
                <w:bCs/>
                <w:color w:val="000000"/>
                <w:sz w:val="20"/>
                <w:szCs w:val="20"/>
              </w:rPr>
              <w:t>1181NPRR</w:t>
            </w:r>
          </w:p>
        </w:tc>
        <w:tc>
          <w:tcPr>
            <w:tcW w:w="2462" w:type="pct"/>
            <w:tcMar>
              <w:top w:w="0" w:type="dxa"/>
              <w:left w:w="108" w:type="dxa"/>
              <w:bottom w:w="0" w:type="dxa"/>
              <w:right w:w="108" w:type="dxa"/>
            </w:tcMar>
          </w:tcPr>
          <w:p w14:paraId="52EF4D01" w14:textId="77777777" w:rsidR="00C25A5F" w:rsidRDefault="00C25A5F" w:rsidP="00C25A5F">
            <w:pPr>
              <w:spacing w:line="252" w:lineRule="auto"/>
              <w:rPr>
                <w:b/>
                <w:bCs/>
                <w:sz w:val="20"/>
                <w:szCs w:val="20"/>
              </w:rPr>
            </w:pPr>
            <w:r>
              <w:rPr>
                <w:rFonts w:cs="Calibri"/>
                <w:b/>
                <w:bCs/>
                <w:color w:val="000000"/>
                <w:sz w:val="20"/>
                <w:szCs w:val="20"/>
              </w:rPr>
              <w:t xml:space="preserve">Submission of Seasonal Coal and Lignite Inventory Declaration.  </w:t>
            </w:r>
            <w:r>
              <w:rPr>
                <w:rFonts w:cs="Calibri"/>
                <w:color w:val="000000"/>
                <w:sz w:val="20"/>
                <w:szCs w:val="20"/>
              </w:rPr>
              <w:t>This Nodal Protocol Revision Request (NPRR) creates a new requirement for Qualified Scheduling Entities (QSEs) representing coal or lignite Generation Resources to submit to ERCOT a Seasonal declaration of coal and lignite inventory levels.  The NPRR also adds requirements for the QSEs to notify ERCOT when coal or lignite inventory drops below target and critical levels.  [ERCOT]</w:t>
            </w:r>
          </w:p>
        </w:tc>
        <w:tc>
          <w:tcPr>
            <w:tcW w:w="444" w:type="pct"/>
            <w:tcMar>
              <w:top w:w="0" w:type="dxa"/>
              <w:left w:w="108" w:type="dxa"/>
              <w:bottom w:w="0" w:type="dxa"/>
              <w:right w:w="108" w:type="dxa"/>
            </w:tcMar>
          </w:tcPr>
          <w:p w14:paraId="416A0DE2" w14:textId="77777777" w:rsidR="00C25A5F" w:rsidRDefault="00C25A5F" w:rsidP="00C25A5F">
            <w:pPr>
              <w:spacing w:line="252" w:lineRule="auto"/>
              <w:jc w:val="center"/>
              <w:rPr>
                <w:sz w:val="20"/>
                <w:szCs w:val="20"/>
              </w:rPr>
            </w:pPr>
            <w:r>
              <w:rPr>
                <w:rFonts w:cs="Calibri"/>
                <w:color w:val="000000"/>
                <w:sz w:val="20"/>
                <w:szCs w:val="20"/>
              </w:rPr>
              <w:t>N</w:t>
            </w:r>
          </w:p>
        </w:tc>
        <w:tc>
          <w:tcPr>
            <w:tcW w:w="1466" w:type="pct"/>
            <w:tcMar>
              <w:top w:w="0" w:type="dxa"/>
              <w:left w:w="108" w:type="dxa"/>
              <w:bottom w:w="0" w:type="dxa"/>
              <w:right w:w="108" w:type="dxa"/>
            </w:tcMar>
          </w:tcPr>
          <w:p w14:paraId="1CA36DDF" w14:textId="77777777" w:rsidR="00C25A5F" w:rsidRPr="00356DF4" w:rsidRDefault="00C25A5F" w:rsidP="00C25A5F">
            <w:pPr>
              <w:spacing w:before="60" w:after="60"/>
            </w:pPr>
            <w:r>
              <w:t>IMM supports NPRR1181.</w:t>
            </w:r>
          </w:p>
        </w:tc>
      </w:tr>
      <w:tr w:rsidR="00C25A5F" w14:paraId="4674D930" w14:textId="77777777" w:rsidTr="00C25A5F">
        <w:tc>
          <w:tcPr>
            <w:tcW w:w="628" w:type="pct"/>
            <w:tcMar>
              <w:top w:w="0" w:type="dxa"/>
              <w:left w:w="108" w:type="dxa"/>
              <w:bottom w:w="0" w:type="dxa"/>
              <w:right w:w="108" w:type="dxa"/>
            </w:tcMar>
          </w:tcPr>
          <w:p w14:paraId="4C123194" w14:textId="77777777" w:rsidR="00C25A5F" w:rsidRDefault="00C25A5F" w:rsidP="00C25A5F">
            <w:pPr>
              <w:spacing w:line="252" w:lineRule="auto"/>
              <w:rPr>
                <w:b/>
                <w:bCs/>
                <w:color w:val="000000"/>
                <w:sz w:val="20"/>
                <w:szCs w:val="20"/>
              </w:rPr>
            </w:pPr>
            <w:r>
              <w:rPr>
                <w:rFonts w:cs="Calibri"/>
                <w:b/>
                <w:bCs/>
                <w:color w:val="000000"/>
                <w:sz w:val="20"/>
                <w:szCs w:val="20"/>
              </w:rPr>
              <w:t>1201NPRR</w:t>
            </w:r>
          </w:p>
        </w:tc>
        <w:tc>
          <w:tcPr>
            <w:tcW w:w="2462" w:type="pct"/>
            <w:tcMar>
              <w:top w:w="0" w:type="dxa"/>
              <w:left w:w="108" w:type="dxa"/>
              <w:bottom w:w="0" w:type="dxa"/>
              <w:right w:w="108" w:type="dxa"/>
            </w:tcMar>
          </w:tcPr>
          <w:p w14:paraId="7104DFFE" w14:textId="77777777" w:rsidR="00C25A5F" w:rsidRDefault="00C25A5F" w:rsidP="00C25A5F">
            <w:pPr>
              <w:spacing w:line="252" w:lineRule="auto"/>
              <w:rPr>
                <w:b/>
                <w:bCs/>
                <w:sz w:val="20"/>
                <w:szCs w:val="20"/>
              </w:rPr>
            </w:pPr>
            <w:r>
              <w:rPr>
                <w:rFonts w:cs="Calibri"/>
                <w:b/>
                <w:bCs/>
                <w:color w:val="000000"/>
                <w:sz w:val="20"/>
                <w:szCs w:val="20"/>
              </w:rPr>
              <w:t xml:space="preserve">Limitations on Resettlement Timeline and Default Uplift Exposure Adjustments.  </w:t>
            </w:r>
            <w:r>
              <w:rPr>
                <w:rFonts w:cs="Calibri"/>
                <w:color w:val="000000"/>
                <w:sz w:val="20"/>
                <w:szCs w:val="20"/>
              </w:rPr>
              <w:t>This Nodal Protocol Revision Request (NPRR) reduces exposures for both ERCOT and Market Participants for resettlements and Default Uplift Invoices for historical Operating Days. This NPRR limits timeline for resettlement due to errors that are discovered, and a Market Notice of the error is provided to Market Participants, within one year after the Operating Day.  This limit does not apply to resettlement due to an Alternative Dispute Resolution, a Procedure for Return of Settlement Funds, or a resettlement directed by the Board of Directors to address unusual circumstances; and adjusts the Maximum MWh Activity formula in Section 9.19.1 to only consider Congestion Revenue Rights (CRRs) owned during the Operating Days of the reference month, and to not consider CRRs that may have been bought or sold for the month, but are no longer owned on the given Operating Days of the reference month.  [ERCOT]</w:t>
            </w:r>
          </w:p>
        </w:tc>
        <w:tc>
          <w:tcPr>
            <w:tcW w:w="444" w:type="pct"/>
            <w:tcMar>
              <w:top w:w="0" w:type="dxa"/>
              <w:left w:w="108" w:type="dxa"/>
              <w:bottom w:w="0" w:type="dxa"/>
              <w:right w:w="108" w:type="dxa"/>
            </w:tcMar>
          </w:tcPr>
          <w:p w14:paraId="6311FC52" w14:textId="77777777" w:rsidR="00C25A5F" w:rsidRDefault="00C25A5F" w:rsidP="00C25A5F">
            <w:pPr>
              <w:spacing w:line="252" w:lineRule="auto"/>
              <w:jc w:val="center"/>
              <w:rPr>
                <w:sz w:val="20"/>
                <w:szCs w:val="20"/>
              </w:rPr>
            </w:pPr>
            <w:r>
              <w:rPr>
                <w:rFonts w:cs="Calibri"/>
                <w:color w:val="000000"/>
                <w:sz w:val="20"/>
                <w:szCs w:val="20"/>
              </w:rPr>
              <w:t>N</w:t>
            </w:r>
          </w:p>
        </w:tc>
        <w:tc>
          <w:tcPr>
            <w:tcW w:w="1466" w:type="pct"/>
            <w:tcMar>
              <w:top w:w="0" w:type="dxa"/>
              <w:left w:w="108" w:type="dxa"/>
              <w:bottom w:w="0" w:type="dxa"/>
              <w:right w:w="108" w:type="dxa"/>
            </w:tcMar>
          </w:tcPr>
          <w:p w14:paraId="4409C91B" w14:textId="77777777" w:rsidR="00C25A5F" w:rsidRDefault="00C25A5F" w:rsidP="00C25A5F">
            <w:pPr>
              <w:spacing w:line="252" w:lineRule="auto"/>
              <w:rPr>
                <w:sz w:val="20"/>
                <w:szCs w:val="20"/>
              </w:rPr>
            </w:pPr>
            <w:r>
              <w:rPr>
                <w:sz w:val="20"/>
                <w:szCs w:val="20"/>
              </w:rPr>
              <w:t>IMM has no opinion on NPRR1201.</w:t>
            </w:r>
          </w:p>
        </w:tc>
      </w:tr>
      <w:tr w:rsidR="00C25A5F" w14:paraId="31AC337C" w14:textId="77777777" w:rsidTr="00C25A5F">
        <w:tc>
          <w:tcPr>
            <w:tcW w:w="628" w:type="pct"/>
            <w:tcMar>
              <w:top w:w="0" w:type="dxa"/>
              <w:left w:w="108" w:type="dxa"/>
              <w:bottom w:w="0" w:type="dxa"/>
              <w:right w:w="108" w:type="dxa"/>
            </w:tcMar>
          </w:tcPr>
          <w:p w14:paraId="0BBCF21D" w14:textId="77777777" w:rsidR="00C25A5F" w:rsidRDefault="00C25A5F" w:rsidP="00C25A5F">
            <w:pPr>
              <w:spacing w:line="252" w:lineRule="auto"/>
              <w:rPr>
                <w:rFonts w:cs="Calibri"/>
                <w:b/>
                <w:bCs/>
                <w:color w:val="000000"/>
                <w:sz w:val="20"/>
                <w:szCs w:val="20"/>
              </w:rPr>
            </w:pPr>
            <w:r>
              <w:rPr>
                <w:rFonts w:cs="Calibri"/>
                <w:b/>
                <w:bCs/>
                <w:color w:val="000000"/>
                <w:sz w:val="20"/>
                <w:szCs w:val="20"/>
              </w:rPr>
              <w:t>1204NPRR</w:t>
            </w:r>
          </w:p>
        </w:tc>
        <w:tc>
          <w:tcPr>
            <w:tcW w:w="2462" w:type="pct"/>
            <w:tcMar>
              <w:top w:w="0" w:type="dxa"/>
              <w:left w:w="108" w:type="dxa"/>
              <w:bottom w:w="0" w:type="dxa"/>
              <w:right w:w="108" w:type="dxa"/>
            </w:tcMar>
          </w:tcPr>
          <w:p w14:paraId="6AA0F6AF" w14:textId="77777777" w:rsidR="00C25A5F" w:rsidRDefault="00C25A5F" w:rsidP="00C25A5F">
            <w:pPr>
              <w:spacing w:line="252" w:lineRule="auto"/>
              <w:rPr>
                <w:rFonts w:cs="Calibri"/>
                <w:b/>
                <w:bCs/>
                <w:sz w:val="20"/>
                <w:szCs w:val="20"/>
              </w:rPr>
            </w:pPr>
            <w:r>
              <w:rPr>
                <w:rFonts w:cs="Calibri"/>
                <w:b/>
                <w:bCs/>
                <w:sz w:val="20"/>
                <w:szCs w:val="20"/>
              </w:rPr>
              <w:t xml:space="preserve">Considerations of State of Charge with Real-Time Co-Optimization Implementation.  </w:t>
            </w:r>
            <w:r>
              <w:rPr>
                <w:rFonts w:cs="Calibri"/>
                <w:sz w:val="20"/>
                <w:szCs w:val="20"/>
              </w:rPr>
              <w:t>This Nodal Protocol Revision Request (NPRR) implements the State of Charge (SOC) concepts necessary for awareness, accounting, and monitoring of SOC for ESRs within the RTC+B implementation and allow the design to evolve from the interim solutions being proposed under NPRR1186.  [ERCOT]</w:t>
            </w:r>
          </w:p>
        </w:tc>
        <w:tc>
          <w:tcPr>
            <w:tcW w:w="444" w:type="pct"/>
            <w:tcMar>
              <w:top w:w="0" w:type="dxa"/>
              <w:left w:w="108" w:type="dxa"/>
              <w:bottom w:w="0" w:type="dxa"/>
              <w:right w:w="108" w:type="dxa"/>
            </w:tcMar>
          </w:tcPr>
          <w:p w14:paraId="3C248199" w14:textId="77777777" w:rsidR="00C25A5F" w:rsidRDefault="00C25A5F" w:rsidP="00C25A5F">
            <w:pPr>
              <w:spacing w:line="252" w:lineRule="auto"/>
              <w:jc w:val="center"/>
              <w:rPr>
                <w:rFonts w:cs="Calibri"/>
                <w:sz w:val="20"/>
                <w:szCs w:val="20"/>
              </w:rPr>
            </w:pPr>
            <w:r>
              <w:rPr>
                <w:rFonts w:cs="Calibri"/>
                <w:sz w:val="20"/>
                <w:szCs w:val="20"/>
              </w:rPr>
              <w:t>Y</w:t>
            </w:r>
          </w:p>
        </w:tc>
        <w:tc>
          <w:tcPr>
            <w:tcW w:w="1466" w:type="pct"/>
            <w:tcMar>
              <w:top w:w="0" w:type="dxa"/>
              <w:left w:w="108" w:type="dxa"/>
              <w:bottom w:w="0" w:type="dxa"/>
              <w:right w:w="108" w:type="dxa"/>
            </w:tcMar>
          </w:tcPr>
          <w:p w14:paraId="5F8CA53E" w14:textId="77777777" w:rsidR="00C25A5F" w:rsidRDefault="00C25A5F" w:rsidP="00C25A5F">
            <w:pPr>
              <w:spacing w:line="252" w:lineRule="auto"/>
              <w:rPr>
                <w:sz w:val="20"/>
                <w:szCs w:val="20"/>
              </w:rPr>
            </w:pPr>
            <w:r>
              <w:t>IMM supports NPRR1204.</w:t>
            </w:r>
          </w:p>
        </w:tc>
      </w:tr>
      <w:tr w:rsidR="00C25A5F" w14:paraId="0C27187F" w14:textId="77777777" w:rsidTr="00C25A5F">
        <w:tc>
          <w:tcPr>
            <w:tcW w:w="628" w:type="pct"/>
            <w:tcMar>
              <w:top w:w="0" w:type="dxa"/>
              <w:left w:w="108" w:type="dxa"/>
              <w:bottom w:w="0" w:type="dxa"/>
              <w:right w:w="108" w:type="dxa"/>
            </w:tcMar>
          </w:tcPr>
          <w:p w14:paraId="363FEE78" w14:textId="77777777" w:rsidR="00C25A5F" w:rsidRDefault="00C25A5F" w:rsidP="00C25A5F">
            <w:pPr>
              <w:spacing w:line="252" w:lineRule="auto"/>
              <w:rPr>
                <w:rFonts w:cs="Calibri"/>
                <w:b/>
                <w:bCs/>
                <w:color w:val="000000"/>
                <w:sz w:val="20"/>
                <w:szCs w:val="20"/>
              </w:rPr>
            </w:pPr>
            <w:r>
              <w:rPr>
                <w:rFonts w:cs="Calibri"/>
                <w:b/>
                <w:bCs/>
                <w:color w:val="000000"/>
                <w:sz w:val="20"/>
                <w:szCs w:val="20"/>
              </w:rPr>
              <w:t>176RMGRR</w:t>
            </w:r>
          </w:p>
        </w:tc>
        <w:tc>
          <w:tcPr>
            <w:tcW w:w="2462" w:type="pct"/>
            <w:tcMar>
              <w:top w:w="0" w:type="dxa"/>
              <w:left w:w="108" w:type="dxa"/>
              <w:bottom w:w="0" w:type="dxa"/>
              <w:right w:w="108" w:type="dxa"/>
            </w:tcMar>
          </w:tcPr>
          <w:p w14:paraId="4DAC43F0" w14:textId="77777777" w:rsidR="00C25A5F" w:rsidRDefault="00C25A5F" w:rsidP="00C25A5F">
            <w:pPr>
              <w:spacing w:line="252" w:lineRule="auto"/>
              <w:rPr>
                <w:rFonts w:cs="Calibri"/>
                <w:b/>
                <w:bCs/>
                <w:sz w:val="20"/>
                <w:szCs w:val="20"/>
              </w:rPr>
            </w:pPr>
            <w:r>
              <w:rPr>
                <w:rFonts w:cs="Calibri"/>
                <w:b/>
                <w:bCs/>
                <w:color w:val="000000"/>
                <w:sz w:val="20"/>
                <w:szCs w:val="20"/>
              </w:rPr>
              <w:t xml:space="preserve">Addition of Market Processes Specific to LP&amp;L.  </w:t>
            </w:r>
            <w:r>
              <w:rPr>
                <w:rFonts w:cs="Calibri"/>
                <w:color w:val="000000"/>
                <w:sz w:val="20"/>
                <w:szCs w:val="20"/>
              </w:rPr>
              <w:t>This RMGRR provides descriptions of the retail market processes that LP&amp;L will utilize when they begin offering Customer Choice in their service territory.  [LRITF]</w:t>
            </w:r>
          </w:p>
        </w:tc>
        <w:tc>
          <w:tcPr>
            <w:tcW w:w="444" w:type="pct"/>
            <w:tcMar>
              <w:top w:w="0" w:type="dxa"/>
              <w:left w:w="108" w:type="dxa"/>
              <w:bottom w:w="0" w:type="dxa"/>
              <w:right w:w="108" w:type="dxa"/>
            </w:tcMar>
          </w:tcPr>
          <w:p w14:paraId="64B73FED" w14:textId="77777777" w:rsidR="00C25A5F" w:rsidRDefault="00C25A5F" w:rsidP="00C25A5F">
            <w:pPr>
              <w:spacing w:line="252" w:lineRule="auto"/>
              <w:jc w:val="center"/>
              <w:rPr>
                <w:rFonts w:cs="Calibri"/>
                <w:sz w:val="20"/>
                <w:szCs w:val="20"/>
              </w:rPr>
            </w:pPr>
            <w:r>
              <w:rPr>
                <w:rFonts w:cs="Calibri"/>
                <w:color w:val="000000"/>
                <w:sz w:val="20"/>
                <w:szCs w:val="20"/>
              </w:rPr>
              <w:t>Y</w:t>
            </w:r>
          </w:p>
        </w:tc>
        <w:tc>
          <w:tcPr>
            <w:tcW w:w="1466" w:type="pct"/>
            <w:tcMar>
              <w:top w:w="0" w:type="dxa"/>
              <w:left w:w="108" w:type="dxa"/>
              <w:bottom w:w="0" w:type="dxa"/>
              <w:right w:w="108" w:type="dxa"/>
            </w:tcMar>
          </w:tcPr>
          <w:p w14:paraId="651C5CF5" w14:textId="77777777" w:rsidR="00C25A5F" w:rsidRDefault="00C25A5F" w:rsidP="00C25A5F">
            <w:pPr>
              <w:spacing w:line="252" w:lineRule="auto"/>
            </w:pPr>
            <w:r>
              <w:rPr>
                <w:sz w:val="20"/>
                <w:szCs w:val="20"/>
              </w:rPr>
              <w:t>IMM has no opinion on RMGRR176.</w:t>
            </w:r>
          </w:p>
        </w:tc>
      </w:tr>
      <w:tr w:rsidR="00532A8F" w14:paraId="5BD33C1C" w14:textId="77777777" w:rsidTr="00C25A5F">
        <w:tc>
          <w:tcPr>
            <w:tcW w:w="628" w:type="pct"/>
            <w:tcMar>
              <w:top w:w="0" w:type="dxa"/>
              <w:left w:w="108" w:type="dxa"/>
              <w:bottom w:w="0" w:type="dxa"/>
              <w:right w:w="108" w:type="dxa"/>
            </w:tcMar>
          </w:tcPr>
          <w:p w14:paraId="3C0D4522" w14:textId="3FA75B14" w:rsidR="00532A8F" w:rsidRDefault="00532A8F" w:rsidP="00532A8F">
            <w:pPr>
              <w:spacing w:line="252" w:lineRule="auto"/>
              <w:rPr>
                <w:b/>
                <w:bCs/>
                <w:color w:val="000000"/>
                <w:sz w:val="20"/>
                <w:szCs w:val="20"/>
              </w:rPr>
            </w:pPr>
            <w:r>
              <w:rPr>
                <w:rFonts w:cs="Calibri"/>
                <w:b/>
                <w:bCs/>
                <w:color w:val="000000"/>
                <w:sz w:val="20"/>
                <w:szCs w:val="20"/>
              </w:rPr>
              <w:t>1203NPRR</w:t>
            </w:r>
          </w:p>
        </w:tc>
        <w:tc>
          <w:tcPr>
            <w:tcW w:w="2462" w:type="pct"/>
            <w:tcMar>
              <w:top w:w="0" w:type="dxa"/>
              <w:left w:w="108" w:type="dxa"/>
              <w:bottom w:w="0" w:type="dxa"/>
              <w:right w:w="108" w:type="dxa"/>
            </w:tcMar>
          </w:tcPr>
          <w:p w14:paraId="64220E81" w14:textId="125DEF13" w:rsidR="00532A8F" w:rsidRDefault="00532A8F" w:rsidP="00532A8F">
            <w:pPr>
              <w:spacing w:line="252" w:lineRule="auto"/>
              <w:rPr>
                <w:b/>
                <w:bCs/>
                <w:sz w:val="20"/>
                <w:szCs w:val="20"/>
              </w:rPr>
            </w:pPr>
            <w:r>
              <w:rPr>
                <w:rFonts w:cs="Calibri"/>
                <w:b/>
                <w:bCs/>
                <w:sz w:val="20"/>
                <w:szCs w:val="20"/>
              </w:rPr>
              <w:t xml:space="preserve">Implementation of Dispatchable Reliability Reserve Service.  </w:t>
            </w:r>
            <w:r>
              <w:rPr>
                <w:rFonts w:cs="Calibri"/>
                <w:sz w:val="20"/>
                <w:szCs w:val="20"/>
              </w:rPr>
              <w:t>This Nodal Protocol Revision Request (NPRR) establishes DRRS within the suite of Ancillary Services procured by ERCOT. DRRS is created in alignment with the requirements of House Bill No. 1500 (HB1500) approved by the 88th Texas Legislature earlier this year. To meet the delivery requirements of DRRS, established in HB1500 with an implementation deadline of December 1, 2024, this NPRR makes DRRS a sub-category of the existing Non-Spinning Reserve (Non-Spin) product.  [ERCOT]</w:t>
            </w:r>
          </w:p>
        </w:tc>
        <w:tc>
          <w:tcPr>
            <w:tcW w:w="444" w:type="pct"/>
            <w:tcMar>
              <w:top w:w="0" w:type="dxa"/>
              <w:left w:w="108" w:type="dxa"/>
              <w:bottom w:w="0" w:type="dxa"/>
              <w:right w:w="108" w:type="dxa"/>
            </w:tcMar>
          </w:tcPr>
          <w:p w14:paraId="09934CF3" w14:textId="38A97974" w:rsidR="00532A8F" w:rsidRDefault="00532A8F" w:rsidP="00532A8F">
            <w:pPr>
              <w:spacing w:line="252" w:lineRule="auto"/>
              <w:jc w:val="center"/>
              <w:rPr>
                <w:sz w:val="20"/>
                <w:szCs w:val="20"/>
              </w:rPr>
            </w:pPr>
            <w:r>
              <w:rPr>
                <w:rFonts w:cs="Calibri"/>
                <w:sz w:val="20"/>
                <w:szCs w:val="20"/>
              </w:rPr>
              <w:t>Y</w:t>
            </w:r>
          </w:p>
        </w:tc>
        <w:tc>
          <w:tcPr>
            <w:tcW w:w="1466" w:type="pct"/>
            <w:tcMar>
              <w:top w:w="0" w:type="dxa"/>
              <w:left w:w="108" w:type="dxa"/>
              <w:bottom w:w="0" w:type="dxa"/>
              <w:right w:w="108" w:type="dxa"/>
            </w:tcMar>
          </w:tcPr>
          <w:p w14:paraId="3CBBE22D" w14:textId="77F5BA71" w:rsidR="00532A8F" w:rsidRPr="00356DF4" w:rsidRDefault="00532A8F" w:rsidP="00532A8F">
            <w:pPr>
              <w:spacing w:before="60" w:after="60"/>
            </w:pPr>
            <w:r w:rsidRPr="00532A8F">
              <w:rPr>
                <w:sz w:val="20"/>
                <w:szCs w:val="20"/>
              </w:rPr>
              <w:t>IMM supports these revision requests</w:t>
            </w:r>
            <w:r>
              <w:rPr>
                <w:sz w:val="20"/>
                <w:szCs w:val="20"/>
              </w:rPr>
              <w:t xml:space="preserve"> (NPRR1203, OBDRR049, OBDRR050)</w:t>
            </w:r>
            <w:r w:rsidRPr="00532A8F">
              <w:rPr>
                <w:sz w:val="20"/>
                <w:szCs w:val="20"/>
              </w:rPr>
              <w:t>, understanding the statutory deadline, and supports the ultimate creation of a separate product to be delivered with the Real-Time Co-optimization project.</w:t>
            </w:r>
          </w:p>
        </w:tc>
      </w:tr>
      <w:tr w:rsidR="00532A8F" w14:paraId="26626460" w14:textId="77777777" w:rsidTr="00C25A5F">
        <w:tc>
          <w:tcPr>
            <w:tcW w:w="628" w:type="pct"/>
            <w:tcMar>
              <w:top w:w="0" w:type="dxa"/>
              <w:left w:w="108" w:type="dxa"/>
              <w:bottom w:w="0" w:type="dxa"/>
              <w:right w:w="108" w:type="dxa"/>
            </w:tcMar>
          </w:tcPr>
          <w:p w14:paraId="10AEA94D" w14:textId="58A530E7" w:rsidR="00532A8F" w:rsidRDefault="00532A8F" w:rsidP="00532A8F">
            <w:pPr>
              <w:spacing w:line="252" w:lineRule="auto"/>
              <w:rPr>
                <w:b/>
                <w:bCs/>
                <w:color w:val="000000"/>
                <w:sz w:val="20"/>
                <w:szCs w:val="20"/>
              </w:rPr>
            </w:pPr>
            <w:r>
              <w:rPr>
                <w:rFonts w:cs="Calibri"/>
                <w:b/>
                <w:bCs/>
                <w:color w:val="000000"/>
                <w:sz w:val="20"/>
                <w:szCs w:val="20"/>
              </w:rPr>
              <w:t>049OBDRR</w:t>
            </w:r>
          </w:p>
        </w:tc>
        <w:tc>
          <w:tcPr>
            <w:tcW w:w="2462" w:type="pct"/>
            <w:tcMar>
              <w:top w:w="0" w:type="dxa"/>
              <w:left w:w="108" w:type="dxa"/>
              <w:bottom w:w="0" w:type="dxa"/>
              <w:right w:w="108" w:type="dxa"/>
            </w:tcMar>
          </w:tcPr>
          <w:p w14:paraId="17A1ACF1" w14:textId="5451FEFC" w:rsidR="00532A8F" w:rsidRDefault="00532A8F" w:rsidP="00532A8F">
            <w:pPr>
              <w:spacing w:line="252" w:lineRule="auto"/>
              <w:rPr>
                <w:b/>
                <w:bCs/>
                <w:sz w:val="20"/>
                <w:szCs w:val="20"/>
              </w:rPr>
            </w:pPr>
            <w:r>
              <w:rPr>
                <w:rFonts w:cs="Calibri"/>
                <w:b/>
                <w:bCs/>
                <w:color w:val="000000"/>
                <w:sz w:val="20"/>
                <w:szCs w:val="20"/>
              </w:rPr>
              <w:t xml:space="preserve">ORDC Changes Related to NPRR1203, Implementation of Dispatchable Reliability Reserve Service.  </w:t>
            </w:r>
            <w:r>
              <w:rPr>
                <w:rFonts w:cs="Calibri"/>
                <w:color w:val="000000"/>
                <w:sz w:val="20"/>
                <w:szCs w:val="20"/>
              </w:rPr>
              <w:t>This Other Binding Document Revision Request (OBDRR) aligns this Other Binding Document with revisions from NPRR1203 creating the new Dispatchable Reliability Reserve Service (DRRS).  [ERCOT]</w:t>
            </w:r>
          </w:p>
        </w:tc>
        <w:tc>
          <w:tcPr>
            <w:tcW w:w="444" w:type="pct"/>
            <w:tcMar>
              <w:top w:w="0" w:type="dxa"/>
              <w:left w:w="108" w:type="dxa"/>
              <w:bottom w:w="0" w:type="dxa"/>
              <w:right w:w="108" w:type="dxa"/>
            </w:tcMar>
          </w:tcPr>
          <w:p w14:paraId="30745558" w14:textId="68AFE70E" w:rsidR="00532A8F" w:rsidRDefault="00532A8F" w:rsidP="00532A8F">
            <w:pPr>
              <w:spacing w:line="252" w:lineRule="auto"/>
              <w:jc w:val="center"/>
              <w:rPr>
                <w:sz w:val="20"/>
                <w:szCs w:val="20"/>
              </w:rPr>
            </w:pPr>
            <w:r>
              <w:rPr>
                <w:rFonts w:cs="Calibri"/>
                <w:color w:val="000000"/>
                <w:sz w:val="20"/>
                <w:szCs w:val="20"/>
              </w:rPr>
              <w:t>N</w:t>
            </w:r>
          </w:p>
        </w:tc>
        <w:tc>
          <w:tcPr>
            <w:tcW w:w="1466" w:type="pct"/>
            <w:tcMar>
              <w:top w:w="0" w:type="dxa"/>
              <w:left w:w="108" w:type="dxa"/>
              <w:bottom w:w="0" w:type="dxa"/>
              <w:right w:w="108" w:type="dxa"/>
            </w:tcMar>
          </w:tcPr>
          <w:p w14:paraId="29C41C3C" w14:textId="4E0E00BD" w:rsidR="00532A8F" w:rsidRDefault="00532A8F" w:rsidP="00532A8F">
            <w:pPr>
              <w:spacing w:line="252" w:lineRule="auto"/>
              <w:rPr>
                <w:sz w:val="20"/>
                <w:szCs w:val="20"/>
              </w:rPr>
            </w:pPr>
            <w:r w:rsidRPr="00532A8F">
              <w:rPr>
                <w:sz w:val="20"/>
                <w:szCs w:val="20"/>
              </w:rPr>
              <w:t>IMM supports these revision requests</w:t>
            </w:r>
            <w:r>
              <w:rPr>
                <w:sz w:val="20"/>
                <w:szCs w:val="20"/>
              </w:rPr>
              <w:t xml:space="preserve"> (NPRR1203, OBDRR049, OBDRR050)</w:t>
            </w:r>
            <w:r w:rsidRPr="00532A8F">
              <w:rPr>
                <w:sz w:val="20"/>
                <w:szCs w:val="20"/>
              </w:rPr>
              <w:t xml:space="preserve">, understanding the statutory deadline, and supports the ultimate creation of a separate </w:t>
            </w:r>
            <w:r w:rsidRPr="00532A8F">
              <w:rPr>
                <w:sz w:val="20"/>
                <w:szCs w:val="20"/>
              </w:rPr>
              <w:lastRenderedPageBreak/>
              <w:t>product to be delivered with the Real-Time Co-optimization project.</w:t>
            </w:r>
          </w:p>
        </w:tc>
      </w:tr>
      <w:tr w:rsidR="00532A8F" w14:paraId="37078B65" w14:textId="77777777" w:rsidTr="00C25A5F">
        <w:tc>
          <w:tcPr>
            <w:tcW w:w="628" w:type="pct"/>
            <w:tcMar>
              <w:top w:w="0" w:type="dxa"/>
              <w:left w:w="108" w:type="dxa"/>
              <w:bottom w:w="0" w:type="dxa"/>
              <w:right w:w="108" w:type="dxa"/>
            </w:tcMar>
          </w:tcPr>
          <w:p w14:paraId="565825B6" w14:textId="3F3FF84D" w:rsidR="00532A8F" w:rsidRDefault="00532A8F" w:rsidP="00532A8F">
            <w:pPr>
              <w:spacing w:line="252" w:lineRule="auto"/>
              <w:rPr>
                <w:rFonts w:cs="Calibri"/>
                <w:b/>
                <w:bCs/>
                <w:color w:val="000000"/>
                <w:sz w:val="20"/>
                <w:szCs w:val="20"/>
              </w:rPr>
            </w:pPr>
            <w:r>
              <w:rPr>
                <w:rFonts w:cs="Calibri"/>
                <w:b/>
                <w:bCs/>
                <w:color w:val="000000"/>
                <w:sz w:val="20"/>
                <w:szCs w:val="20"/>
              </w:rPr>
              <w:lastRenderedPageBreak/>
              <w:t>050OBDRR</w:t>
            </w:r>
          </w:p>
        </w:tc>
        <w:tc>
          <w:tcPr>
            <w:tcW w:w="2462" w:type="pct"/>
            <w:tcMar>
              <w:top w:w="0" w:type="dxa"/>
              <w:left w:w="108" w:type="dxa"/>
              <w:bottom w:w="0" w:type="dxa"/>
              <w:right w:w="108" w:type="dxa"/>
            </w:tcMar>
          </w:tcPr>
          <w:p w14:paraId="0EAB887E" w14:textId="14257140" w:rsidR="00532A8F" w:rsidRDefault="00532A8F" w:rsidP="00532A8F">
            <w:pPr>
              <w:spacing w:line="252" w:lineRule="auto"/>
              <w:rPr>
                <w:rFonts w:cs="Calibri"/>
                <w:b/>
                <w:bCs/>
                <w:sz w:val="20"/>
                <w:szCs w:val="20"/>
              </w:rPr>
            </w:pPr>
            <w:r>
              <w:rPr>
                <w:rFonts w:cs="Calibri"/>
                <w:b/>
                <w:bCs/>
                <w:color w:val="000000"/>
                <w:sz w:val="20"/>
                <w:szCs w:val="20"/>
              </w:rPr>
              <w:t xml:space="preserve">Non-Spin Changes Related to NPRR1203, Implementation of Dispatchable Reliability Reserve Service.  </w:t>
            </w:r>
            <w:r>
              <w:rPr>
                <w:rFonts w:cs="Calibri"/>
                <w:color w:val="000000"/>
                <w:sz w:val="20"/>
                <w:szCs w:val="20"/>
              </w:rPr>
              <w:t>This OBDRR aligns this Other Binding Document with revisions from NPRR1203 creating the new Dispatchable Reliability Reserve Service (DRRS).  [ERCOT]</w:t>
            </w:r>
          </w:p>
        </w:tc>
        <w:tc>
          <w:tcPr>
            <w:tcW w:w="444" w:type="pct"/>
            <w:tcMar>
              <w:top w:w="0" w:type="dxa"/>
              <w:left w:w="108" w:type="dxa"/>
              <w:bottom w:w="0" w:type="dxa"/>
              <w:right w:w="108" w:type="dxa"/>
            </w:tcMar>
          </w:tcPr>
          <w:p w14:paraId="65A0074A" w14:textId="7B765E77" w:rsidR="00532A8F" w:rsidRDefault="00532A8F" w:rsidP="00532A8F">
            <w:pPr>
              <w:spacing w:line="252" w:lineRule="auto"/>
              <w:jc w:val="center"/>
              <w:rPr>
                <w:rFonts w:cs="Calibri"/>
                <w:sz w:val="20"/>
                <w:szCs w:val="20"/>
              </w:rPr>
            </w:pPr>
            <w:r>
              <w:rPr>
                <w:rFonts w:cs="Calibri"/>
                <w:color w:val="000000"/>
                <w:sz w:val="20"/>
                <w:szCs w:val="20"/>
              </w:rPr>
              <w:t>N</w:t>
            </w:r>
          </w:p>
        </w:tc>
        <w:tc>
          <w:tcPr>
            <w:tcW w:w="1466" w:type="pct"/>
            <w:tcMar>
              <w:top w:w="0" w:type="dxa"/>
              <w:left w:w="108" w:type="dxa"/>
              <w:bottom w:w="0" w:type="dxa"/>
              <w:right w:w="108" w:type="dxa"/>
            </w:tcMar>
          </w:tcPr>
          <w:p w14:paraId="2A061179" w14:textId="3344EB90" w:rsidR="00532A8F" w:rsidRDefault="00532A8F" w:rsidP="00532A8F">
            <w:pPr>
              <w:spacing w:line="252" w:lineRule="auto"/>
              <w:rPr>
                <w:sz w:val="20"/>
                <w:szCs w:val="20"/>
              </w:rPr>
            </w:pPr>
            <w:r w:rsidRPr="00532A8F">
              <w:rPr>
                <w:sz w:val="20"/>
                <w:szCs w:val="20"/>
              </w:rPr>
              <w:t>IMM supports these revision requests</w:t>
            </w:r>
            <w:r>
              <w:rPr>
                <w:sz w:val="20"/>
                <w:szCs w:val="20"/>
              </w:rPr>
              <w:t xml:space="preserve"> (NPRR1203, OBDRR049, OBDRR050)</w:t>
            </w:r>
            <w:r w:rsidRPr="00532A8F">
              <w:rPr>
                <w:sz w:val="20"/>
                <w:szCs w:val="20"/>
              </w:rPr>
              <w:t>, understanding the statutory deadline, and supports the ultimate creation of a separate product to be delivered with the Real-Time Co-optimization project.</w:t>
            </w:r>
          </w:p>
        </w:tc>
      </w:tr>
      <w:tr w:rsidR="00532A8F" w14:paraId="614F2128" w14:textId="77777777" w:rsidTr="00C25A5F">
        <w:tc>
          <w:tcPr>
            <w:tcW w:w="628" w:type="pct"/>
            <w:tcMar>
              <w:top w:w="0" w:type="dxa"/>
              <w:left w:w="108" w:type="dxa"/>
              <w:bottom w:w="0" w:type="dxa"/>
              <w:right w:w="108" w:type="dxa"/>
            </w:tcMar>
          </w:tcPr>
          <w:p w14:paraId="1926064A" w14:textId="20199EFD" w:rsidR="00532A8F" w:rsidRDefault="00532A8F" w:rsidP="00532A8F">
            <w:pPr>
              <w:spacing w:line="252" w:lineRule="auto"/>
              <w:rPr>
                <w:b/>
                <w:bCs/>
                <w:color w:val="000000"/>
                <w:sz w:val="20"/>
                <w:szCs w:val="20"/>
              </w:rPr>
            </w:pPr>
            <w:r>
              <w:rPr>
                <w:rFonts w:cs="Calibri"/>
                <w:b/>
                <w:bCs/>
                <w:color w:val="000000"/>
                <w:sz w:val="20"/>
                <w:szCs w:val="20"/>
              </w:rPr>
              <w:t>1193NPRR</w:t>
            </w:r>
          </w:p>
        </w:tc>
        <w:tc>
          <w:tcPr>
            <w:tcW w:w="2462" w:type="pct"/>
            <w:tcMar>
              <w:top w:w="0" w:type="dxa"/>
              <w:left w:w="108" w:type="dxa"/>
              <w:bottom w:w="0" w:type="dxa"/>
              <w:right w:w="108" w:type="dxa"/>
            </w:tcMar>
          </w:tcPr>
          <w:p w14:paraId="62CBFCB4" w14:textId="11F51FA3" w:rsidR="00532A8F" w:rsidRDefault="00532A8F" w:rsidP="00532A8F">
            <w:pPr>
              <w:spacing w:line="252" w:lineRule="auto"/>
              <w:rPr>
                <w:b/>
                <w:bCs/>
                <w:sz w:val="20"/>
                <w:szCs w:val="20"/>
              </w:rPr>
            </w:pPr>
            <w:r>
              <w:rPr>
                <w:rFonts w:cs="Calibri"/>
                <w:b/>
                <w:bCs/>
                <w:color w:val="000000"/>
                <w:sz w:val="20"/>
                <w:szCs w:val="20"/>
              </w:rPr>
              <w:t xml:space="preserve">Related to SMOGRR027, Move OBD to Settlement Metering Operating Guide – EPS Metering Design Proposal.  </w:t>
            </w:r>
            <w:r>
              <w:rPr>
                <w:rFonts w:cs="Calibri"/>
                <w:color w:val="000000"/>
                <w:sz w:val="20"/>
                <w:szCs w:val="20"/>
              </w:rPr>
              <w:t>This Nodal Protocol Revision Request (NPRR) changes the referenced location of the EPS Design Proposal Form, as it is moving from the Other Binding Document List into the Settlement Metering Operating Guide (SMOG).  [ERCOT]</w:t>
            </w:r>
          </w:p>
        </w:tc>
        <w:tc>
          <w:tcPr>
            <w:tcW w:w="444" w:type="pct"/>
            <w:tcMar>
              <w:top w:w="0" w:type="dxa"/>
              <w:left w:w="108" w:type="dxa"/>
              <w:bottom w:w="0" w:type="dxa"/>
              <w:right w:w="108" w:type="dxa"/>
            </w:tcMar>
          </w:tcPr>
          <w:p w14:paraId="46AA6B98" w14:textId="03CB6DE3" w:rsidR="00532A8F" w:rsidRDefault="00532A8F" w:rsidP="00532A8F">
            <w:pPr>
              <w:spacing w:line="252" w:lineRule="auto"/>
              <w:jc w:val="center"/>
              <w:rPr>
                <w:sz w:val="20"/>
                <w:szCs w:val="20"/>
              </w:rPr>
            </w:pPr>
            <w:r>
              <w:rPr>
                <w:rFonts w:cs="Calibri"/>
                <w:color w:val="000000"/>
                <w:sz w:val="20"/>
                <w:szCs w:val="20"/>
              </w:rPr>
              <w:t>N</w:t>
            </w:r>
          </w:p>
        </w:tc>
        <w:tc>
          <w:tcPr>
            <w:tcW w:w="1466" w:type="pct"/>
            <w:tcMar>
              <w:top w:w="0" w:type="dxa"/>
              <w:left w:w="108" w:type="dxa"/>
              <w:bottom w:w="0" w:type="dxa"/>
              <w:right w:w="108" w:type="dxa"/>
            </w:tcMar>
          </w:tcPr>
          <w:p w14:paraId="12EE76C5" w14:textId="3FC439F7" w:rsidR="00532A8F" w:rsidRDefault="00532A8F" w:rsidP="00532A8F">
            <w:pPr>
              <w:spacing w:line="252" w:lineRule="auto"/>
              <w:rPr>
                <w:sz w:val="20"/>
                <w:szCs w:val="20"/>
              </w:rPr>
            </w:pPr>
            <w:r>
              <w:rPr>
                <w:sz w:val="20"/>
                <w:szCs w:val="20"/>
              </w:rPr>
              <w:t>IMM has no opinion on NPRR1193.</w:t>
            </w:r>
          </w:p>
        </w:tc>
      </w:tr>
      <w:tr w:rsidR="00C25A5F" w14:paraId="31E87883" w14:textId="77777777" w:rsidTr="00C25A5F">
        <w:tc>
          <w:tcPr>
            <w:tcW w:w="628" w:type="pct"/>
            <w:tcMar>
              <w:top w:w="0" w:type="dxa"/>
              <w:left w:w="108" w:type="dxa"/>
              <w:bottom w:w="0" w:type="dxa"/>
              <w:right w:w="108" w:type="dxa"/>
            </w:tcMar>
          </w:tcPr>
          <w:p w14:paraId="2EADD086" w14:textId="6CC18385" w:rsidR="00C25A5F" w:rsidRDefault="00C25A5F" w:rsidP="00532A8F">
            <w:pPr>
              <w:spacing w:line="252" w:lineRule="auto"/>
              <w:rPr>
                <w:b/>
                <w:bCs/>
                <w:color w:val="000000"/>
                <w:sz w:val="20"/>
                <w:szCs w:val="20"/>
              </w:rPr>
            </w:pPr>
            <w:r>
              <w:rPr>
                <w:rFonts w:cs="Calibri"/>
                <w:b/>
                <w:bCs/>
                <w:color w:val="000000"/>
                <w:sz w:val="20"/>
                <w:szCs w:val="20"/>
              </w:rPr>
              <w:t>245NOGRR</w:t>
            </w:r>
          </w:p>
        </w:tc>
        <w:tc>
          <w:tcPr>
            <w:tcW w:w="2462" w:type="pct"/>
            <w:tcMar>
              <w:top w:w="0" w:type="dxa"/>
              <w:left w:w="108" w:type="dxa"/>
              <w:bottom w:w="0" w:type="dxa"/>
              <w:right w:w="108" w:type="dxa"/>
            </w:tcMar>
          </w:tcPr>
          <w:p w14:paraId="5D257154" w14:textId="57E9D2DF" w:rsidR="00C25A5F" w:rsidRDefault="00C25A5F" w:rsidP="00532A8F">
            <w:pPr>
              <w:spacing w:line="252" w:lineRule="auto"/>
              <w:rPr>
                <w:b/>
                <w:bCs/>
                <w:sz w:val="20"/>
                <w:szCs w:val="20"/>
              </w:rPr>
            </w:pPr>
            <w:r>
              <w:rPr>
                <w:rFonts w:cs="Calibri"/>
                <w:b/>
                <w:bCs/>
                <w:color w:val="000000"/>
                <w:sz w:val="20"/>
                <w:szCs w:val="20"/>
              </w:rPr>
              <w:t xml:space="preserve">Inverter-Based Resource (IBR) Ride-Through Requirements.  </w:t>
            </w:r>
            <w:r>
              <w:rPr>
                <w:rFonts w:cs="Calibri"/>
                <w:color w:val="000000"/>
                <w:sz w:val="20"/>
                <w:szCs w:val="20"/>
              </w:rPr>
              <w:t>This NOGRR replaces the current voltage ride-through requirements for Intermittent Renewable Resources (IRRs) with voltage ride-through requirements for Inverter-Based Resources (IBRs) and provides new frequency ride-through requirements for IBRs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  [ERCOT]</w:t>
            </w:r>
          </w:p>
        </w:tc>
        <w:tc>
          <w:tcPr>
            <w:tcW w:w="444" w:type="pct"/>
            <w:tcMar>
              <w:top w:w="0" w:type="dxa"/>
              <w:left w:w="108" w:type="dxa"/>
              <w:bottom w:w="0" w:type="dxa"/>
              <w:right w:w="108" w:type="dxa"/>
            </w:tcMar>
          </w:tcPr>
          <w:p w14:paraId="00799CC1" w14:textId="3193C640" w:rsidR="00C25A5F" w:rsidRDefault="00C25A5F" w:rsidP="00532A8F">
            <w:pPr>
              <w:spacing w:line="252" w:lineRule="auto"/>
              <w:jc w:val="center"/>
              <w:rPr>
                <w:sz w:val="20"/>
                <w:szCs w:val="20"/>
              </w:rPr>
            </w:pPr>
            <w:r>
              <w:rPr>
                <w:rFonts w:cs="Calibri"/>
                <w:color w:val="000000"/>
                <w:sz w:val="20"/>
                <w:szCs w:val="20"/>
              </w:rPr>
              <w:t>Y</w:t>
            </w:r>
          </w:p>
        </w:tc>
        <w:tc>
          <w:tcPr>
            <w:tcW w:w="1466" w:type="pct"/>
            <w:tcMar>
              <w:top w:w="0" w:type="dxa"/>
              <w:left w:w="108" w:type="dxa"/>
              <w:bottom w:w="0" w:type="dxa"/>
              <w:right w:w="108" w:type="dxa"/>
            </w:tcMar>
          </w:tcPr>
          <w:p w14:paraId="547F478B" w14:textId="06C76BD1" w:rsidR="00C25A5F" w:rsidRDefault="00C25A5F" w:rsidP="00532A8F">
            <w:pPr>
              <w:spacing w:line="252" w:lineRule="auto"/>
              <w:rPr>
                <w:sz w:val="20"/>
                <w:szCs w:val="20"/>
              </w:rPr>
            </w:pPr>
            <w:r>
              <w:rPr>
                <w:sz w:val="20"/>
                <w:szCs w:val="20"/>
              </w:rPr>
              <w:t>IMM supports the ROS-recommended version of NOGRR245.</w:t>
            </w:r>
          </w:p>
        </w:tc>
      </w:tr>
      <w:tr w:rsidR="00C25A5F" w14:paraId="65C1592B" w14:textId="77777777" w:rsidTr="00C25A5F">
        <w:tc>
          <w:tcPr>
            <w:tcW w:w="628" w:type="pct"/>
            <w:tcMar>
              <w:top w:w="0" w:type="dxa"/>
              <w:left w:w="108" w:type="dxa"/>
              <w:bottom w:w="0" w:type="dxa"/>
              <w:right w:w="108" w:type="dxa"/>
            </w:tcMar>
          </w:tcPr>
          <w:p w14:paraId="1E0178E4" w14:textId="6433778C" w:rsidR="00C25A5F" w:rsidRDefault="00C25A5F" w:rsidP="00182C5C">
            <w:pPr>
              <w:spacing w:line="252" w:lineRule="auto"/>
              <w:rPr>
                <w:b/>
                <w:bCs/>
                <w:color w:val="000000"/>
                <w:sz w:val="20"/>
                <w:szCs w:val="20"/>
              </w:rPr>
            </w:pPr>
            <w:r>
              <w:rPr>
                <w:rFonts w:cs="Calibri"/>
                <w:b/>
                <w:bCs/>
                <w:color w:val="000000"/>
                <w:sz w:val="20"/>
                <w:szCs w:val="20"/>
              </w:rPr>
              <w:t>105PGRR</w:t>
            </w:r>
          </w:p>
        </w:tc>
        <w:tc>
          <w:tcPr>
            <w:tcW w:w="2462" w:type="pct"/>
            <w:tcMar>
              <w:top w:w="0" w:type="dxa"/>
              <w:left w:w="108" w:type="dxa"/>
              <w:bottom w:w="0" w:type="dxa"/>
              <w:right w:w="108" w:type="dxa"/>
            </w:tcMar>
          </w:tcPr>
          <w:p w14:paraId="39878D3C" w14:textId="705835C2" w:rsidR="00C25A5F" w:rsidRDefault="00C25A5F" w:rsidP="00182C5C">
            <w:pPr>
              <w:spacing w:line="252" w:lineRule="auto"/>
              <w:rPr>
                <w:b/>
                <w:bCs/>
                <w:sz w:val="20"/>
                <w:szCs w:val="20"/>
              </w:rPr>
            </w:pPr>
            <w:r>
              <w:rPr>
                <w:rFonts w:cs="Calibri"/>
                <w:b/>
                <w:bCs/>
                <w:color w:val="000000"/>
                <w:sz w:val="20"/>
                <w:szCs w:val="20"/>
              </w:rPr>
              <w:t xml:space="preserve">Deliverability Criteria for DC Tie Imports.  </w:t>
            </w:r>
            <w:r>
              <w:rPr>
                <w:rFonts w:cs="Calibri"/>
                <w:color w:val="000000"/>
                <w:sz w:val="20"/>
                <w:szCs w:val="20"/>
              </w:rPr>
              <w:t>This Planning Guide Revision Request (PGRR) adds Direct Current Tie (DC Tie) Resources to the list of Resources for which the minimum deliverability condition applies.  [REMC]</w:t>
            </w:r>
          </w:p>
        </w:tc>
        <w:tc>
          <w:tcPr>
            <w:tcW w:w="444" w:type="pct"/>
            <w:tcMar>
              <w:top w:w="0" w:type="dxa"/>
              <w:left w:w="108" w:type="dxa"/>
              <w:bottom w:w="0" w:type="dxa"/>
              <w:right w:w="108" w:type="dxa"/>
            </w:tcMar>
          </w:tcPr>
          <w:p w14:paraId="2041F870" w14:textId="13E91524" w:rsidR="00C25A5F" w:rsidRDefault="00C25A5F" w:rsidP="00182C5C">
            <w:pPr>
              <w:spacing w:line="252" w:lineRule="auto"/>
              <w:jc w:val="center"/>
              <w:rPr>
                <w:sz w:val="20"/>
                <w:szCs w:val="20"/>
              </w:rPr>
            </w:pPr>
            <w:r>
              <w:rPr>
                <w:rFonts w:cs="Calibri"/>
                <w:color w:val="000000"/>
                <w:sz w:val="20"/>
                <w:szCs w:val="20"/>
              </w:rPr>
              <w:t>N</w:t>
            </w:r>
          </w:p>
        </w:tc>
        <w:tc>
          <w:tcPr>
            <w:tcW w:w="1466" w:type="pct"/>
            <w:tcMar>
              <w:top w:w="0" w:type="dxa"/>
              <w:left w:w="108" w:type="dxa"/>
              <w:bottom w:w="0" w:type="dxa"/>
              <w:right w:w="108" w:type="dxa"/>
            </w:tcMar>
          </w:tcPr>
          <w:p w14:paraId="1DE498A9" w14:textId="033FF453" w:rsidR="00C25A5F" w:rsidRDefault="00C25A5F" w:rsidP="00182C5C">
            <w:pPr>
              <w:spacing w:line="252" w:lineRule="auto"/>
              <w:rPr>
                <w:sz w:val="20"/>
                <w:szCs w:val="20"/>
              </w:rPr>
            </w:pPr>
            <w:r>
              <w:rPr>
                <w:sz w:val="20"/>
                <w:szCs w:val="20"/>
              </w:rPr>
              <w:t>IMM has no opinion on PGRR105.</w:t>
            </w:r>
          </w:p>
        </w:tc>
      </w:tr>
      <w:tr w:rsidR="00C25A5F" w14:paraId="0E79349C" w14:textId="77777777" w:rsidTr="00C25A5F">
        <w:tc>
          <w:tcPr>
            <w:tcW w:w="628" w:type="pct"/>
            <w:tcMar>
              <w:top w:w="0" w:type="dxa"/>
              <w:left w:w="108" w:type="dxa"/>
              <w:bottom w:w="0" w:type="dxa"/>
              <w:right w:w="108" w:type="dxa"/>
            </w:tcMar>
          </w:tcPr>
          <w:p w14:paraId="3D8589B5" w14:textId="50B743F9" w:rsidR="00C25A5F" w:rsidRDefault="00C25A5F" w:rsidP="00182C5C">
            <w:pPr>
              <w:spacing w:line="252" w:lineRule="auto"/>
              <w:rPr>
                <w:b/>
                <w:bCs/>
                <w:color w:val="000000"/>
                <w:sz w:val="20"/>
                <w:szCs w:val="20"/>
              </w:rPr>
            </w:pPr>
          </w:p>
        </w:tc>
        <w:tc>
          <w:tcPr>
            <w:tcW w:w="2462" w:type="pct"/>
            <w:tcMar>
              <w:top w:w="0" w:type="dxa"/>
              <w:left w:w="108" w:type="dxa"/>
              <w:bottom w:w="0" w:type="dxa"/>
              <w:right w:w="108" w:type="dxa"/>
            </w:tcMar>
          </w:tcPr>
          <w:p w14:paraId="4700CA6E" w14:textId="79F1EA52" w:rsidR="00C25A5F" w:rsidRDefault="00C25A5F" w:rsidP="00182C5C">
            <w:pPr>
              <w:spacing w:line="252" w:lineRule="auto"/>
              <w:rPr>
                <w:b/>
                <w:bCs/>
                <w:sz w:val="20"/>
                <w:szCs w:val="20"/>
              </w:rPr>
            </w:pPr>
          </w:p>
        </w:tc>
        <w:tc>
          <w:tcPr>
            <w:tcW w:w="444" w:type="pct"/>
            <w:tcMar>
              <w:top w:w="0" w:type="dxa"/>
              <w:left w:w="108" w:type="dxa"/>
              <w:bottom w:w="0" w:type="dxa"/>
              <w:right w:w="108" w:type="dxa"/>
            </w:tcMar>
          </w:tcPr>
          <w:p w14:paraId="0462CA76" w14:textId="07C3B48B" w:rsidR="00C25A5F" w:rsidRDefault="00C25A5F" w:rsidP="00182C5C">
            <w:pPr>
              <w:spacing w:line="252" w:lineRule="auto"/>
              <w:jc w:val="center"/>
              <w:rPr>
                <w:sz w:val="20"/>
                <w:szCs w:val="20"/>
              </w:rPr>
            </w:pPr>
          </w:p>
        </w:tc>
        <w:tc>
          <w:tcPr>
            <w:tcW w:w="1466" w:type="pct"/>
            <w:tcMar>
              <w:top w:w="0" w:type="dxa"/>
              <w:left w:w="108" w:type="dxa"/>
              <w:bottom w:w="0" w:type="dxa"/>
              <w:right w:w="108" w:type="dxa"/>
            </w:tcMar>
          </w:tcPr>
          <w:p w14:paraId="5CFDC4F1" w14:textId="7635C496" w:rsidR="00C25A5F" w:rsidRPr="00356DF4" w:rsidRDefault="00C25A5F" w:rsidP="00182C5C">
            <w:pPr>
              <w:spacing w:before="60" w:after="60"/>
            </w:pPr>
          </w:p>
        </w:tc>
      </w:tr>
    </w:tbl>
    <w:p w14:paraId="10BCEE7F" w14:textId="70446F85" w:rsidR="00554C6B" w:rsidRPr="0043535A" w:rsidRDefault="00554C6B" w:rsidP="0043535A"/>
    <w:sectPr w:rsidR="00554C6B" w:rsidRPr="0043535A"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4A133" w14:textId="77777777" w:rsidR="007B571A" w:rsidRDefault="007B571A" w:rsidP="00985FF4">
      <w:r>
        <w:separator/>
      </w:r>
    </w:p>
  </w:endnote>
  <w:endnote w:type="continuationSeparator" w:id="0">
    <w:p w14:paraId="559BD08A" w14:textId="77777777" w:rsidR="007B571A" w:rsidRDefault="007B571A"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B839A" w14:textId="77777777" w:rsidR="007B571A" w:rsidRDefault="007B571A" w:rsidP="00985FF4">
      <w:r>
        <w:separator/>
      </w:r>
    </w:p>
  </w:footnote>
  <w:footnote w:type="continuationSeparator" w:id="0">
    <w:p w14:paraId="0A776113" w14:textId="77777777" w:rsidR="007B571A" w:rsidRDefault="007B571A"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E4ED" w14:textId="6375D388" w:rsidR="00356DF4" w:rsidRDefault="00356DF4" w:rsidP="00356DF4">
    <w:pPr>
      <w:pStyle w:val="Header"/>
      <w:jc w:val="center"/>
    </w:pPr>
    <w:r>
      <w:t xml:space="preserve">IMM Opinions for the </w:t>
    </w:r>
    <w:r w:rsidR="00B40AF2">
      <w:t>12/4/23</w:t>
    </w:r>
    <w:r>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33A56"/>
    <w:rsid w:val="000362AB"/>
    <w:rsid w:val="00036D21"/>
    <w:rsid w:val="0004714A"/>
    <w:rsid w:val="00077160"/>
    <w:rsid w:val="000831A1"/>
    <w:rsid w:val="000959E0"/>
    <w:rsid w:val="000A464D"/>
    <w:rsid w:val="000A7FEC"/>
    <w:rsid w:val="000B1891"/>
    <w:rsid w:val="000B5B40"/>
    <w:rsid w:val="000C785B"/>
    <w:rsid w:val="000D0353"/>
    <w:rsid w:val="000D0F28"/>
    <w:rsid w:val="000E59F8"/>
    <w:rsid w:val="000F22EA"/>
    <w:rsid w:val="000F641B"/>
    <w:rsid w:val="00101B04"/>
    <w:rsid w:val="00101E68"/>
    <w:rsid w:val="00104CBC"/>
    <w:rsid w:val="00106FC1"/>
    <w:rsid w:val="001135EA"/>
    <w:rsid w:val="00114E53"/>
    <w:rsid w:val="001154E1"/>
    <w:rsid w:val="0011791D"/>
    <w:rsid w:val="00120C0C"/>
    <w:rsid w:val="00121A51"/>
    <w:rsid w:val="00124255"/>
    <w:rsid w:val="0012461F"/>
    <w:rsid w:val="00131AD8"/>
    <w:rsid w:val="00145734"/>
    <w:rsid w:val="0016016F"/>
    <w:rsid w:val="00160EE6"/>
    <w:rsid w:val="001625B1"/>
    <w:rsid w:val="0018668E"/>
    <w:rsid w:val="001A11D5"/>
    <w:rsid w:val="001A2D79"/>
    <w:rsid w:val="001A5863"/>
    <w:rsid w:val="001A5BB7"/>
    <w:rsid w:val="001B13CF"/>
    <w:rsid w:val="001B743A"/>
    <w:rsid w:val="001B7829"/>
    <w:rsid w:val="001C7937"/>
    <w:rsid w:val="001D2296"/>
    <w:rsid w:val="001F18CF"/>
    <w:rsid w:val="001F4319"/>
    <w:rsid w:val="001F4476"/>
    <w:rsid w:val="00204F95"/>
    <w:rsid w:val="00210A3C"/>
    <w:rsid w:val="0023113D"/>
    <w:rsid w:val="00231C14"/>
    <w:rsid w:val="00234AF1"/>
    <w:rsid w:val="002378E5"/>
    <w:rsid w:val="002472F3"/>
    <w:rsid w:val="00262E21"/>
    <w:rsid w:val="00274E29"/>
    <w:rsid w:val="00283FFB"/>
    <w:rsid w:val="00293347"/>
    <w:rsid w:val="002C4AA8"/>
    <w:rsid w:val="002D37DF"/>
    <w:rsid w:val="002D38E6"/>
    <w:rsid w:val="002E28D0"/>
    <w:rsid w:val="002F00A6"/>
    <w:rsid w:val="002F02AA"/>
    <w:rsid w:val="002F35F9"/>
    <w:rsid w:val="002F7FD2"/>
    <w:rsid w:val="00303684"/>
    <w:rsid w:val="0031372C"/>
    <w:rsid w:val="00313CC7"/>
    <w:rsid w:val="00320296"/>
    <w:rsid w:val="00320D47"/>
    <w:rsid w:val="003215C0"/>
    <w:rsid w:val="00321F9E"/>
    <w:rsid w:val="00345C3C"/>
    <w:rsid w:val="00346E37"/>
    <w:rsid w:val="003504F7"/>
    <w:rsid w:val="003524E8"/>
    <w:rsid w:val="00355705"/>
    <w:rsid w:val="00356DF4"/>
    <w:rsid w:val="003700A1"/>
    <w:rsid w:val="003733F6"/>
    <w:rsid w:val="003A2191"/>
    <w:rsid w:val="003B12BD"/>
    <w:rsid w:val="003C69EA"/>
    <w:rsid w:val="003D1D46"/>
    <w:rsid w:val="003D6A28"/>
    <w:rsid w:val="003E1FAB"/>
    <w:rsid w:val="003E6433"/>
    <w:rsid w:val="003F0A77"/>
    <w:rsid w:val="003F0D29"/>
    <w:rsid w:val="003F25EE"/>
    <w:rsid w:val="00424682"/>
    <w:rsid w:val="004249F6"/>
    <w:rsid w:val="00434F24"/>
    <w:rsid w:val="0043535A"/>
    <w:rsid w:val="00443FF2"/>
    <w:rsid w:val="0044443B"/>
    <w:rsid w:val="004447B8"/>
    <w:rsid w:val="00444F23"/>
    <w:rsid w:val="004A5D45"/>
    <w:rsid w:val="004B0899"/>
    <w:rsid w:val="004B12A2"/>
    <w:rsid w:val="004C0100"/>
    <w:rsid w:val="004C1AC0"/>
    <w:rsid w:val="004C2CE0"/>
    <w:rsid w:val="004D2865"/>
    <w:rsid w:val="004D642C"/>
    <w:rsid w:val="004E1095"/>
    <w:rsid w:val="004F2E07"/>
    <w:rsid w:val="00502C7D"/>
    <w:rsid w:val="0051039A"/>
    <w:rsid w:val="00514792"/>
    <w:rsid w:val="00532A8F"/>
    <w:rsid w:val="005340BB"/>
    <w:rsid w:val="00536692"/>
    <w:rsid w:val="0054089F"/>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147E"/>
    <w:rsid w:val="005E1FB0"/>
    <w:rsid w:val="005E229D"/>
    <w:rsid w:val="005E3A8D"/>
    <w:rsid w:val="005E6217"/>
    <w:rsid w:val="005F6CDD"/>
    <w:rsid w:val="006056C9"/>
    <w:rsid w:val="006238D2"/>
    <w:rsid w:val="006256A5"/>
    <w:rsid w:val="0063079C"/>
    <w:rsid w:val="006332E6"/>
    <w:rsid w:val="0063390E"/>
    <w:rsid w:val="0063436F"/>
    <w:rsid w:val="006357E3"/>
    <w:rsid w:val="0066245C"/>
    <w:rsid w:val="00663AA2"/>
    <w:rsid w:val="00665D76"/>
    <w:rsid w:val="006679D2"/>
    <w:rsid w:val="006723B7"/>
    <w:rsid w:val="00672B98"/>
    <w:rsid w:val="00684FF7"/>
    <w:rsid w:val="006942EA"/>
    <w:rsid w:val="006B11F5"/>
    <w:rsid w:val="006B34E3"/>
    <w:rsid w:val="006B57A0"/>
    <w:rsid w:val="006C3CC8"/>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194F"/>
    <w:rsid w:val="0076478A"/>
    <w:rsid w:val="00765370"/>
    <w:rsid w:val="00774705"/>
    <w:rsid w:val="0079493C"/>
    <w:rsid w:val="007A3FD4"/>
    <w:rsid w:val="007B4B34"/>
    <w:rsid w:val="007B571A"/>
    <w:rsid w:val="007C79F2"/>
    <w:rsid w:val="007D6858"/>
    <w:rsid w:val="007E12E0"/>
    <w:rsid w:val="007E5AAA"/>
    <w:rsid w:val="007F3DD6"/>
    <w:rsid w:val="00805A86"/>
    <w:rsid w:val="00813BAC"/>
    <w:rsid w:val="00825E43"/>
    <w:rsid w:val="00841F6C"/>
    <w:rsid w:val="00855C1B"/>
    <w:rsid w:val="00885262"/>
    <w:rsid w:val="008874B6"/>
    <w:rsid w:val="00890DF0"/>
    <w:rsid w:val="008A1AAE"/>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41125"/>
    <w:rsid w:val="0096024F"/>
    <w:rsid w:val="00965358"/>
    <w:rsid w:val="00971A8E"/>
    <w:rsid w:val="00981A1E"/>
    <w:rsid w:val="00985FF4"/>
    <w:rsid w:val="00991077"/>
    <w:rsid w:val="00993006"/>
    <w:rsid w:val="009A33A9"/>
    <w:rsid w:val="009B27B4"/>
    <w:rsid w:val="009B474D"/>
    <w:rsid w:val="009B4BD7"/>
    <w:rsid w:val="009C5427"/>
    <w:rsid w:val="009D7DCD"/>
    <w:rsid w:val="009F28CC"/>
    <w:rsid w:val="00A11AAC"/>
    <w:rsid w:val="00A21AB4"/>
    <w:rsid w:val="00A47CD1"/>
    <w:rsid w:val="00A6136D"/>
    <w:rsid w:val="00A6450D"/>
    <w:rsid w:val="00A648EA"/>
    <w:rsid w:val="00A715C7"/>
    <w:rsid w:val="00A72B66"/>
    <w:rsid w:val="00A75139"/>
    <w:rsid w:val="00A80332"/>
    <w:rsid w:val="00A844BB"/>
    <w:rsid w:val="00A865FA"/>
    <w:rsid w:val="00A94986"/>
    <w:rsid w:val="00A961A8"/>
    <w:rsid w:val="00A96B54"/>
    <w:rsid w:val="00AA0971"/>
    <w:rsid w:val="00AA15FA"/>
    <w:rsid w:val="00AA2B1E"/>
    <w:rsid w:val="00AA5D58"/>
    <w:rsid w:val="00AC0725"/>
    <w:rsid w:val="00AC0F63"/>
    <w:rsid w:val="00AC3DA0"/>
    <w:rsid w:val="00AD50EB"/>
    <w:rsid w:val="00B0155A"/>
    <w:rsid w:val="00B04070"/>
    <w:rsid w:val="00B079DA"/>
    <w:rsid w:val="00B125ED"/>
    <w:rsid w:val="00B152E0"/>
    <w:rsid w:val="00B247DA"/>
    <w:rsid w:val="00B3529B"/>
    <w:rsid w:val="00B40AF2"/>
    <w:rsid w:val="00B510EE"/>
    <w:rsid w:val="00B52E33"/>
    <w:rsid w:val="00B533F4"/>
    <w:rsid w:val="00B615F1"/>
    <w:rsid w:val="00B61A42"/>
    <w:rsid w:val="00B87C79"/>
    <w:rsid w:val="00B919F7"/>
    <w:rsid w:val="00BD2E29"/>
    <w:rsid w:val="00BD6400"/>
    <w:rsid w:val="00BE3497"/>
    <w:rsid w:val="00BE7782"/>
    <w:rsid w:val="00BF2584"/>
    <w:rsid w:val="00BF72A1"/>
    <w:rsid w:val="00C174FF"/>
    <w:rsid w:val="00C175F2"/>
    <w:rsid w:val="00C21581"/>
    <w:rsid w:val="00C232E6"/>
    <w:rsid w:val="00C2433B"/>
    <w:rsid w:val="00C248BD"/>
    <w:rsid w:val="00C25A5F"/>
    <w:rsid w:val="00C27782"/>
    <w:rsid w:val="00C330BB"/>
    <w:rsid w:val="00C34983"/>
    <w:rsid w:val="00C44799"/>
    <w:rsid w:val="00C57BC6"/>
    <w:rsid w:val="00C60D06"/>
    <w:rsid w:val="00C67F93"/>
    <w:rsid w:val="00C80DBA"/>
    <w:rsid w:val="00C846DE"/>
    <w:rsid w:val="00C86FFC"/>
    <w:rsid w:val="00C91565"/>
    <w:rsid w:val="00C94AFF"/>
    <w:rsid w:val="00CA3A69"/>
    <w:rsid w:val="00CA727A"/>
    <w:rsid w:val="00CC25B3"/>
    <w:rsid w:val="00CF69AA"/>
    <w:rsid w:val="00D26039"/>
    <w:rsid w:val="00D31647"/>
    <w:rsid w:val="00D436A5"/>
    <w:rsid w:val="00D54ED3"/>
    <w:rsid w:val="00D63D9E"/>
    <w:rsid w:val="00D807DF"/>
    <w:rsid w:val="00D9087F"/>
    <w:rsid w:val="00DA2A46"/>
    <w:rsid w:val="00DB2035"/>
    <w:rsid w:val="00DC39B6"/>
    <w:rsid w:val="00DC6449"/>
    <w:rsid w:val="00DD53BA"/>
    <w:rsid w:val="00DE3961"/>
    <w:rsid w:val="00DF1748"/>
    <w:rsid w:val="00E0125B"/>
    <w:rsid w:val="00E02B59"/>
    <w:rsid w:val="00E07C02"/>
    <w:rsid w:val="00E238B8"/>
    <w:rsid w:val="00E30331"/>
    <w:rsid w:val="00E35ED2"/>
    <w:rsid w:val="00E53E2D"/>
    <w:rsid w:val="00E60BF8"/>
    <w:rsid w:val="00E62AA6"/>
    <w:rsid w:val="00E666FF"/>
    <w:rsid w:val="00E66AC7"/>
    <w:rsid w:val="00E71BAA"/>
    <w:rsid w:val="00E7340C"/>
    <w:rsid w:val="00E76DAD"/>
    <w:rsid w:val="00E77AA5"/>
    <w:rsid w:val="00E8061B"/>
    <w:rsid w:val="00E950DB"/>
    <w:rsid w:val="00EA187D"/>
    <w:rsid w:val="00EA5A35"/>
    <w:rsid w:val="00EB4A3E"/>
    <w:rsid w:val="00ED0E29"/>
    <w:rsid w:val="00EE51C4"/>
    <w:rsid w:val="00F058D0"/>
    <w:rsid w:val="00F166C1"/>
    <w:rsid w:val="00F21CD4"/>
    <w:rsid w:val="00F22D6E"/>
    <w:rsid w:val="00F60A7B"/>
    <w:rsid w:val="00F638D5"/>
    <w:rsid w:val="00F66BDC"/>
    <w:rsid w:val="00F71DF8"/>
    <w:rsid w:val="00F72A15"/>
    <w:rsid w:val="00F73C64"/>
    <w:rsid w:val="00F73D35"/>
    <w:rsid w:val="00F77036"/>
    <w:rsid w:val="00F801F2"/>
    <w:rsid w:val="00F96317"/>
    <w:rsid w:val="00FA2B06"/>
    <w:rsid w:val="00FB4680"/>
    <w:rsid w:val="00FC4BCD"/>
    <w:rsid w:val="00FC5AAA"/>
    <w:rsid w:val="00FC654A"/>
    <w:rsid w:val="00FC7B2E"/>
    <w:rsid w:val="00FE6BF4"/>
    <w:rsid w:val="00FF29C7"/>
    <w:rsid w:val="00FF5045"/>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 w:type="character" w:customStyle="1" w:styleId="ui-provider">
    <w:name w:val="ui-provider"/>
    <w:basedOn w:val="DefaultParagraphFont"/>
    <w:rsid w:val="00356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74517057">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171916271">
      <w:bodyDiv w:val="1"/>
      <w:marLeft w:val="0"/>
      <w:marRight w:val="0"/>
      <w:marTop w:val="0"/>
      <w:marBottom w:val="0"/>
      <w:divBdr>
        <w:top w:val="none" w:sz="0" w:space="0" w:color="auto"/>
        <w:left w:val="none" w:sz="0" w:space="0" w:color="auto"/>
        <w:bottom w:val="none" w:sz="0" w:space="0" w:color="auto"/>
        <w:right w:val="none" w:sz="0" w:space="0" w:color="auto"/>
      </w:divBdr>
    </w:div>
    <w:div w:id="179972040">
      <w:bodyDiv w:val="1"/>
      <w:marLeft w:val="0"/>
      <w:marRight w:val="0"/>
      <w:marTop w:val="0"/>
      <w:marBottom w:val="0"/>
      <w:divBdr>
        <w:top w:val="none" w:sz="0" w:space="0" w:color="auto"/>
        <w:left w:val="none" w:sz="0" w:space="0" w:color="auto"/>
        <w:bottom w:val="none" w:sz="0" w:space="0" w:color="auto"/>
        <w:right w:val="none" w:sz="0" w:space="0" w:color="auto"/>
      </w:divBdr>
    </w:div>
    <w:div w:id="18031630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17860980">
      <w:bodyDiv w:val="1"/>
      <w:marLeft w:val="0"/>
      <w:marRight w:val="0"/>
      <w:marTop w:val="0"/>
      <w:marBottom w:val="0"/>
      <w:divBdr>
        <w:top w:val="none" w:sz="0" w:space="0" w:color="auto"/>
        <w:left w:val="none" w:sz="0" w:space="0" w:color="auto"/>
        <w:bottom w:val="none" w:sz="0" w:space="0" w:color="auto"/>
        <w:right w:val="none" w:sz="0" w:space="0" w:color="auto"/>
      </w:divBdr>
    </w:div>
    <w:div w:id="226766678">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37579493">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64004615">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79300437">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69806308">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74568593">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3210724">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496606092">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54077199">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78898841">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01852370">
      <w:bodyDiv w:val="1"/>
      <w:marLeft w:val="0"/>
      <w:marRight w:val="0"/>
      <w:marTop w:val="0"/>
      <w:marBottom w:val="0"/>
      <w:divBdr>
        <w:top w:val="none" w:sz="0" w:space="0" w:color="auto"/>
        <w:left w:val="none" w:sz="0" w:space="0" w:color="auto"/>
        <w:bottom w:val="none" w:sz="0" w:space="0" w:color="auto"/>
        <w:right w:val="none" w:sz="0" w:space="0" w:color="auto"/>
      </w:divBdr>
    </w:div>
    <w:div w:id="1702973754">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16139792">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10455189">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796</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2023-12-01T16:02:00Z</dcterms:created>
  <dcterms:modified xsi:type="dcterms:W3CDTF">2023-12-01T16:02:00Z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2023-07-14T12:45:49Z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001294ea-e9e7-4902-9c4d-78aa7fbb78dc</vt:lpwstr>
  </property>
  <property fmtid="{D5CDD505-2E9C-101B-9397-08002B2CF9AE}" pid="8" name="MSIP_Label_7084cbda-52b8-46fb-a7b7-cb5bd465ed85_ContentBits">
    <vt:lpwstr>0</vt:lpwstr>
  </property>
</Properties>
</file>