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F605" w14:textId="77777777" w:rsidR="00DB7AEC" w:rsidRPr="00E27B82" w:rsidRDefault="00DB7AEC" w:rsidP="00DB7AEC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>Section 2:</w:t>
      </w:r>
    </w:p>
    <w:p w14:paraId="18D344A2" w14:textId="48E76857" w:rsidR="00374595" w:rsidRPr="00E27B82" w:rsidRDefault="00374595" w:rsidP="0037459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 xml:space="preserve">NPRR1164 – </w:t>
      </w:r>
      <w:r w:rsidRPr="00E27B82">
        <w:t>Black Start and Isochronous Control Capable Identification</w:t>
      </w:r>
    </w:p>
    <w:p w14:paraId="7BFCA9C1" w14:textId="0F312CB4" w:rsidR="00374595" w:rsidRPr="00E27B82" w:rsidRDefault="00374595" w:rsidP="00374595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E27B82">
        <w:rPr>
          <w:b w:val="0"/>
          <w:lang w:val="en-US"/>
        </w:rPr>
        <w:t xml:space="preserve">This Nodal Protocol Revision Request (NPRR) requires that Resource Entities identify whether a physical Resource has the potential capability (even if unverified) to be called upon or used during a black start emergency or if it has the capability for isochronous control, and requires that Resource Entities and Transmission Service Providers (TSPs) identify if a breaker or switch has a Synchroscope or Synchronism Check Relay. </w:t>
      </w:r>
      <w:r w:rsidR="005866C1" w:rsidRPr="00E27B82">
        <w:rPr>
          <w:b w:val="0"/>
          <w:lang w:val="en-US"/>
        </w:rPr>
        <w:t xml:space="preserve"> </w:t>
      </w:r>
      <w:r w:rsidRPr="00E27B82">
        <w:rPr>
          <w:b w:val="0"/>
          <w:lang w:val="en-US"/>
        </w:rPr>
        <w:t xml:space="preserve">This </w:t>
      </w:r>
      <w:r w:rsidR="008929EC" w:rsidRPr="00E27B82">
        <w:rPr>
          <w:b w:val="0"/>
          <w:lang w:val="en-US"/>
        </w:rPr>
        <w:t xml:space="preserve">NPRR </w:t>
      </w:r>
      <w:r w:rsidRPr="00E27B82">
        <w:rPr>
          <w:b w:val="0"/>
          <w:lang w:val="en-US"/>
        </w:rPr>
        <w:t>defines the terms Black Start Capable Resource, Isochronous Control Capable Resource, Synchroscope, and Synchronism Check Relay.</w:t>
      </w:r>
    </w:p>
    <w:p w14:paraId="1A7BC222" w14:textId="19FFD72F" w:rsidR="00374595" w:rsidRPr="00E27B82" w:rsidRDefault="00374595" w:rsidP="0037459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Subsection:  </w:t>
      </w:r>
      <w:r w:rsidRPr="00E27B82">
        <w:rPr>
          <w:lang w:val="en-US"/>
        </w:rPr>
        <w:t>2.1 [unboxed due to system implementation]</w:t>
      </w:r>
    </w:p>
    <w:p w14:paraId="17DF785E" w14:textId="3DB43A6F" w:rsidR="00374595" w:rsidRPr="00E27B82" w:rsidRDefault="00374595" w:rsidP="00374595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>Section 3:</w:t>
      </w:r>
    </w:p>
    <w:p w14:paraId="2FD2AEA2" w14:textId="77777777" w:rsidR="00374595" w:rsidRPr="00E27B82" w:rsidRDefault="00374595" w:rsidP="0037459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 xml:space="preserve">NPRR1164 – </w:t>
      </w:r>
      <w:r w:rsidRPr="00E27B82">
        <w:t>Black Start and Isochronous Control Capable Identification</w:t>
      </w:r>
    </w:p>
    <w:p w14:paraId="40824D06" w14:textId="5C2AD3BA" w:rsidR="00374595" w:rsidRPr="00E27B82" w:rsidRDefault="00374595" w:rsidP="00374595">
      <w:pPr>
        <w:pStyle w:val="PRRHeader"/>
        <w:widowControl w:val="0"/>
        <w:spacing w:after="100" w:afterAutospacing="1"/>
        <w:ind w:left="1152" w:firstLine="0"/>
        <w:rPr>
          <w:b w:val="0"/>
          <w:i/>
          <w:iCs/>
          <w:lang w:val="en-US"/>
        </w:rPr>
      </w:pPr>
      <w:r w:rsidRPr="00E27B82">
        <w:rPr>
          <w:b w:val="0"/>
          <w:i/>
          <w:iCs/>
          <w:lang w:val="en-US"/>
        </w:rPr>
        <w:t>See Section 2 above.</w:t>
      </w:r>
    </w:p>
    <w:p w14:paraId="61D1C6A7" w14:textId="49C77CDF" w:rsidR="00374595" w:rsidRPr="00E27B82" w:rsidRDefault="00374595" w:rsidP="0037459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</w:t>
      </w:r>
      <w:r w:rsidRPr="00E27B82">
        <w:rPr>
          <w:lang w:val="en-US"/>
        </w:rPr>
        <w:t>s</w:t>
      </w:r>
      <w:r w:rsidRPr="00E27B82">
        <w:t>:  3.10.7.1.3 and 3.14.2</w:t>
      </w:r>
      <w:r w:rsidRPr="00E27B82">
        <w:rPr>
          <w:lang w:val="en-US"/>
        </w:rPr>
        <w:t xml:space="preserve"> [unboxed due to system implementation]</w:t>
      </w:r>
    </w:p>
    <w:p w14:paraId="7E32D619" w14:textId="1D916561" w:rsidR="008822AD" w:rsidRPr="00E27B82" w:rsidRDefault="008822AD" w:rsidP="008822AD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>Section 16:</w:t>
      </w:r>
    </w:p>
    <w:p w14:paraId="7F4C71D1" w14:textId="0EE0559E" w:rsidR="008822AD" w:rsidRPr="00E27B82" w:rsidRDefault="008822AD" w:rsidP="008822AD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 xml:space="preserve">NPRR1184 – </w:t>
      </w:r>
      <w:r w:rsidRPr="00E27B82">
        <w:t>Update to Procedures for Managing Interest on Cash Collateral</w:t>
      </w:r>
    </w:p>
    <w:p w14:paraId="32B75F21" w14:textId="73D21665" w:rsidR="008822AD" w:rsidRPr="00E27B82" w:rsidRDefault="008822AD" w:rsidP="008822AD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E27B82">
        <w:rPr>
          <w:b w:val="0"/>
          <w:lang w:val="en-US"/>
        </w:rPr>
        <w:t xml:space="preserve">This Nodal Protocol Revision Request (NPRR) clarifies ERCOT’s management of interest received by ERCOT and owed to </w:t>
      </w:r>
      <w:proofErr w:type="gramStart"/>
      <w:r w:rsidRPr="00E27B82">
        <w:rPr>
          <w:b w:val="0"/>
          <w:lang w:val="en-US"/>
        </w:rPr>
        <w:t>Counter-Parties</w:t>
      </w:r>
      <w:proofErr w:type="gramEnd"/>
      <w:r w:rsidRPr="00E27B82">
        <w:rPr>
          <w:b w:val="0"/>
          <w:lang w:val="en-US"/>
        </w:rPr>
        <w:t xml:space="preserve"> for posted Cash Collateral, and requires ERCOT to credit Counter-Party Collateral accounts for interest on a monthly basis, as opposed to the current annual process. </w:t>
      </w:r>
      <w:r w:rsidR="005866C1" w:rsidRPr="00E27B82">
        <w:rPr>
          <w:b w:val="0"/>
          <w:lang w:val="en-US"/>
        </w:rPr>
        <w:t xml:space="preserve"> </w:t>
      </w:r>
      <w:r w:rsidRPr="00E27B82">
        <w:rPr>
          <w:b w:val="0"/>
          <w:lang w:val="en-US"/>
        </w:rPr>
        <w:t>Additionally, this NPRR requires ERCOT to report the interest calculation.</w:t>
      </w:r>
    </w:p>
    <w:p w14:paraId="6645A62B" w14:textId="654BD2CC" w:rsidR="004910BB" w:rsidRPr="00E27B82" w:rsidRDefault="008822AD" w:rsidP="00E27B82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</w:t>
      </w:r>
      <w:r w:rsidRPr="00E27B82">
        <w:rPr>
          <w:lang w:val="en-US"/>
        </w:rPr>
        <w:t>s</w:t>
      </w:r>
      <w:r w:rsidRPr="00E27B82">
        <w:t>:  16.11.3 and 16.11.4.7</w:t>
      </w:r>
      <w:r w:rsidRPr="00E27B82">
        <w:rPr>
          <w:lang w:val="en-US"/>
        </w:rPr>
        <w:t xml:space="preserve"> [effective upon system implementation]</w:t>
      </w:r>
    </w:p>
    <w:sectPr w:rsidR="004910BB" w:rsidRPr="00E27B82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57214879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8822AD">
      <w:rPr>
        <w:rFonts w:ascii="Times New Roman Bold" w:hAnsi="Times New Roman Bold"/>
        <w:b w:val="0"/>
      </w:rPr>
      <w:t>Dec</w:t>
    </w:r>
    <w:r w:rsidR="00E301A4">
      <w:rPr>
        <w:rFonts w:ascii="Times New Roman Bold" w:hAnsi="Times New Roman Bold"/>
        <w:b w:val="0"/>
      </w:rPr>
      <w:t>ember</w:t>
    </w:r>
    <w:r w:rsidR="001A5116">
      <w:rPr>
        <w:rFonts w:ascii="Times New Roman Bold" w:hAnsi="Times New Roman Bold"/>
        <w:b w:val="0"/>
      </w:rPr>
      <w:t xml:space="preserve"> 1</w:t>
    </w:r>
    <w:r>
      <w:rPr>
        <w:rFonts w:ascii="Times New Roman Bold" w:hAnsi="Times New Roman Bold"/>
        <w:b w:val="0"/>
      </w:rPr>
      <w:t>, 202</w:t>
    </w:r>
    <w:r w:rsidR="004910BB">
      <w:rPr>
        <w:rFonts w:ascii="Times New Roman Bold" w:hAnsi="Times New Roman Bold"/>
        <w:b w:val="0"/>
      </w:rPr>
      <w:t>3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</cp:lastModifiedBy>
  <cp:revision>2</cp:revision>
  <cp:lastPrinted>2019-12-18T16:51:00Z</cp:lastPrinted>
  <dcterms:created xsi:type="dcterms:W3CDTF">2023-11-30T19:00:00Z</dcterms:created>
  <dcterms:modified xsi:type="dcterms:W3CDTF">2023-11-30T19:00:00Z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