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6FE38326" w14:textId="77777777">
        <w:tc>
          <w:tcPr>
            <w:tcW w:w="1620" w:type="dxa"/>
            <w:tcBorders>
              <w:bottom w:val="single" w:sz="4" w:space="0" w:color="auto"/>
            </w:tcBorders>
            <w:shd w:val="clear" w:color="auto" w:fill="FFFFFF"/>
            <w:vAlign w:val="center"/>
          </w:tcPr>
          <w:p w14:paraId="5527AC97" w14:textId="77777777" w:rsidR="00152993" w:rsidRPr="00512FE1" w:rsidRDefault="00EE6681" w:rsidP="00896D61">
            <w:pPr>
              <w:pStyle w:val="Header"/>
              <w:spacing w:before="120" w:after="120"/>
              <w:rPr>
                <w:rFonts w:ascii="Verdana" w:hAnsi="Verdana"/>
                <w:sz w:val="22"/>
              </w:rPr>
            </w:pPr>
            <w:r w:rsidRPr="00512FE1">
              <w:t>N</w:t>
            </w:r>
            <w:r w:rsidR="00152993" w:rsidRPr="00512FE1">
              <w:t>PRR Number</w:t>
            </w:r>
          </w:p>
        </w:tc>
        <w:tc>
          <w:tcPr>
            <w:tcW w:w="1260" w:type="dxa"/>
            <w:tcBorders>
              <w:bottom w:val="single" w:sz="4" w:space="0" w:color="auto"/>
            </w:tcBorders>
            <w:vAlign w:val="center"/>
          </w:tcPr>
          <w:p w14:paraId="6E150621" w14:textId="00EDAD86" w:rsidR="00152993" w:rsidRPr="00512FE1" w:rsidRDefault="00020912" w:rsidP="00896D61">
            <w:pPr>
              <w:pStyle w:val="Header"/>
              <w:jc w:val="center"/>
            </w:pPr>
            <w:hyperlink r:id="rId8" w:history="1">
              <w:r w:rsidR="00D87DBE" w:rsidRPr="00450F89">
                <w:rPr>
                  <w:rStyle w:val="Hyperlink"/>
                </w:rPr>
                <w:t>1194</w:t>
              </w:r>
            </w:hyperlink>
          </w:p>
        </w:tc>
        <w:tc>
          <w:tcPr>
            <w:tcW w:w="900" w:type="dxa"/>
            <w:tcBorders>
              <w:bottom w:val="single" w:sz="4" w:space="0" w:color="auto"/>
            </w:tcBorders>
            <w:shd w:val="clear" w:color="auto" w:fill="FFFFFF"/>
            <w:vAlign w:val="center"/>
          </w:tcPr>
          <w:p w14:paraId="379918B3" w14:textId="77777777" w:rsidR="00152993" w:rsidRPr="00512FE1" w:rsidRDefault="00EE6681">
            <w:pPr>
              <w:pStyle w:val="Header"/>
            </w:pPr>
            <w:r w:rsidRPr="00512FE1">
              <w:t>N</w:t>
            </w:r>
            <w:r w:rsidR="00152993" w:rsidRPr="00512FE1">
              <w:t>PRR Title</w:t>
            </w:r>
          </w:p>
        </w:tc>
        <w:tc>
          <w:tcPr>
            <w:tcW w:w="6660" w:type="dxa"/>
            <w:tcBorders>
              <w:bottom w:val="single" w:sz="4" w:space="0" w:color="auto"/>
            </w:tcBorders>
            <w:vAlign w:val="center"/>
          </w:tcPr>
          <w:p w14:paraId="0755567C" w14:textId="6BE79728" w:rsidR="00152993" w:rsidRPr="00512FE1" w:rsidRDefault="00D87DBE">
            <w:pPr>
              <w:pStyle w:val="Header"/>
            </w:pPr>
            <w:r>
              <w:t>Wholesale Storage Load Auxiliary Netting</w:t>
            </w:r>
          </w:p>
        </w:tc>
      </w:tr>
      <w:tr w:rsidR="00152993" w14:paraId="5AC252F6" w14:textId="77777777">
        <w:trPr>
          <w:trHeight w:val="413"/>
        </w:trPr>
        <w:tc>
          <w:tcPr>
            <w:tcW w:w="2880" w:type="dxa"/>
            <w:gridSpan w:val="2"/>
            <w:tcBorders>
              <w:top w:val="nil"/>
              <w:left w:val="nil"/>
              <w:bottom w:val="single" w:sz="4" w:space="0" w:color="auto"/>
              <w:right w:val="nil"/>
            </w:tcBorders>
            <w:vAlign w:val="center"/>
          </w:tcPr>
          <w:p w14:paraId="062B3A2D"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43637D14" w14:textId="77777777" w:rsidR="00152993" w:rsidRDefault="00152993">
            <w:pPr>
              <w:pStyle w:val="NormalArial"/>
            </w:pPr>
          </w:p>
        </w:tc>
      </w:tr>
      <w:tr w:rsidR="00152993" w14:paraId="05F11BE7"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BF59A61"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8307479" w14:textId="35CB0057" w:rsidR="00152993" w:rsidRDefault="00147FDF">
            <w:pPr>
              <w:pStyle w:val="NormalArial"/>
            </w:pPr>
            <w:r>
              <w:t>Octo</w:t>
            </w:r>
            <w:r w:rsidR="00302017">
              <w:t xml:space="preserve">ber </w:t>
            </w:r>
            <w:r w:rsidR="00E928C9">
              <w:t>31</w:t>
            </w:r>
            <w:r w:rsidR="00512FE1">
              <w:t>, 2023</w:t>
            </w:r>
          </w:p>
        </w:tc>
      </w:tr>
      <w:tr w:rsidR="00152993" w14:paraId="6E5DF00A" w14:textId="77777777">
        <w:trPr>
          <w:trHeight w:val="467"/>
        </w:trPr>
        <w:tc>
          <w:tcPr>
            <w:tcW w:w="2880" w:type="dxa"/>
            <w:gridSpan w:val="2"/>
            <w:tcBorders>
              <w:top w:val="single" w:sz="4" w:space="0" w:color="auto"/>
              <w:left w:val="nil"/>
              <w:bottom w:val="nil"/>
              <w:right w:val="nil"/>
            </w:tcBorders>
            <w:shd w:val="clear" w:color="auto" w:fill="FFFFFF"/>
            <w:vAlign w:val="center"/>
          </w:tcPr>
          <w:p w14:paraId="0DC82D82" w14:textId="77777777" w:rsidR="00152993" w:rsidRDefault="00152993">
            <w:pPr>
              <w:pStyle w:val="NormalArial"/>
            </w:pPr>
          </w:p>
        </w:tc>
        <w:tc>
          <w:tcPr>
            <w:tcW w:w="7560" w:type="dxa"/>
            <w:gridSpan w:val="2"/>
            <w:tcBorders>
              <w:top w:val="nil"/>
              <w:left w:val="nil"/>
              <w:bottom w:val="nil"/>
              <w:right w:val="nil"/>
            </w:tcBorders>
            <w:vAlign w:val="center"/>
          </w:tcPr>
          <w:p w14:paraId="53869DBB" w14:textId="77777777" w:rsidR="00152993" w:rsidRDefault="00152993">
            <w:pPr>
              <w:pStyle w:val="NormalArial"/>
            </w:pPr>
          </w:p>
        </w:tc>
      </w:tr>
      <w:tr w:rsidR="00152993" w14:paraId="24D29DCE" w14:textId="77777777">
        <w:trPr>
          <w:trHeight w:val="440"/>
        </w:trPr>
        <w:tc>
          <w:tcPr>
            <w:tcW w:w="10440" w:type="dxa"/>
            <w:gridSpan w:val="4"/>
            <w:tcBorders>
              <w:top w:val="single" w:sz="4" w:space="0" w:color="auto"/>
            </w:tcBorders>
            <w:shd w:val="clear" w:color="auto" w:fill="FFFFFF"/>
            <w:vAlign w:val="center"/>
          </w:tcPr>
          <w:p w14:paraId="24CE990F" w14:textId="77777777" w:rsidR="00152993" w:rsidRDefault="00152993">
            <w:pPr>
              <w:pStyle w:val="Header"/>
              <w:jc w:val="center"/>
            </w:pPr>
            <w:r>
              <w:t>Submitter’s Information</w:t>
            </w:r>
          </w:p>
        </w:tc>
      </w:tr>
      <w:tr w:rsidR="00152993" w14:paraId="6FDD866F" w14:textId="77777777">
        <w:trPr>
          <w:trHeight w:val="350"/>
        </w:trPr>
        <w:tc>
          <w:tcPr>
            <w:tcW w:w="2880" w:type="dxa"/>
            <w:gridSpan w:val="2"/>
            <w:shd w:val="clear" w:color="auto" w:fill="FFFFFF"/>
            <w:vAlign w:val="center"/>
          </w:tcPr>
          <w:p w14:paraId="3EFCBB02" w14:textId="77777777" w:rsidR="00152993" w:rsidRPr="00EC55B3" w:rsidRDefault="00152993" w:rsidP="00EC55B3">
            <w:pPr>
              <w:pStyle w:val="Header"/>
            </w:pPr>
            <w:r w:rsidRPr="00EC55B3">
              <w:t>Name</w:t>
            </w:r>
          </w:p>
        </w:tc>
        <w:tc>
          <w:tcPr>
            <w:tcW w:w="7560" w:type="dxa"/>
            <w:gridSpan w:val="2"/>
            <w:vAlign w:val="center"/>
          </w:tcPr>
          <w:p w14:paraId="009F0709" w14:textId="76CFCB99" w:rsidR="00170F9F" w:rsidRDefault="007B3B80" w:rsidP="008B52BA">
            <w:pPr>
              <w:pStyle w:val="NormalArial"/>
            </w:pPr>
            <w:r>
              <w:t>Judd Messer</w:t>
            </w:r>
          </w:p>
        </w:tc>
      </w:tr>
      <w:tr w:rsidR="00152993" w14:paraId="325C9772" w14:textId="77777777">
        <w:trPr>
          <w:trHeight w:val="350"/>
        </w:trPr>
        <w:tc>
          <w:tcPr>
            <w:tcW w:w="2880" w:type="dxa"/>
            <w:gridSpan w:val="2"/>
            <w:shd w:val="clear" w:color="auto" w:fill="FFFFFF"/>
            <w:vAlign w:val="center"/>
          </w:tcPr>
          <w:p w14:paraId="207B49F0" w14:textId="77777777" w:rsidR="00152993" w:rsidRPr="00EC55B3" w:rsidRDefault="00152993" w:rsidP="00EC55B3">
            <w:pPr>
              <w:pStyle w:val="Header"/>
            </w:pPr>
            <w:r w:rsidRPr="00EC55B3">
              <w:t>E-mail Address</w:t>
            </w:r>
          </w:p>
        </w:tc>
        <w:tc>
          <w:tcPr>
            <w:tcW w:w="7560" w:type="dxa"/>
            <w:gridSpan w:val="2"/>
            <w:vAlign w:val="center"/>
          </w:tcPr>
          <w:p w14:paraId="34D033B6" w14:textId="56A43FF0" w:rsidR="00170F9F" w:rsidRDefault="00F84A99" w:rsidP="008B52BA">
            <w:pPr>
              <w:pStyle w:val="NormalArial"/>
            </w:pPr>
            <w:hyperlink r:id="rId9" w:history="1">
              <w:r w:rsidRPr="00A647B3">
                <w:rPr>
                  <w:rStyle w:val="Hyperlink"/>
                </w:rPr>
                <w:t>judd.messer@poweralliance.org</w:t>
              </w:r>
            </w:hyperlink>
            <w:r>
              <w:t xml:space="preserve"> </w:t>
            </w:r>
          </w:p>
        </w:tc>
      </w:tr>
      <w:tr w:rsidR="00152993" w14:paraId="21A60C6A" w14:textId="77777777">
        <w:trPr>
          <w:trHeight w:val="350"/>
        </w:trPr>
        <w:tc>
          <w:tcPr>
            <w:tcW w:w="2880" w:type="dxa"/>
            <w:gridSpan w:val="2"/>
            <w:shd w:val="clear" w:color="auto" w:fill="FFFFFF"/>
            <w:vAlign w:val="center"/>
          </w:tcPr>
          <w:p w14:paraId="252AD173" w14:textId="77777777" w:rsidR="00152993" w:rsidRPr="00EC55B3" w:rsidRDefault="00152993" w:rsidP="00EC55B3">
            <w:pPr>
              <w:pStyle w:val="Header"/>
            </w:pPr>
            <w:r w:rsidRPr="00EC55B3">
              <w:t>Company</w:t>
            </w:r>
          </w:p>
        </w:tc>
        <w:tc>
          <w:tcPr>
            <w:tcW w:w="7560" w:type="dxa"/>
            <w:gridSpan w:val="2"/>
            <w:vAlign w:val="center"/>
          </w:tcPr>
          <w:p w14:paraId="76B1E4DE" w14:textId="4B249838" w:rsidR="00152993" w:rsidRDefault="00147FDF">
            <w:pPr>
              <w:pStyle w:val="NormalArial"/>
            </w:pPr>
            <w:r>
              <w:t>Advanced Power Alliance</w:t>
            </w:r>
            <w:r w:rsidR="00020912">
              <w:t xml:space="preserve"> (APA)</w:t>
            </w:r>
          </w:p>
        </w:tc>
      </w:tr>
      <w:tr w:rsidR="00152993" w14:paraId="404E7017" w14:textId="77777777">
        <w:trPr>
          <w:trHeight w:val="350"/>
        </w:trPr>
        <w:tc>
          <w:tcPr>
            <w:tcW w:w="2880" w:type="dxa"/>
            <w:gridSpan w:val="2"/>
            <w:tcBorders>
              <w:bottom w:val="single" w:sz="4" w:space="0" w:color="auto"/>
            </w:tcBorders>
            <w:shd w:val="clear" w:color="auto" w:fill="FFFFFF"/>
            <w:vAlign w:val="center"/>
          </w:tcPr>
          <w:p w14:paraId="7A370A68"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2C97380F" w14:textId="7A9FF20A" w:rsidR="00DC38D0" w:rsidRDefault="007B3B80" w:rsidP="008B52BA">
            <w:pPr>
              <w:pStyle w:val="NormalArial"/>
            </w:pPr>
            <w:r>
              <w:t>254-230-0620</w:t>
            </w:r>
          </w:p>
        </w:tc>
      </w:tr>
      <w:tr w:rsidR="00152993" w14:paraId="03703ECE" w14:textId="77777777">
        <w:trPr>
          <w:trHeight w:val="350"/>
        </w:trPr>
        <w:tc>
          <w:tcPr>
            <w:tcW w:w="2880" w:type="dxa"/>
            <w:gridSpan w:val="2"/>
            <w:shd w:val="clear" w:color="auto" w:fill="FFFFFF"/>
            <w:vAlign w:val="center"/>
          </w:tcPr>
          <w:p w14:paraId="1C2EF7A0"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50DE83B9" w14:textId="2B0B7FC4" w:rsidR="00152993" w:rsidRDefault="00152993">
            <w:pPr>
              <w:pStyle w:val="NormalArial"/>
            </w:pPr>
          </w:p>
        </w:tc>
      </w:tr>
      <w:tr w:rsidR="00075A94" w14:paraId="51AE3600" w14:textId="77777777">
        <w:trPr>
          <w:trHeight w:val="350"/>
        </w:trPr>
        <w:tc>
          <w:tcPr>
            <w:tcW w:w="2880" w:type="dxa"/>
            <w:gridSpan w:val="2"/>
            <w:tcBorders>
              <w:bottom w:val="single" w:sz="4" w:space="0" w:color="auto"/>
            </w:tcBorders>
            <w:shd w:val="clear" w:color="auto" w:fill="FFFFFF"/>
            <w:vAlign w:val="center"/>
          </w:tcPr>
          <w:p w14:paraId="04261C36"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45150002" w14:textId="4B0AA7F9" w:rsidR="00075A94" w:rsidRDefault="00147FDF">
            <w:pPr>
              <w:pStyle w:val="NormalArial"/>
            </w:pPr>
            <w:r>
              <w:t>Independent Generators</w:t>
            </w:r>
          </w:p>
        </w:tc>
      </w:tr>
    </w:tbl>
    <w:p w14:paraId="61E21732"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69137016" w14:textId="77777777" w:rsidTr="00B5080A">
        <w:trPr>
          <w:trHeight w:val="422"/>
          <w:jc w:val="center"/>
        </w:trPr>
        <w:tc>
          <w:tcPr>
            <w:tcW w:w="10440" w:type="dxa"/>
            <w:vAlign w:val="center"/>
          </w:tcPr>
          <w:p w14:paraId="39A0CE34" w14:textId="77777777" w:rsidR="00075A94" w:rsidRPr="00075A94" w:rsidRDefault="00075A94" w:rsidP="00B5080A">
            <w:pPr>
              <w:pStyle w:val="Header"/>
              <w:jc w:val="center"/>
            </w:pPr>
            <w:r w:rsidRPr="00075A94">
              <w:t>Comments</w:t>
            </w:r>
          </w:p>
        </w:tc>
      </w:tr>
    </w:tbl>
    <w:p w14:paraId="7D8B8CD4" w14:textId="77777777" w:rsidR="002D34F5" w:rsidRDefault="002D34F5" w:rsidP="00335A5E">
      <w:pPr>
        <w:pStyle w:val="NormalArial"/>
        <w:spacing w:before="120" w:after="120"/>
      </w:pPr>
    </w:p>
    <w:p w14:paraId="7299F20F" w14:textId="77777777" w:rsidR="002D34F5" w:rsidRPr="002D34F5" w:rsidRDefault="002D34F5" w:rsidP="002D34F5">
      <w:pPr>
        <w:rPr>
          <w:rFonts w:ascii="Arial" w:hAnsi="Arial" w:cs="Arial"/>
          <w:sz w:val="24"/>
          <w:szCs w:val="24"/>
        </w:rPr>
      </w:pPr>
      <w:r w:rsidRPr="002D34F5">
        <w:rPr>
          <w:rFonts w:ascii="Arial" w:hAnsi="Arial" w:cs="Arial"/>
          <w:sz w:val="24"/>
          <w:szCs w:val="24"/>
        </w:rPr>
        <w:t>The Advanced Power Alliance (APA) files these comments on behalf of its members in opposition to Nodal Protocol Revision Request (NPRR) 1194 as submitted by South Texas Electric Cooperative, Inc. (STEC).</w:t>
      </w:r>
    </w:p>
    <w:p w14:paraId="16E81BDE" w14:textId="77777777" w:rsidR="002D34F5" w:rsidRPr="002D34F5" w:rsidRDefault="002D34F5" w:rsidP="002D34F5">
      <w:pPr>
        <w:rPr>
          <w:rFonts w:ascii="Arial" w:hAnsi="Arial" w:cs="Arial"/>
          <w:sz w:val="24"/>
          <w:szCs w:val="24"/>
        </w:rPr>
      </w:pPr>
    </w:p>
    <w:p w14:paraId="6181D535" w14:textId="53214535" w:rsidR="002D34F5" w:rsidRPr="002D34F5" w:rsidRDefault="002D34F5" w:rsidP="002D34F5">
      <w:pPr>
        <w:rPr>
          <w:rFonts w:ascii="Arial" w:hAnsi="Arial" w:cs="Arial"/>
          <w:sz w:val="24"/>
          <w:szCs w:val="24"/>
        </w:rPr>
      </w:pPr>
      <w:r w:rsidRPr="002D34F5">
        <w:rPr>
          <w:rFonts w:ascii="Arial" w:hAnsi="Arial" w:cs="Arial"/>
          <w:sz w:val="24"/>
          <w:szCs w:val="24"/>
        </w:rPr>
        <w:t>The E</w:t>
      </w:r>
      <w:r w:rsidR="0001542E">
        <w:rPr>
          <w:rFonts w:ascii="Arial" w:hAnsi="Arial" w:cs="Arial"/>
          <w:sz w:val="24"/>
          <w:szCs w:val="24"/>
        </w:rPr>
        <w:t>lectric Reliability Council of Texas (E</w:t>
      </w:r>
      <w:r w:rsidRPr="002D34F5">
        <w:rPr>
          <w:rFonts w:ascii="Arial" w:hAnsi="Arial" w:cs="Arial"/>
          <w:sz w:val="24"/>
          <w:szCs w:val="24"/>
        </w:rPr>
        <w:t>RCOT</w:t>
      </w:r>
      <w:r w:rsidR="0001542E">
        <w:rPr>
          <w:rFonts w:ascii="Arial" w:hAnsi="Arial" w:cs="Arial"/>
          <w:sz w:val="24"/>
          <w:szCs w:val="24"/>
        </w:rPr>
        <w:t>)</w:t>
      </w:r>
      <w:r w:rsidRPr="002D34F5">
        <w:rPr>
          <w:rFonts w:ascii="Arial" w:hAnsi="Arial" w:cs="Arial"/>
          <w:sz w:val="24"/>
          <w:szCs w:val="24"/>
        </w:rPr>
        <w:t xml:space="preserve"> Protocols currently allow all generation resources to self-provide auxiliary power needs including Energy Storage Resources (ESRs).  Like every other type of generation resource, ESRs are permitted to net retail auxiliary Load at auxiliary facilities when exporting power to the grid.  STEC’s NPRR1194 seeks to treat ESRs in a discriminatory manner by prohibiting netting of auxiliary Loads at storage facilities that avail themselves to Wholesale Storage Load (WSL) treatment.  APA agrees with </w:t>
      </w:r>
      <w:r w:rsidR="0001542E">
        <w:rPr>
          <w:rFonts w:ascii="Arial" w:hAnsi="Arial" w:cs="Arial"/>
          <w:sz w:val="24"/>
          <w:szCs w:val="24"/>
        </w:rPr>
        <w:t xml:space="preserve">comments filed by </w:t>
      </w:r>
      <w:r w:rsidRPr="002D34F5">
        <w:rPr>
          <w:rFonts w:ascii="Arial" w:hAnsi="Arial" w:cs="Arial"/>
          <w:sz w:val="24"/>
          <w:szCs w:val="24"/>
        </w:rPr>
        <w:t>ERCOT</w:t>
      </w:r>
      <w:r w:rsidR="0001542E">
        <w:rPr>
          <w:rFonts w:ascii="Arial" w:hAnsi="Arial" w:cs="Arial"/>
          <w:sz w:val="24"/>
          <w:szCs w:val="24"/>
        </w:rPr>
        <w:t xml:space="preserve"> in NPRR1194</w:t>
      </w:r>
      <w:r w:rsidRPr="002D34F5">
        <w:rPr>
          <w:rFonts w:ascii="Arial" w:hAnsi="Arial" w:cs="Arial"/>
          <w:sz w:val="24"/>
          <w:szCs w:val="24"/>
        </w:rPr>
        <w:t>, STEC’s proposal conflicts with state law and therefore should be rejected by stakeholders as described more fully in these comments.</w:t>
      </w:r>
      <w:r w:rsidRPr="002D34F5">
        <w:rPr>
          <w:rFonts w:ascii="Arial" w:hAnsi="Arial" w:cs="Arial"/>
          <w:sz w:val="24"/>
          <w:szCs w:val="24"/>
          <w:vertAlign w:val="superscript"/>
        </w:rPr>
        <w:footnoteReference w:id="1"/>
      </w:r>
    </w:p>
    <w:p w14:paraId="4CDD4FFC" w14:textId="77777777" w:rsidR="002D34F5" w:rsidRPr="002D34F5" w:rsidRDefault="002D34F5" w:rsidP="002D34F5">
      <w:pPr>
        <w:rPr>
          <w:rFonts w:ascii="Arial" w:hAnsi="Arial" w:cs="Arial"/>
          <w:sz w:val="24"/>
          <w:szCs w:val="24"/>
        </w:rPr>
      </w:pPr>
    </w:p>
    <w:p w14:paraId="61524871" w14:textId="77777777" w:rsidR="002D34F5" w:rsidRPr="002D34F5" w:rsidRDefault="002D34F5" w:rsidP="002D34F5">
      <w:pPr>
        <w:rPr>
          <w:rFonts w:ascii="Arial" w:eastAsia="Times New Roman" w:hAnsi="Arial" w:cs="Arial"/>
          <w:sz w:val="24"/>
          <w:szCs w:val="24"/>
          <w14:ligatures w14:val="none"/>
        </w:rPr>
      </w:pPr>
      <w:r w:rsidRPr="002D34F5">
        <w:rPr>
          <w:rFonts w:ascii="Arial" w:eastAsia="Times New Roman" w:hAnsi="Arial" w:cs="Arial"/>
          <w:sz w:val="24"/>
          <w:szCs w:val="24"/>
          <w14:ligatures w14:val="none"/>
        </w:rPr>
        <w:t>The Public Utility Regulatory Act (PURA) § 35.151 (a) “</w:t>
      </w:r>
      <w:r w:rsidRPr="002D34F5">
        <w:rPr>
          <w:rFonts w:ascii="Arial" w:eastAsia="Times New Roman" w:hAnsi="Arial" w:cs="Arial"/>
          <w:color w:val="000000"/>
          <w:sz w:val="24"/>
          <w:szCs w:val="24"/>
          <w:shd w:val="clear" w:color="auto" w:fill="FFFFFF"/>
          <w14:ligatures w14:val="none"/>
        </w:rPr>
        <w:t>ensures access to the transmission and distribution systems for all buyers and sellers of electricity on nondiscriminatory terms”.  STEC’s NPRR1194 violates this broad mandate of PURA</w:t>
      </w:r>
      <w:r w:rsidRPr="002D34F5">
        <w:rPr>
          <w:rFonts w:ascii="Arial" w:eastAsia="Times New Roman" w:hAnsi="Arial" w:cs="Arial"/>
          <w:sz w:val="24"/>
          <w:szCs w:val="24"/>
          <w14:ligatures w14:val="none"/>
        </w:rPr>
        <w:t xml:space="preserve"> because STEC’s proposal purports to treat ESRs, when acting as a generation resource exporting power to the grid, differently than any other type of generation resource which is discriminatory and therefore, impermissible under PURA.</w:t>
      </w:r>
    </w:p>
    <w:p w14:paraId="2CB20559" w14:textId="77777777" w:rsidR="002D34F5" w:rsidRPr="002D34F5" w:rsidRDefault="002D34F5" w:rsidP="002D34F5">
      <w:pPr>
        <w:rPr>
          <w:rFonts w:ascii="Arial" w:eastAsia="Times New Roman" w:hAnsi="Arial" w:cs="Arial"/>
          <w:sz w:val="24"/>
          <w:szCs w:val="24"/>
          <w14:ligatures w14:val="none"/>
        </w:rPr>
      </w:pPr>
    </w:p>
    <w:p w14:paraId="4483E932" w14:textId="77777777" w:rsidR="002D34F5" w:rsidRPr="002D34F5" w:rsidRDefault="002D34F5" w:rsidP="002D34F5">
      <w:pPr>
        <w:rPr>
          <w:rFonts w:ascii="Arial" w:eastAsia="Times New Roman" w:hAnsi="Arial" w:cs="Arial"/>
          <w:sz w:val="24"/>
          <w:szCs w:val="24"/>
          <w14:ligatures w14:val="none"/>
        </w:rPr>
      </w:pPr>
      <w:r w:rsidRPr="002D34F5">
        <w:rPr>
          <w:rFonts w:ascii="Arial" w:eastAsia="Times New Roman" w:hAnsi="Arial" w:cs="Arial"/>
          <w:sz w:val="24"/>
          <w:szCs w:val="24"/>
          <w14:ligatures w14:val="none"/>
        </w:rPr>
        <w:lastRenderedPageBreak/>
        <w:t>In opposition to STEC’s position, ERCOT Staff stated in their comments that “treating auxiliary load for ESRs which are exporting to the grid as retail Load would result in an inappropriate treatment of ESRs from Generation resources.”</w:t>
      </w:r>
      <w:r w:rsidRPr="002D34F5">
        <w:rPr>
          <w:rFonts w:ascii="Arial" w:eastAsia="Times New Roman" w:hAnsi="Arial" w:cs="Arial"/>
          <w:sz w:val="24"/>
          <w:szCs w:val="24"/>
          <w:vertAlign w:val="superscript"/>
          <w14:ligatures w14:val="none"/>
        </w:rPr>
        <w:footnoteReference w:id="2"/>
      </w:r>
      <w:r w:rsidRPr="002D34F5">
        <w:rPr>
          <w:rFonts w:ascii="Arial" w:eastAsia="Times New Roman" w:hAnsi="Arial" w:cs="Arial"/>
          <w:sz w:val="24"/>
          <w:szCs w:val="24"/>
          <w14:ligatures w14:val="none"/>
        </w:rPr>
        <w:t xml:space="preserve">  APA agrees with ERCOT’s interpretation. PURA § 35.152(a) </w:t>
      </w:r>
      <w:r w:rsidRPr="002D34F5">
        <w:rPr>
          <w:rFonts w:ascii="Arial" w:eastAsia="Times New Roman" w:hAnsi="Arial" w:cs="Arial"/>
          <w:color w:val="000000"/>
          <w:sz w:val="24"/>
          <w:szCs w:val="24"/>
          <w:shd w:val="clear" w:color="auto" w:fill="FFFFFF"/>
          <w14:ligatures w14:val="none"/>
        </w:rPr>
        <w:t xml:space="preserve">provides that </w:t>
      </w:r>
      <w:r w:rsidRPr="002D34F5">
        <w:rPr>
          <w:rFonts w:ascii="Arial" w:eastAsia="Times New Roman" w:hAnsi="Arial" w:cs="Arial"/>
          <w:sz w:val="24"/>
          <w:szCs w:val="24"/>
          <w14:ligatures w14:val="none"/>
        </w:rPr>
        <w:t>“[e]</w:t>
      </w:r>
      <w:proofErr w:type="spellStart"/>
      <w:r w:rsidRPr="002D34F5">
        <w:rPr>
          <w:rFonts w:ascii="Arial" w:eastAsia="Times New Roman" w:hAnsi="Arial" w:cs="Arial"/>
          <w:sz w:val="24"/>
          <w:szCs w:val="24"/>
          <w14:ligatures w14:val="none"/>
        </w:rPr>
        <w:t>lectric</w:t>
      </w:r>
      <w:proofErr w:type="spellEnd"/>
      <w:r w:rsidRPr="002D34F5">
        <w:rPr>
          <w:rFonts w:ascii="Arial" w:eastAsia="Times New Roman" w:hAnsi="Arial" w:cs="Arial"/>
          <w:sz w:val="24"/>
          <w:szCs w:val="24"/>
          <w14:ligatures w14:val="none"/>
        </w:rPr>
        <w:t xml:space="preserve"> energy storage equipment or facilities that are intended to be used to sell energy or ancillary services at wholesale are generation assets.”  Further, PURA § 35.152(b)(3) provides that the owner or operator of ESR equipment or facilities is entitled to “use the equipment or facilities to sell electricity or ancillary services at wholesale in a manner consistent with the provisions of this title and commission rules applicable to a power generation company or an exempt wholesale generator.” In accordance with the provisions in PURA, ESRs should be allowed to continue to net auxiliary Loads at storage facilities when they are injecting power into the grid like all other generation resources.</w:t>
      </w:r>
    </w:p>
    <w:p w14:paraId="1395F00B" w14:textId="77777777" w:rsidR="002D34F5" w:rsidRPr="002D34F5" w:rsidRDefault="002D34F5" w:rsidP="002D34F5">
      <w:pPr>
        <w:rPr>
          <w:rFonts w:ascii="Arial" w:hAnsi="Arial" w:cs="Arial"/>
          <w:sz w:val="24"/>
          <w:szCs w:val="24"/>
        </w:rPr>
      </w:pPr>
    </w:p>
    <w:p w14:paraId="7A269768" w14:textId="77777777" w:rsidR="002D34F5" w:rsidRPr="002D34F5" w:rsidRDefault="002D34F5" w:rsidP="002D34F5">
      <w:pPr>
        <w:rPr>
          <w:rFonts w:ascii="Arial" w:eastAsia="Times New Roman" w:hAnsi="Arial" w:cs="Arial"/>
          <w:sz w:val="24"/>
          <w:szCs w:val="24"/>
          <w14:ligatures w14:val="none"/>
        </w:rPr>
      </w:pPr>
      <w:r w:rsidRPr="002D34F5">
        <w:rPr>
          <w:rFonts w:ascii="Arial" w:hAnsi="Arial" w:cs="Arial"/>
          <w:sz w:val="24"/>
          <w:szCs w:val="24"/>
        </w:rPr>
        <w:t>ERCOT currently has forty-eight ESR sites that permit ESRs to net retail auxiliary Load at auxiliary facilities when injecting power into the grid while these same ESRs are treated as retail Load when energy is withdrawn from the grid</w:t>
      </w:r>
      <w:r w:rsidRPr="002D34F5">
        <w:rPr>
          <w:rFonts w:ascii="Arial" w:hAnsi="Arial" w:cs="Arial"/>
          <w:sz w:val="24"/>
          <w:szCs w:val="24"/>
          <w14:ligatures w14:val="none"/>
        </w:rPr>
        <w:t xml:space="preserve">.  This is consistent with PURA </w:t>
      </w:r>
      <w:r w:rsidRPr="002D34F5">
        <w:rPr>
          <w:rFonts w:ascii="Arial" w:eastAsia="Times New Roman" w:hAnsi="Arial" w:cs="Arial"/>
          <w:sz w:val="24"/>
          <w:szCs w:val="24"/>
          <w14:ligatures w14:val="none"/>
        </w:rPr>
        <w:t>§ 35.152 and with the Public Utility Commission of Texas (PUCT) determination in its Order adopting 16 TAC § 25.501(m) that “a storage facility is entitled to be treated like other generation facilities in the sale of energy and ancillary services at wholesale.</w:t>
      </w:r>
      <w:r w:rsidRPr="002D34F5">
        <w:rPr>
          <w:rFonts w:ascii="Arial" w:hAnsi="Arial" w:cs="Arial"/>
          <w:sz w:val="24"/>
          <w:szCs w:val="24"/>
          <w14:ligatures w14:val="none"/>
        </w:rPr>
        <w:t>”</w:t>
      </w:r>
      <w:r w:rsidRPr="002D34F5">
        <w:rPr>
          <w:rFonts w:ascii="Arial" w:hAnsi="Arial" w:cs="Arial"/>
          <w:sz w:val="24"/>
          <w:szCs w:val="24"/>
          <w:vertAlign w:val="superscript"/>
          <w14:ligatures w14:val="none"/>
        </w:rPr>
        <w:footnoteReference w:id="3"/>
      </w:r>
      <w:r w:rsidRPr="002D34F5">
        <w:rPr>
          <w:rFonts w:ascii="Arial" w:hAnsi="Arial" w:cs="Arial"/>
          <w:sz w:val="24"/>
          <w:szCs w:val="24"/>
          <w14:ligatures w14:val="none"/>
        </w:rPr>
        <w:t xml:space="preserve"> It is also consistent with the PUCT’s Order in Project No. 39917 which makes clear that energy withdrawn from the grid for wholesale storage</w:t>
      </w:r>
      <w:r w:rsidRPr="002D34F5">
        <w:rPr>
          <w:rFonts w:ascii="Arial" w:eastAsia="Times New Roman" w:hAnsi="Arial" w:cs="Arial"/>
          <w:sz w:val="24"/>
          <w:szCs w:val="24"/>
          <w14:ligatures w14:val="none"/>
        </w:rPr>
        <w:t xml:space="preserve"> shall receive Wholesale Storage Load (WSL) treatment, and energy withdrawn from the grid to power auxiliary Load should receive retail treatment.</w:t>
      </w:r>
      <w:r w:rsidRPr="002D34F5">
        <w:rPr>
          <w:rFonts w:ascii="Arial" w:eastAsia="Times New Roman" w:hAnsi="Arial" w:cs="Arial"/>
          <w:sz w:val="24"/>
          <w:szCs w:val="24"/>
          <w:vertAlign w:val="superscript"/>
          <w14:ligatures w14:val="none"/>
        </w:rPr>
        <w:footnoteReference w:id="4"/>
      </w:r>
      <w:r w:rsidRPr="002D34F5">
        <w:rPr>
          <w:rFonts w:ascii="Arial" w:eastAsia="Times New Roman" w:hAnsi="Arial" w:cs="Arial"/>
          <w:sz w:val="24"/>
          <w:szCs w:val="24"/>
          <w14:ligatures w14:val="none"/>
        </w:rPr>
        <w:t xml:space="preserve">  The Project No. 39917 Order does not state that stored energy injected back into the grid should receive retail treatment when it is used to power an ESR’s auxiliary Load.</w:t>
      </w:r>
      <w:r w:rsidRPr="002D34F5">
        <w:rPr>
          <w:rFonts w:ascii="Arial" w:eastAsia="Times New Roman" w:hAnsi="Arial" w:cs="Arial"/>
          <w:sz w:val="24"/>
          <w:szCs w:val="24"/>
          <w:vertAlign w:val="superscript"/>
          <w14:ligatures w14:val="none"/>
        </w:rPr>
        <w:footnoteReference w:id="5"/>
      </w:r>
    </w:p>
    <w:p w14:paraId="358B6093" w14:textId="77777777" w:rsidR="002D34F5" w:rsidRPr="002D34F5" w:rsidRDefault="002D34F5" w:rsidP="002D34F5">
      <w:pPr>
        <w:rPr>
          <w:rFonts w:ascii="Arial" w:eastAsia="Times New Roman" w:hAnsi="Arial" w:cs="Arial"/>
          <w:sz w:val="24"/>
          <w:szCs w:val="24"/>
          <w14:ligatures w14:val="none"/>
        </w:rPr>
      </w:pPr>
    </w:p>
    <w:p w14:paraId="3F04C18B" w14:textId="77777777" w:rsidR="002D34F5" w:rsidRPr="002D34F5" w:rsidRDefault="002D34F5" w:rsidP="002D34F5">
      <w:pPr>
        <w:rPr>
          <w:rFonts w:ascii="Arial" w:hAnsi="Arial" w:cs="Arial"/>
          <w:sz w:val="24"/>
          <w:szCs w:val="24"/>
        </w:rPr>
      </w:pPr>
      <w:r w:rsidRPr="002D34F5">
        <w:rPr>
          <w:rFonts w:ascii="Arial" w:hAnsi="Arial" w:cs="Arial"/>
          <w:sz w:val="24"/>
          <w:szCs w:val="24"/>
        </w:rPr>
        <w:t>During the September 13, 2023 ERCOT Protocol Revision Subcommittee (PRS) meeting, ERCOT staff described their view of ESRs as follows:</w:t>
      </w:r>
    </w:p>
    <w:p w14:paraId="3481B8AE" w14:textId="77777777" w:rsidR="002D34F5" w:rsidRPr="002D34F5" w:rsidRDefault="002D34F5" w:rsidP="002D34F5">
      <w:pPr>
        <w:ind w:left="720"/>
        <w:jc w:val="both"/>
        <w:rPr>
          <w:rFonts w:ascii="Arial" w:hAnsi="Arial" w:cs="Arial"/>
          <w:sz w:val="24"/>
          <w:szCs w:val="24"/>
        </w:rPr>
      </w:pPr>
      <w:r w:rsidRPr="002D34F5">
        <w:rPr>
          <w:rFonts w:ascii="Arial" w:hAnsi="Arial" w:cs="Arial"/>
          <w:sz w:val="24"/>
          <w:szCs w:val="24"/>
        </w:rPr>
        <w:t>“We view ESRs when they are exporting to be operating very similar to any other resource in its self-use type of situation. Just like a natural gas plant while it is generating and exporting electricity is free to run its auxiliary load from its own electricity from the power plant, batteries should be treated the same way.  In our view, based on language in PURA and PUCT Orders and other places we have cited, we believe there is good authority for that so we just disagree with STEC’s interpretation.”</w:t>
      </w:r>
      <w:r w:rsidRPr="002D34F5">
        <w:rPr>
          <w:rFonts w:ascii="Arial" w:hAnsi="Arial" w:cs="Arial"/>
          <w:sz w:val="24"/>
          <w:szCs w:val="24"/>
          <w:vertAlign w:val="superscript"/>
        </w:rPr>
        <w:footnoteReference w:id="6"/>
      </w:r>
    </w:p>
    <w:p w14:paraId="6F96B41D" w14:textId="77777777" w:rsidR="002D34F5" w:rsidRPr="002D34F5" w:rsidRDefault="002D34F5" w:rsidP="002D34F5">
      <w:pPr>
        <w:rPr>
          <w:rFonts w:ascii="Arial" w:eastAsia="Times New Roman" w:hAnsi="Arial" w:cs="Arial"/>
          <w:sz w:val="24"/>
          <w:szCs w:val="24"/>
          <w14:ligatures w14:val="none"/>
        </w:rPr>
      </w:pPr>
    </w:p>
    <w:p w14:paraId="0388B2A0" w14:textId="77777777" w:rsidR="002D34F5" w:rsidRPr="002D34F5" w:rsidRDefault="002D34F5" w:rsidP="002D34F5">
      <w:pPr>
        <w:rPr>
          <w:rFonts w:ascii="Arial" w:hAnsi="Arial" w:cs="Arial"/>
          <w:sz w:val="24"/>
          <w:szCs w:val="24"/>
        </w:rPr>
      </w:pPr>
      <w:r w:rsidRPr="002D34F5">
        <w:rPr>
          <w:rFonts w:ascii="Arial" w:hAnsi="Arial" w:cs="Arial"/>
          <w:sz w:val="24"/>
          <w:szCs w:val="24"/>
        </w:rPr>
        <w:t>Furthermore, during the same PRS meeting, ERCOT staff stated that:</w:t>
      </w:r>
    </w:p>
    <w:p w14:paraId="2E3961CB" w14:textId="340CC858" w:rsidR="002D34F5" w:rsidRPr="002D34F5" w:rsidRDefault="002D34F5" w:rsidP="002D34F5">
      <w:pPr>
        <w:ind w:left="720"/>
        <w:rPr>
          <w:rFonts w:ascii="Arial" w:hAnsi="Arial" w:cs="Arial"/>
          <w:sz w:val="24"/>
          <w:szCs w:val="24"/>
        </w:rPr>
      </w:pPr>
      <w:r w:rsidRPr="002D34F5">
        <w:rPr>
          <w:rFonts w:ascii="Arial" w:hAnsi="Arial" w:cs="Arial"/>
          <w:sz w:val="24"/>
          <w:szCs w:val="24"/>
        </w:rPr>
        <w:t xml:space="preserve">“PURA provides that ESRs are entitled to sell electricity and use their equipment and facilities to sell electricity consistent with the way a power generation company can. When they are exporting is the only time we would say that the </w:t>
      </w:r>
      <w:r w:rsidRPr="002D34F5">
        <w:rPr>
          <w:rFonts w:ascii="Arial" w:hAnsi="Arial" w:cs="Arial"/>
          <w:sz w:val="24"/>
          <w:szCs w:val="24"/>
        </w:rPr>
        <w:lastRenderedPageBreak/>
        <w:t>auxiliary Load can use electricity from the battery and that not be treated as retail situation. When the battery is charging, and if its auxiliary load is using electricity off the grid [then]</w:t>
      </w:r>
      <w:r w:rsidR="001E2395">
        <w:rPr>
          <w:rFonts w:ascii="Arial" w:hAnsi="Arial" w:cs="Arial"/>
          <w:sz w:val="24"/>
          <w:szCs w:val="24"/>
        </w:rPr>
        <w:t>,</w:t>
      </w:r>
      <w:r w:rsidRPr="002D34F5">
        <w:rPr>
          <w:rFonts w:ascii="Arial" w:hAnsi="Arial" w:cs="Arial"/>
          <w:sz w:val="24"/>
          <w:szCs w:val="24"/>
        </w:rPr>
        <w:t xml:space="preserve"> that is a retail situation and we do treat it like that now. It’s only when its acting as a generator, its exporting to the grid, at that time, it can use the power from its battery to run its auxiliary load, and we view that it is similar to any other resource. While its running, it can use its auxiliary load.”</w:t>
      </w:r>
      <w:r w:rsidR="00F950F3">
        <w:rPr>
          <w:rStyle w:val="FootnoteReference"/>
          <w:rFonts w:ascii="Arial" w:hAnsi="Arial" w:cs="Arial"/>
          <w:sz w:val="24"/>
          <w:szCs w:val="24"/>
        </w:rPr>
        <w:footnoteReference w:id="7"/>
      </w:r>
    </w:p>
    <w:p w14:paraId="6A696F07" w14:textId="77777777" w:rsidR="002D34F5" w:rsidRPr="002D34F5" w:rsidRDefault="002D34F5" w:rsidP="002D34F5">
      <w:pPr>
        <w:rPr>
          <w:rFonts w:ascii="Arial" w:eastAsia="Times New Roman" w:hAnsi="Arial" w:cs="Arial"/>
          <w:sz w:val="24"/>
          <w:szCs w:val="24"/>
          <w14:ligatures w14:val="none"/>
        </w:rPr>
      </w:pPr>
    </w:p>
    <w:p w14:paraId="69D547EA" w14:textId="7A860055" w:rsidR="002D34F5" w:rsidRPr="002D34F5" w:rsidRDefault="0001542E" w:rsidP="002D34F5">
      <w:pPr>
        <w:rPr>
          <w:rFonts w:ascii="Arial" w:eastAsia="Times New Roman" w:hAnsi="Arial" w:cs="Arial"/>
          <w:sz w:val="24"/>
          <w:szCs w:val="24"/>
          <w14:ligatures w14:val="none"/>
        </w:rPr>
      </w:pPr>
      <w:r>
        <w:rPr>
          <w:rFonts w:ascii="Arial" w:eastAsia="Times New Roman" w:hAnsi="Arial" w:cs="Arial"/>
          <w:sz w:val="24"/>
          <w:szCs w:val="24"/>
          <w14:ligatures w14:val="none"/>
        </w:rPr>
        <w:t xml:space="preserve">APA agrees with ERCOT’s assessment, </w:t>
      </w:r>
      <w:r>
        <w:rPr>
          <w:rFonts w:ascii="Arial" w:hAnsi="Arial" w:cs="Arial"/>
          <w:sz w:val="24"/>
          <w:szCs w:val="24"/>
        </w:rPr>
        <w:t>w</w:t>
      </w:r>
      <w:r w:rsidRPr="002D34F5">
        <w:rPr>
          <w:rFonts w:ascii="Arial" w:hAnsi="Arial" w:cs="Arial"/>
          <w:sz w:val="24"/>
          <w:szCs w:val="24"/>
        </w:rPr>
        <w:t xml:space="preserve">hen </w:t>
      </w:r>
      <w:r w:rsidR="001E2395">
        <w:rPr>
          <w:rFonts w:ascii="Arial" w:hAnsi="Arial" w:cs="Arial"/>
          <w:sz w:val="24"/>
          <w:szCs w:val="24"/>
        </w:rPr>
        <w:t xml:space="preserve">an </w:t>
      </w:r>
      <w:r>
        <w:rPr>
          <w:rFonts w:ascii="Arial" w:hAnsi="Arial" w:cs="Arial"/>
          <w:sz w:val="24"/>
          <w:szCs w:val="24"/>
        </w:rPr>
        <w:t>E</w:t>
      </w:r>
      <w:r w:rsidR="001E2395">
        <w:rPr>
          <w:rFonts w:ascii="Arial" w:hAnsi="Arial" w:cs="Arial"/>
          <w:sz w:val="24"/>
          <w:szCs w:val="24"/>
        </w:rPr>
        <w:t>SR</w:t>
      </w:r>
      <w:r>
        <w:rPr>
          <w:rFonts w:ascii="Arial" w:hAnsi="Arial" w:cs="Arial"/>
          <w:sz w:val="24"/>
          <w:szCs w:val="24"/>
        </w:rPr>
        <w:t xml:space="preserve"> </w:t>
      </w:r>
      <w:r w:rsidR="001E2395">
        <w:rPr>
          <w:rFonts w:ascii="Arial" w:hAnsi="Arial" w:cs="Arial"/>
          <w:sz w:val="24"/>
          <w:szCs w:val="24"/>
        </w:rPr>
        <w:t xml:space="preserve">is acting like a generator exporting power to the grid, it can use the </w:t>
      </w:r>
      <w:r>
        <w:rPr>
          <w:rFonts w:ascii="Arial" w:hAnsi="Arial" w:cs="Arial"/>
          <w:sz w:val="24"/>
          <w:szCs w:val="24"/>
        </w:rPr>
        <w:t xml:space="preserve">power </w:t>
      </w:r>
      <w:r w:rsidR="001E2395">
        <w:rPr>
          <w:rFonts w:ascii="Arial" w:hAnsi="Arial" w:cs="Arial"/>
          <w:sz w:val="24"/>
          <w:szCs w:val="24"/>
        </w:rPr>
        <w:t>from its battery to run its auxiliary load,</w:t>
      </w:r>
      <w:r w:rsidRPr="002D34F5">
        <w:rPr>
          <w:rFonts w:ascii="Arial" w:hAnsi="Arial" w:cs="Arial"/>
          <w:sz w:val="24"/>
          <w:szCs w:val="24"/>
        </w:rPr>
        <w:t xml:space="preserve"> and </w:t>
      </w:r>
      <w:r>
        <w:rPr>
          <w:rFonts w:ascii="Arial" w:hAnsi="Arial" w:cs="Arial"/>
          <w:sz w:val="24"/>
          <w:szCs w:val="24"/>
        </w:rPr>
        <w:t>it will</w:t>
      </w:r>
      <w:r w:rsidRPr="002D34F5">
        <w:rPr>
          <w:rFonts w:ascii="Arial" w:hAnsi="Arial" w:cs="Arial"/>
          <w:sz w:val="24"/>
          <w:szCs w:val="24"/>
        </w:rPr>
        <w:t xml:space="preserve"> not be treated as retail situation. </w:t>
      </w:r>
      <w:r>
        <w:rPr>
          <w:rFonts w:ascii="Arial" w:hAnsi="Arial" w:cs="Arial"/>
          <w:sz w:val="24"/>
          <w:szCs w:val="24"/>
        </w:rPr>
        <w:t xml:space="preserve">Further, </w:t>
      </w:r>
      <w:r>
        <w:rPr>
          <w:rFonts w:ascii="Arial" w:eastAsia="Times New Roman" w:hAnsi="Arial" w:cs="Arial"/>
          <w:sz w:val="24"/>
          <w:szCs w:val="24"/>
          <w14:ligatures w14:val="none"/>
        </w:rPr>
        <w:t>c</w:t>
      </w:r>
      <w:r w:rsidR="002D34F5" w:rsidRPr="002D34F5">
        <w:rPr>
          <w:rFonts w:ascii="Arial" w:eastAsia="Times New Roman" w:hAnsi="Arial" w:cs="Arial"/>
          <w:sz w:val="24"/>
          <w:szCs w:val="24"/>
          <w14:ligatures w14:val="none"/>
        </w:rPr>
        <w:t>onsistent with PURA and PUCT Orders, ESRs are entitled to the same Settlement treatment as Generation Resources when exporting power to the grid. APA urges stakeholders to reject STEC’s NPRR1194 and follow ERCOT’s interpretation of the law so that ESRs</w:t>
      </w:r>
      <w:r>
        <w:rPr>
          <w:rFonts w:ascii="Arial" w:eastAsia="Times New Roman" w:hAnsi="Arial" w:cs="Arial"/>
          <w:sz w:val="24"/>
          <w:szCs w:val="24"/>
          <w14:ligatures w14:val="none"/>
        </w:rPr>
        <w:t xml:space="preserve"> continue to be</w:t>
      </w:r>
      <w:r w:rsidR="002D34F5" w:rsidRPr="002D34F5">
        <w:rPr>
          <w:rFonts w:ascii="Arial" w:eastAsia="Times New Roman" w:hAnsi="Arial" w:cs="Arial"/>
          <w:sz w:val="24"/>
          <w:szCs w:val="24"/>
          <w14:ligatures w14:val="none"/>
        </w:rPr>
        <w:t xml:space="preserve"> treated in a non-discriminatory manner</w:t>
      </w:r>
      <w:r>
        <w:rPr>
          <w:rFonts w:ascii="Arial" w:eastAsia="Times New Roman" w:hAnsi="Arial" w:cs="Arial"/>
          <w:sz w:val="24"/>
          <w:szCs w:val="24"/>
          <w14:ligatures w14:val="none"/>
        </w:rPr>
        <w:t>.</w:t>
      </w:r>
    </w:p>
    <w:p w14:paraId="7F14E08B" w14:textId="77777777" w:rsidR="00987F4C" w:rsidRDefault="00987F4C" w:rsidP="00454ECE">
      <w:pPr>
        <w:pStyle w:val="NormalArial"/>
        <w:spacing w:before="120"/>
        <w:rPr>
          <w:rFonts w:cs="Arial"/>
        </w:rPr>
      </w:pPr>
    </w:p>
    <w:p w14:paraId="49C50A32" w14:textId="77777777" w:rsidR="00987F4C" w:rsidRPr="00454ECE" w:rsidRDefault="00987F4C" w:rsidP="00454ECE">
      <w:pPr>
        <w:pStyle w:val="NormalArial"/>
        <w:spacing w:before="120"/>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37AE0" w:rsidRPr="00454ECE" w14:paraId="31506963" w14:textId="77777777" w:rsidTr="00E176CF">
        <w:trPr>
          <w:trHeight w:val="350"/>
        </w:trPr>
        <w:tc>
          <w:tcPr>
            <w:tcW w:w="10440" w:type="dxa"/>
            <w:tcBorders>
              <w:bottom w:val="single" w:sz="4" w:space="0" w:color="auto"/>
            </w:tcBorders>
            <w:shd w:val="clear" w:color="auto" w:fill="FFFFFF"/>
            <w:vAlign w:val="center"/>
          </w:tcPr>
          <w:p w14:paraId="653B5C4A" w14:textId="77777777" w:rsidR="00B37AE0" w:rsidRPr="00454ECE" w:rsidRDefault="00B37AE0" w:rsidP="00454ECE">
            <w:pPr>
              <w:pStyle w:val="Header"/>
              <w:jc w:val="center"/>
              <w:rPr>
                <w:rFonts w:cs="Arial"/>
              </w:rPr>
            </w:pPr>
            <w:r w:rsidRPr="00454ECE">
              <w:rPr>
                <w:rFonts w:cs="Arial"/>
              </w:rPr>
              <w:t>Revised Cover Page Language</w:t>
            </w:r>
          </w:p>
        </w:tc>
      </w:tr>
    </w:tbl>
    <w:p w14:paraId="74E7C105" w14:textId="77777777" w:rsidR="00B37AE0" w:rsidRPr="00454ECE" w:rsidRDefault="00B37AE0" w:rsidP="00454ECE">
      <w:pPr>
        <w:pStyle w:val="NormalArial"/>
        <w:spacing w:before="120"/>
        <w:rPr>
          <w:rFonts w:cs="Arial"/>
        </w:rPr>
      </w:pPr>
      <w:r w:rsidRPr="00454ECE">
        <w:rPr>
          <w:rFonts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37AE0" w:rsidRPr="00454ECE" w14:paraId="5B0B85A1" w14:textId="77777777" w:rsidTr="00E176CF">
        <w:trPr>
          <w:trHeight w:val="350"/>
        </w:trPr>
        <w:tc>
          <w:tcPr>
            <w:tcW w:w="10440" w:type="dxa"/>
            <w:tcBorders>
              <w:bottom w:val="single" w:sz="4" w:space="0" w:color="auto"/>
            </w:tcBorders>
            <w:shd w:val="clear" w:color="auto" w:fill="FFFFFF"/>
            <w:vAlign w:val="center"/>
          </w:tcPr>
          <w:p w14:paraId="79E4D6A6" w14:textId="77777777" w:rsidR="00B37AE0" w:rsidRPr="00454ECE" w:rsidRDefault="00B37AE0" w:rsidP="00454ECE">
            <w:pPr>
              <w:pStyle w:val="Header"/>
              <w:jc w:val="center"/>
              <w:rPr>
                <w:rFonts w:cs="Arial"/>
              </w:rPr>
            </w:pPr>
            <w:r w:rsidRPr="00454ECE">
              <w:rPr>
                <w:rFonts w:cs="Arial"/>
              </w:rPr>
              <w:t>Revised Proposed Protocol Language</w:t>
            </w:r>
          </w:p>
        </w:tc>
      </w:tr>
    </w:tbl>
    <w:p w14:paraId="55D9BD08" w14:textId="172A365F" w:rsidR="00BD7258" w:rsidRPr="00454ECE" w:rsidRDefault="00B37AE0" w:rsidP="00454ECE">
      <w:pPr>
        <w:pStyle w:val="NormalArial"/>
        <w:spacing w:before="120"/>
        <w:rPr>
          <w:rFonts w:cs="Arial"/>
        </w:rPr>
      </w:pPr>
      <w:r w:rsidRPr="00454ECE">
        <w:rPr>
          <w:rFonts w:cs="Arial"/>
        </w:rPr>
        <w:t>None</w:t>
      </w:r>
    </w:p>
    <w:p w14:paraId="1D35B094" w14:textId="77777777" w:rsidR="00152993" w:rsidRPr="00454ECE" w:rsidRDefault="00152993" w:rsidP="00454ECE">
      <w:pPr>
        <w:pStyle w:val="BodyText"/>
        <w:spacing w:after="0"/>
        <w:rPr>
          <w:rFonts w:ascii="Arial" w:hAnsi="Arial" w:cs="Arial"/>
        </w:rPr>
      </w:pPr>
    </w:p>
    <w:sectPr w:rsidR="00152993" w:rsidRPr="00454ECE"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5D873" w14:textId="77777777" w:rsidR="008B62AD" w:rsidRDefault="008B62AD">
      <w:r>
        <w:separator/>
      </w:r>
    </w:p>
  </w:endnote>
  <w:endnote w:type="continuationSeparator" w:id="0">
    <w:p w14:paraId="6F6EB1EB" w14:textId="77777777" w:rsidR="008B62AD" w:rsidRDefault="008B6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3320" w14:textId="75D0999A" w:rsidR="00020912" w:rsidRDefault="00020912" w:rsidP="00020912">
    <w:pPr>
      <w:pStyle w:val="Footer"/>
      <w:tabs>
        <w:tab w:val="clear" w:pos="4320"/>
        <w:tab w:val="clear" w:pos="8640"/>
        <w:tab w:val="right" w:pos="9360"/>
      </w:tabs>
      <w:rPr>
        <w:rFonts w:ascii="Arial" w:hAnsi="Arial"/>
        <w:sz w:val="18"/>
      </w:rPr>
    </w:pPr>
    <w:r>
      <w:rPr>
        <w:rFonts w:ascii="Arial" w:hAnsi="Arial"/>
        <w:sz w:val="18"/>
      </w:rPr>
      <w:t>1194NPRR-</w:t>
    </w:r>
    <w:r>
      <w:rPr>
        <w:rFonts w:ascii="Arial" w:hAnsi="Arial"/>
        <w:sz w:val="18"/>
      </w:rPr>
      <w:t>10</w:t>
    </w:r>
    <w:r>
      <w:rPr>
        <w:rFonts w:ascii="Arial" w:hAnsi="Arial"/>
        <w:sz w:val="18"/>
      </w:rPr>
      <w:t xml:space="preserve"> </w:t>
    </w:r>
    <w:r>
      <w:rPr>
        <w:rFonts w:ascii="Arial" w:hAnsi="Arial"/>
        <w:sz w:val="18"/>
      </w:rPr>
      <w:t>APA</w:t>
    </w:r>
    <w:r>
      <w:rPr>
        <w:rFonts w:ascii="Arial" w:hAnsi="Arial"/>
        <w:sz w:val="18"/>
      </w:rPr>
      <w:t xml:space="preserve"> Comments 10</w:t>
    </w:r>
    <w:r>
      <w:rPr>
        <w:rFonts w:ascii="Arial" w:hAnsi="Arial"/>
        <w:sz w:val="18"/>
      </w:rPr>
      <w:t>3</w:t>
    </w:r>
    <w:r>
      <w:rPr>
        <w:rFonts w:ascii="Arial" w:hAnsi="Arial"/>
        <w:sz w:val="18"/>
      </w:rPr>
      <w:t>123</w:t>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Pr>
        <w:rFonts w:ascii="Arial" w:hAnsi="Arial"/>
        <w:sz w:val="18"/>
      </w:rPr>
      <w:t>1</w:t>
    </w:r>
    <w:r>
      <w:rPr>
        <w:rFonts w:ascii="Arial" w:hAnsi="Arial"/>
        <w:sz w:val="18"/>
      </w:rPr>
      <w:fldChar w:fldCharType="end"/>
    </w:r>
  </w:p>
  <w:p w14:paraId="022BB143" w14:textId="284883D9" w:rsidR="00EE6681" w:rsidRDefault="00020912" w:rsidP="00020912">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439DE" w14:textId="77777777" w:rsidR="008B62AD" w:rsidRDefault="008B62AD">
      <w:r>
        <w:separator/>
      </w:r>
    </w:p>
  </w:footnote>
  <w:footnote w:type="continuationSeparator" w:id="0">
    <w:p w14:paraId="20C4E652" w14:textId="77777777" w:rsidR="008B62AD" w:rsidRDefault="008B62AD">
      <w:r>
        <w:continuationSeparator/>
      </w:r>
    </w:p>
  </w:footnote>
  <w:footnote w:id="1">
    <w:p w14:paraId="130F441C" w14:textId="015837EB" w:rsidR="0011423D" w:rsidRPr="0058706F" w:rsidRDefault="002D34F5" w:rsidP="0011423D">
      <w:pPr>
        <w:pStyle w:val="FootnoteText"/>
        <w:rPr>
          <w:rFonts w:ascii="Arial" w:hAnsi="Arial" w:cs="Arial"/>
        </w:rPr>
      </w:pPr>
      <w:r w:rsidRPr="0058706F">
        <w:rPr>
          <w:rStyle w:val="FootnoteReference"/>
          <w:rFonts w:ascii="Arial" w:hAnsi="Arial" w:cs="Arial"/>
        </w:rPr>
        <w:footnoteRef/>
      </w:r>
      <w:r w:rsidRPr="0058706F">
        <w:rPr>
          <w:rFonts w:ascii="Arial" w:hAnsi="Arial" w:cs="Arial"/>
          <w:lang w:val="fr-FR"/>
        </w:rPr>
        <w:t xml:space="preserve"> </w:t>
      </w:r>
      <w:r w:rsidR="0011423D" w:rsidRPr="0058706F">
        <w:rPr>
          <w:rFonts w:ascii="Arial" w:hAnsi="Arial" w:cs="Arial"/>
          <w:lang w:val="fr-FR"/>
        </w:rPr>
        <w:t xml:space="preserve">NPRR 1194, </w:t>
      </w:r>
      <w:r w:rsidRPr="0058706F">
        <w:rPr>
          <w:rFonts w:ascii="Arial" w:hAnsi="Arial" w:cs="Arial"/>
          <w:lang w:val="fr-FR"/>
        </w:rPr>
        <w:t xml:space="preserve">ERCOT </w:t>
      </w:r>
      <w:r w:rsidR="0011423D" w:rsidRPr="0058706F">
        <w:rPr>
          <w:rFonts w:ascii="Arial" w:hAnsi="Arial" w:cs="Arial"/>
          <w:lang w:val="fr-FR"/>
        </w:rPr>
        <w:t>C</w:t>
      </w:r>
      <w:r w:rsidRPr="0058706F">
        <w:rPr>
          <w:rFonts w:ascii="Arial" w:hAnsi="Arial" w:cs="Arial"/>
          <w:lang w:val="fr-FR"/>
        </w:rPr>
        <w:t>omments</w:t>
      </w:r>
      <w:r w:rsidR="0011423D" w:rsidRPr="0058706F">
        <w:rPr>
          <w:rFonts w:ascii="Arial" w:hAnsi="Arial" w:cs="Arial"/>
          <w:lang w:val="fr-FR"/>
        </w:rPr>
        <w:t xml:space="preserve">, </w:t>
      </w:r>
      <w:r w:rsidR="0011423D" w:rsidRPr="0058706F">
        <w:rPr>
          <w:rFonts w:ascii="Arial" w:hAnsi="Arial" w:cs="Arial"/>
        </w:rPr>
        <w:t>September 7, 2023.</w:t>
      </w:r>
    </w:p>
    <w:p w14:paraId="3634DD2F" w14:textId="4BB49C32" w:rsidR="002D34F5" w:rsidRPr="00D95A53" w:rsidRDefault="002D34F5" w:rsidP="002D34F5">
      <w:pPr>
        <w:pStyle w:val="FootnoteText"/>
        <w:rPr>
          <w:lang w:val="fr-FR"/>
        </w:rPr>
      </w:pPr>
    </w:p>
  </w:footnote>
  <w:footnote w:id="2">
    <w:p w14:paraId="2516339C" w14:textId="2FC5117D" w:rsidR="002D34F5" w:rsidRPr="0058706F" w:rsidRDefault="002D34F5" w:rsidP="002D34F5">
      <w:pPr>
        <w:pStyle w:val="FootnoteText"/>
        <w:rPr>
          <w:rFonts w:ascii="Arial" w:hAnsi="Arial" w:cs="Arial"/>
          <w:lang w:val="fr-FR"/>
        </w:rPr>
      </w:pPr>
      <w:r>
        <w:rPr>
          <w:rStyle w:val="FootnoteReference"/>
        </w:rPr>
        <w:footnoteRef/>
      </w:r>
      <w:r w:rsidRPr="002D34F5">
        <w:rPr>
          <w:lang w:val="fr-FR"/>
        </w:rPr>
        <w:t xml:space="preserve"> </w:t>
      </w:r>
      <w:r w:rsidR="0058706F" w:rsidRPr="0058706F">
        <w:rPr>
          <w:rFonts w:ascii="Arial" w:hAnsi="Arial" w:cs="Arial"/>
          <w:lang w:val="fr-FR"/>
        </w:rPr>
        <w:t xml:space="preserve">NPRR 1194, ERCOT Comments, </w:t>
      </w:r>
      <w:r w:rsidR="0058706F" w:rsidRPr="0058706F">
        <w:rPr>
          <w:rFonts w:ascii="Arial" w:hAnsi="Arial" w:cs="Arial"/>
        </w:rPr>
        <w:t>September 7, 2023.</w:t>
      </w:r>
    </w:p>
  </w:footnote>
  <w:footnote w:id="3">
    <w:p w14:paraId="5FC6B1D9" w14:textId="77777777" w:rsidR="002D34F5" w:rsidRPr="002D34F5" w:rsidRDefault="002D34F5" w:rsidP="002D34F5">
      <w:pPr>
        <w:pStyle w:val="FootnoteText"/>
        <w:rPr>
          <w:rFonts w:ascii="Arial" w:hAnsi="Arial" w:cs="Arial"/>
        </w:rPr>
      </w:pPr>
      <w:r w:rsidRPr="0058706F">
        <w:rPr>
          <w:rStyle w:val="FootnoteReference"/>
          <w:rFonts w:ascii="Arial" w:hAnsi="Arial" w:cs="Arial"/>
        </w:rPr>
        <w:footnoteRef/>
      </w:r>
      <w:r w:rsidRPr="0058706F">
        <w:rPr>
          <w:rFonts w:ascii="Arial" w:hAnsi="Arial" w:cs="Arial"/>
        </w:rPr>
        <w:t xml:space="preserve"> </w:t>
      </w:r>
      <w:r w:rsidRPr="0058706F">
        <w:rPr>
          <w:rFonts w:ascii="Arial" w:hAnsi="Arial" w:cs="Arial"/>
          <w:i/>
          <w:iCs/>
        </w:rPr>
        <w:t xml:space="preserve">Rulemaking on Energy Storage Issues, </w:t>
      </w:r>
      <w:r w:rsidRPr="0058706F">
        <w:rPr>
          <w:rFonts w:ascii="Arial" w:hAnsi="Arial" w:cs="Arial"/>
        </w:rPr>
        <w:t>PUC Project 39917, Order Adopting Amendments to § 25.192 and § 25.501 as Approved at the March</w:t>
      </w:r>
      <w:r w:rsidRPr="002D34F5">
        <w:rPr>
          <w:rFonts w:ascii="Arial" w:hAnsi="Arial" w:cs="Arial"/>
        </w:rPr>
        <w:t xml:space="preserve"> 7, 2012 Open Meeting at Page 12 (Mar. 29, 2012).</w:t>
      </w:r>
    </w:p>
  </w:footnote>
  <w:footnote w:id="4">
    <w:p w14:paraId="64A1CB4A" w14:textId="77777777" w:rsidR="002D34F5" w:rsidRPr="002D34F5" w:rsidRDefault="002D34F5" w:rsidP="002D34F5">
      <w:pPr>
        <w:pStyle w:val="FootnoteText"/>
        <w:rPr>
          <w:rFonts w:ascii="Arial" w:hAnsi="Arial" w:cs="Arial"/>
        </w:rPr>
      </w:pPr>
      <w:r w:rsidRPr="002D34F5">
        <w:rPr>
          <w:rStyle w:val="FootnoteReference"/>
          <w:rFonts w:ascii="Arial" w:hAnsi="Arial" w:cs="Arial"/>
        </w:rPr>
        <w:footnoteRef/>
      </w:r>
      <w:r w:rsidRPr="002D34F5">
        <w:rPr>
          <w:rFonts w:ascii="Arial" w:hAnsi="Arial" w:cs="Arial"/>
        </w:rPr>
        <w:t xml:space="preserve"> </w:t>
      </w:r>
      <w:r w:rsidRPr="002D34F5">
        <w:rPr>
          <w:rFonts w:ascii="Arial" w:hAnsi="Arial" w:cs="Arial"/>
          <w:i/>
          <w:iCs/>
        </w:rPr>
        <w:t xml:space="preserve">See Rulemaking on Energy Storage Issues, </w:t>
      </w:r>
      <w:r w:rsidRPr="002D34F5">
        <w:rPr>
          <w:rFonts w:ascii="Arial" w:hAnsi="Arial" w:cs="Arial"/>
        </w:rPr>
        <w:t>PUC Project 39917, Order Adopting Amendments to § 25.192 and § 25.501 as Approved at the March 7, 2012 Open Meeting at Pages 12-14 (Mar. 29, 2012).</w:t>
      </w:r>
    </w:p>
  </w:footnote>
  <w:footnote w:id="5">
    <w:p w14:paraId="2E00C095" w14:textId="77777777" w:rsidR="002D34F5" w:rsidRPr="002D34F5" w:rsidRDefault="002D34F5" w:rsidP="002D34F5">
      <w:pPr>
        <w:pStyle w:val="FootnoteText"/>
        <w:rPr>
          <w:rFonts w:ascii="Arial" w:hAnsi="Arial" w:cs="Arial"/>
          <w:lang w:val="fr-FR"/>
        </w:rPr>
      </w:pPr>
      <w:r w:rsidRPr="002D34F5">
        <w:rPr>
          <w:rStyle w:val="FootnoteReference"/>
          <w:rFonts w:ascii="Arial" w:hAnsi="Arial" w:cs="Arial"/>
        </w:rPr>
        <w:footnoteRef/>
      </w:r>
      <w:r w:rsidRPr="002D34F5">
        <w:rPr>
          <w:rFonts w:ascii="Arial" w:hAnsi="Arial" w:cs="Arial"/>
          <w:lang w:val="fr-FR"/>
        </w:rPr>
        <w:t xml:space="preserve"> ERCOT NOGRR1194 Comments, October 6, 2023, page 1.</w:t>
      </w:r>
    </w:p>
  </w:footnote>
  <w:footnote w:id="6">
    <w:p w14:paraId="6DE8E0C7" w14:textId="77777777" w:rsidR="002D34F5" w:rsidRPr="002D34F5" w:rsidRDefault="002D34F5" w:rsidP="002D34F5">
      <w:pPr>
        <w:pStyle w:val="FootnoteText"/>
        <w:rPr>
          <w:rFonts w:ascii="Arial" w:hAnsi="Arial" w:cs="Arial"/>
        </w:rPr>
      </w:pPr>
      <w:r w:rsidRPr="002D34F5">
        <w:rPr>
          <w:rStyle w:val="FootnoteReference"/>
          <w:rFonts w:ascii="Arial" w:hAnsi="Arial" w:cs="Arial"/>
        </w:rPr>
        <w:footnoteRef/>
      </w:r>
      <w:r w:rsidRPr="002D34F5">
        <w:rPr>
          <w:rFonts w:ascii="Arial" w:hAnsi="Arial" w:cs="Arial"/>
        </w:rPr>
        <w:t xml:space="preserve"> Comments of ERCOT Staff, ERCOT PRS Meeting, September 13, 2023.</w:t>
      </w:r>
    </w:p>
  </w:footnote>
  <w:footnote w:id="7">
    <w:p w14:paraId="7AE9012B" w14:textId="77777777" w:rsidR="00F950F3" w:rsidRPr="002D34F5" w:rsidRDefault="00F950F3" w:rsidP="00F950F3">
      <w:pPr>
        <w:pStyle w:val="FootnoteText"/>
        <w:rPr>
          <w:rFonts w:ascii="Arial" w:hAnsi="Arial" w:cs="Arial"/>
        </w:rPr>
      </w:pPr>
      <w:r>
        <w:rPr>
          <w:rStyle w:val="FootnoteReference"/>
        </w:rPr>
        <w:footnoteRef/>
      </w:r>
      <w:r>
        <w:t xml:space="preserve"> </w:t>
      </w:r>
      <w:r w:rsidRPr="002D34F5">
        <w:rPr>
          <w:rFonts w:ascii="Arial" w:hAnsi="Arial" w:cs="Arial"/>
        </w:rPr>
        <w:t>Comments of ERCOT Staff, ERCOT PRS Meeting, September 13, 2023.</w:t>
      </w:r>
    </w:p>
    <w:p w14:paraId="02075503" w14:textId="57DEBD37" w:rsidR="00F950F3" w:rsidRDefault="00F950F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5E22" w14:textId="03E20240" w:rsidR="00EE6681" w:rsidRDefault="00EE6681">
    <w:pPr>
      <w:pStyle w:val="Header"/>
      <w:jc w:val="center"/>
      <w:rPr>
        <w:sz w:val="32"/>
      </w:rPr>
    </w:pPr>
    <w:r>
      <w:rPr>
        <w:sz w:val="32"/>
      </w:rPr>
      <w:t>NPRR Comments</w:t>
    </w:r>
  </w:p>
  <w:p w14:paraId="34C025C1"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539366669">
    <w:abstractNumId w:val="0"/>
  </w:num>
  <w:num w:numId="2" w16cid:durableId="1316491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3DCE"/>
    <w:rsid w:val="00012F4B"/>
    <w:rsid w:val="0001542E"/>
    <w:rsid w:val="00020912"/>
    <w:rsid w:val="0003277F"/>
    <w:rsid w:val="00037668"/>
    <w:rsid w:val="00037D8A"/>
    <w:rsid w:val="00040CB0"/>
    <w:rsid w:val="0004765B"/>
    <w:rsid w:val="000477D8"/>
    <w:rsid w:val="0006352C"/>
    <w:rsid w:val="000731E5"/>
    <w:rsid w:val="00075148"/>
    <w:rsid w:val="00075A94"/>
    <w:rsid w:val="00082468"/>
    <w:rsid w:val="000A3052"/>
    <w:rsid w:val="000B5FDE"/>
    <w:rsid w:val="000C2B7C"/>
    <w:rsid w:val="000D14F6"/>
    <w:rsid w:val="000D19F8"/>
    <w:rsid w:val="000F6FBE"/>
    <w:rsid w:val="00102B3E"/>
    <w:rsid w:val="00106DF7"/>
    <w:rsid w:val="0011179B"/>
    <w:rsid w:val="001117B3"/>
    <w:rsid w:val="0011423D"/>
    <w:rsid w:val="00120E05"/>
    <w:rsid w:val="001227A3"/>
    <w:rsid w:val="001237D3"/>
    <w:rsid w:val="00125594"/>
    <w:rsid w:val="00132855"/>
    <w:rsid w:val="00137EC7"/>
    <w:rsid w:val="00144E55"/>
    <w:rsid w:val="00147FDF"/>
    <w:rsid w:val="00152993"/>
    <w:rsid w:val="00153092"/>
    <w:rsid w:val="001606C1"/>
    <w:rsid w:val="00170297"/>
    <w:rsid w:val="00170659"/>
    <w:rsid w:val="00170F9F"/>
    <w:rsid w:val="00182361"/>
    <w:rsid w:val="0018259F"/>
    <w:rsid w:val="00185909"/>
    <w:rsid w:val="001939E4"/>
    <w:rsid w:val="001A227D"/>
    <w:rsid w:val="001A402B"/>
    <w:rsid w:val="001C1E86"/>
    <w:rsid w:val="001C433F"/>
    <w:rsid w:val="001C6B16"/>
    <w:rsid w:val="001D4E01"/>
    <w:rsid w:val="001D6FAA"/>
    <w:rsid w:val="001E0EDA"/>
    <w:rsid w:val="001E1105"/>
    <w:rsid w:val="001E1879"/>
    <w:rsid w:val="001E2032"/>
    <w:rsid w:val="001E2395"/>
    <w:rsid w:val="001E4767"/>
    <w:rsid w:val="0020508E"/>
    <w:rsid w:val="00205F26"/>
    <w:rsid w:val="00227669"/>
    <w:rsid w:val="00230B58"/>
    <w:rsid w:val="00232194"/>
    <w:rsid w:val="00236EEA"/>
    <w:rsid w:val="00245A30"/>
    <w:rsid w:val="002461A1"/>
    <w:rsid w:val="00250360"/>
    <w:rsid w:val="002554D3"/>
    <w:rsid w:val="00266174"/>
    <w:rsid w:val="002664CD"/>
    <w:rsid w:val="00290471"/>
    <w:rsid w:val="002B1D75"/>
    <w:rsid w:val="002B4FF1"/>
    <w:rsid w:val="002D34F5"/>
    <w:rsid w:val="002D6435"/>
    <w:rsid w:val="002E6850"/>
    <w:rsid w:val="002F2A66"/>
    <w:rsid w:val="002F4B75"/>
    <w:rsid w:val="003010C0"/>
    <w:rsid w:val="00301DEE"/>
    <w:rsid w:val="00302017"/>
    <w:rsid w:val="0030527E"/>
    <w:rsid w:val="00313D2B"/>
    <w:rsid w:val="00313F1E"/>
    <w:rsid w:val="003140CA"/>
    <w:rsid w:val="00320D8D"/>
    <w:rsid w:val="003232A7"/>
    <w:rsid w:val="00332A97"/>
    <w:rsid w:val="00335A5E"/>
    <w:rsid w:val="00350C00"/>
    <w:rsid w:val="0035557B"/>
    <w:rsid w:val="0036200F"/>
    <w:rsid w:val="0036275C"/>
    <w:rsid w:val="003648B4"/>
    <w:rsid w:val="00366113"/>
    <w:rsid w:val="0036643E"/>
    <w:rsid w:val="00392BD2"/>
    <w:rsid w:val="003B5267"/>
    <w:rsid w:val="003C270C"/>
    <w:rsid w:val="003C4832"/>
    <w:rsid w:val="003C577A"/>
    <w:rsid w:val="003C6535"/>
    <w:rsid w:val="003D0994"/>
    <w:rsid w:val="003D5D4D"/>
    <w:rsid w:val="003D60AD"/>
    <w:rsid w:val="003E15BB"/>
    <w:rsid w:val="003E293E"/>
    <w:rsid w:val="003E6430"/>
    <w:rsid w:val="003F58E7"/>
    <w:rsid w:val="003F6DAA"/>
    <w:rsid w:val="003F7BBE"/>
    <w:rsid w:val="004057A1"/>
    <w:rsid w:val="00415180"/>
    <w:rsid w:val="0041526C"/>
    <w:rsid w:val="00416189"/>
    <w:rsid w:val="00423824"/>
    <w:rsid w:val="0043567D"/>
    <w:rsid w:val="00443DFA"/>
    <w:rsid w:val="0044754B"/>
    <w:rsid w:val="004539D4"/>
    <w:rsid w:val="00454ECE"/>
    <w:rsid w:val="0048197B"/>
    <w:rsid w:val="00490936"/>
    <w:rsid w:val="0049238A"/>
    <w:rsid w:val="00497C01"/>
    <w:rsid w:val="004A797C"/>
    <w:rsid w:val="004B7078"/>
    <w:rsid w:val="004B7B90"/>
    <w:rsid w:val="004E1B84"/>
    <w:rsid w:val="004E2818"/>
    <w:rsid w:val="004E2C19"/>
    <w:rsid w:val="004F43D4"/>
    <w:rsid w:val="00506273"/>
    <w:rsid w:val="00510030"/>
    <w:rsid w:val="00512FE1"/>
    <w:rsid w:val="0051343C"/>
    <w:rsid w:val="005365D7"/>
    <w:rsid w:val="00546DFA"/>
    <w:rsid w:val="005748C0"/>
    <w:rsid w:val="0058706F"/>
    <w:rsid w:val="00590C4B"/>
    <w:rsid w:val="005A2B22"/>
    <w:rsid w:val="005B6F7E"/>
    <w:rsid w:val="005C2DD5"/>
    <w:rsid w:val="005C7403"/>
    <w:rsid w:val="005D284C"/>
    <w:rsid w:val="005E580C"/>
    <w:rsid w:val="005F49A9"/>
    <w:rsid w:val="00604512"/>
    <w:rsid w:val="00605981"/>
    <w:rsid w:val="00612A1E"/>
    <w:rsid w:val="0061489C"/>
    <w:rsid w:val="00617C34"/>
    <w:rsid w:val="0062076C"/>
    <w:rsid w:val="00621DB1"/>
    <w:rsid w:val="00626582"/>
    <w:rsid w:val="00627B61"/>
    <w:rsid w:val="00633E23"/>
    <w:rsid w:val="006442F3"/>
    <w:rsid w:val="006537C2"/>
    <w:rsid w:val="006544C8"/>
    <w:rsid w:val="0065704F"/>
    <w:rsid w:val="00664639"/>
    <w:rsid w:val="00673B94"/>
    <w:rsid w:val="00673E86"/>
    <w:rsid w:val="00680AC6"/>
    <w:rsid w:val="006835D8"/>
    <w:rsid w:val="00683717"/>
    <w:rsid w:val="00687D23"/>
    <w:rsid w:val="006A13CF"/>
    <w:rsid w:val="006A1D3A"/>
    <w:rsid w:val="006A38BD"/>
    <w:rsid w:val="006A4E48"/>
    <w:rsid w:val="006C316E"/>
    <w:rsid w:val="006C3EA5"/>
    <w:rsid w:val="006C5220"/>
    <w:rsid w:val="006C5B81"/>
    <w:rsid w:val="006D0F7C"/>
    <w:rsid w:val="006E2048"/>
    <w:rsid w:val="006E6811"/>
    <w:rsid w:val="006F1ADA"/>
    <w:rsid w:val="006F7440"/>
    <w:rsid w:val="007015FC"/>
    <w:rsid w:val="00715777"/>
    <w:rsid w:val="007247CA"/>
    <w:rsid w:val="007269C4"/>
    <w:rsid w:val="00730746"/>
    <w:rsid w:val="00734195"/>
    <w:rsid w:val="00735AC8"/>
    <w:rsid w:val="0074209E"/>
    <w:rsid w:val="00750821"/>
    <w:rsid w:val="00770286"/>
    <w:rsid w:val="00776AD4"/>
    <w:rsid w:val="0078044D"/>
    <w:rsid w:val="00797FB1"/>
    <w:rsid w:val="007A4E90"/>
    <w:rsid w:val="007A6A42"/>
    <w:rsid w:val="007B3B80"/>
    <w:rsid w:val="007C3B6F"/>
    <w:rsid w:val="007D442C"/>
    <w:rsid w:val="007E31CA"/>
    <w:rsid w:val="007E3E15"/>
    <w:rsid w:val="007F2CA8"/>
    <w:rsid w:val="007F7161"/>
    <w:rsid w:val="00820D62"/>
    <w:rsid w:val="00822568"/>
    <w:rsid w:val="00846761"/>
    <w:rsid w:val="0085559E"/>
    <w:rsid w:val="00860071"/>
    <w:rsid w:val="00863515"/>
    <w:rsid w:val="00881A98"/>
    <w:rsid w:val="00896B1B"/>
    <w:rsid w:val="00896D61"/>
    <w:rsid w:val="008A259C"/>
    <w:rsid w:val="008B203A"/>
    <w:rsid w:val="008B52BA"/>
    <w:rsid w:val="008B62AD"/>
    <w:rsid w:val="008B6E70"/>
    <w:rsid w:val="008E559E"/>
    <w:rsid w:val="008F458E"/>
    <w:rsid w:val="008F5A32"/>
    <w:rsid w:val="00900DF7"/>
    <w:rsid w:val="00913B95"/>
    <w:rsid w:val="00916080"/>
    <w:rsid w:val="00921A68"/>
    <w:rsid w:val="009302B4"/>
    <w:rsid w:val="00942E98"/>
    <w:rsid w:val="00951823"/>
    <w:rsid w:val="00964546"/>
    <w:rsid w:val="009846E8"/>
    <w:rsid w:val="0098499C"/>
    <w:rsid w:val="00987F4C"/>
    <w:rsid w:val="009B2BB1"/>
    <w:rsid w:val="009B2CD0"/>
    <w:rsid w:val="009C3138"/>
    <w:rsid w:val="009C3713"/>
    <w:rsid w:val="009C6383"/>
    <w:rsid w:val="009D007B"/>
    <w:rsid w:val="009E36E5"/>
    <w:rsid w:val="009E3DF9"/>
    <w:rsid w:val="009E6F66"/>
    <w:rsid w:val="009E71C9"/>
    <w:rsid w:val="00A015C4"/>
    <w:rsid w:val="00A017CD"/>
    <w:rsid w:val="00A15172"/>
    <w:rsid w:val="00A23205"/>
    <w:rsid w:val="00A303DA"/>
    <w:rsid w:val="00A306DE"/>
    <w:rsid w:val="00A31EA2"/>
    <w:rsid w:val="00A33185"/>
    <w:rsid w:val="00A4497E"/>
    <w:rsid w:val="00A449CD"/>
    <w:rsid w:val="00A56F76"/>
    <w:rsid w:val="00A76EF1"/>
    <w:rsid w:val="00A867DC"/>
    <w:rsid w:val="00A91E29"/>
    <w:rsid w:val="00A96F31"/>
    <w:rsid w:val="00AA1E6E"/>
    <w:rsid w:val="00AB0644"/>
    <w:rsid w:val="00AC1182"/>
    <w:rsid w:val="00AC3548"/>
    <w:rsid w:val="00AC3813"/>
    <w:rsid w:val="00AC49D4"/>
    <w:rsid w:val="00AC7DF4"/>
    <w:rsid w:val="00AD75DD"/>
    <w:rsid w:val="00AE0685"/>
    <w:rsid w:val="00AE7051"/>
    <w:rsid w:val="00B02577"/>
    <w:rsid w:val="00B34DCC"/>
    <w:rsid w:val="00B37AE0"/>
    <w:rsid w:val="00B424D7"/>
    <w:rsid w:val="00B44BA7"/>
    <w:rsid w:val="00B5080A"/>
    <w:rsid w:val="00B545FC"/>
    <w:rsid w:val="00B62405"/>
    <w:rsid w:val="00B6571C"/>
    <w:rsid w:val="00B6721F"/>
    <w:rsid w:val="00B72CC9"/>
    <w:rsid w:val="00B75812"/>
    <w:rsid w:val="00B92829"/>
    <w:rsid w:val="00B943AE"/>
    <w:rsid w:val="00BA79B6"/>
    <w:rsid w:val="00BB5903"/>
    <w:rsid w:val="00BB79B2"/>
    <w:rsid w:val="00BB7D03"/>
    <w:rsid w:val="00BC3A65"/>
    <w:rsid w:val="00BD7258"/>
    <w:rsid w:val="00BF12DF"/>
    <w:rsid w:val="00C01D4E"/>
    <w:rsid w:val="00C02A00"/>
    <w:rsid w:val="00C0421F"/>
    <w:rsid w:val="00C048FE"/>
    <w:rsid w:val="00C0598D"/>
    <w:rsid w:val="00C05B9A"/>
    <w:rsid w:val="00C11956"/>
    <w:rsid w:val="00C14C6A"/>
    <w:rsid w:val="00C160E1"/>
    <w:rsid w:val="00C23BED"/>
    <w:rsid w:val="00C31DF3"/>
    <w:rsid w:val="00C32C16"/>
    <w:rsid w:val="00C3724A"/>
    <w:rsid w:val="00C44849"/>
    <w:rsid w:val="00C4650B"/>
    <w:rsid w:val="00C506A3"/>
    <w:rsid w:val="00C50CD0"/>
    <w:rsid w:val="00C547F6"/>
    <w:rsid w:val="00C60034"/>
    <w:rsid w:val="00C602E5"/>
    <w:rsid w:val="00C65A4E"/>
    <w:rsid w:val="00C66043"/>
    <w:rsid w:val="00C66F20"/>
    <w:rsid w:val="00C707DA"/>
    <w:rsid w:val="00C70BA5"/>
    <w:rsid w:val="00C748FD"/>
    <w:rsid w:val="00C84292"/>
    <w:rsid w:val="00C92B9A"/>
    <w:rsid w:val="00CB6988"/>
    <w:rsid w:val="00CC7B30"/>
    <w:rsid w:val="00CF2FCC"/>
    <w:rsid w:val="00D0643F"/>
    <w:rsid w:val="00D113AB"/>
    <w:rsid w:val="00D1581E"/>
    <w:rsid w:val="00D20CAD"/>
    <w:rsid w:val="00D213A7"/>
    <w:rsid w:val="00D2368A"/>
    <w:rsid w:val="00D32188"/>
    <w:rsid w:val="00D4046E"/>
    <w:rsid w:val="00D4362F"/>
    <w:rsid w:val="00D504A5"/>
    <w:rsid w:val="00D559A4"/>
    <w:rsid w:val="00D87DBE"/>
    <w:rsid w:val="00D91ADB"/>
    <w:rsid w:val="00D94D55"/>
    <w:rsid w:val="00DB3E30"/>
    <w:rsid w:val="00DB6A45"/>
    <w:rsid w:val="00DC1976"/>
    <w:rsid w:val="00DC38D0"/>
    <w:rsid w:val="00DC6E0B"/>
    <w:rsid w:val="00DD1310"/>
    <w:rsid w:val="00DD4450"/>
    <w:rsid w:val="00DD4739"/>
    <w:rsid w:val="00DD5E35"/>
    <w:rsid w:val="00DE25E9"/>
    <w:rsid w:val="00DE5F33"/>
    <w:rsid w:val="00DF0801"/>
    <w:rsid w:val="00DF12F4"/>
    <w:rsid w:val="00DF4B83"/>
    <w:rsid w:val="00E00E9B"/>
    <w:rsid w:val="00E01B2F"/>
    <w:rsid w:val="00E022A4"/>
    <w:rsid w:val="00E05B01"/>
    <w:rsid w:val="00E07B54"/>
    <w:rsid w:val="00E11F78"/>
    <w:rsid w:val="00E203FA"/>
    <w:rsid w:val="00E37677"/>
    <w:rsid w:val="00E621E1"/>
    <w:rsid w:val="00E64BE3"/>
    <w:rsid w:val="00E71015"/>
    <w:rsid w:val="00E928C9"/>
    <w:rsid w:val="00E929C6"/>
    <w:rsid w:val="00EC4A18"/>
    <w:rsid w:val="00EC55B3"/>
    <w:rsid w:val="00EC7EAD"/>
    <w:rsid w:val="00ED495C"/>
    <w:rsid w:val="00ED504B"/>
    <w:rsid w:val="00EE6681"/>
    <w:rsid w:val="00EF106A"/>
    <w:rsid w:val="00EF6D6B"/>
    <w:rsid w:val="00F03D7E"/>
    <w:rsid w:val="00F05F12"/>
    <w:rsid w:val="00F11689"/>
    <w:rsid w:val="00F2782C"/>
    <w:rsid w:val="00F32AFA"/>
    <w:rsid w:val="00F600CA"/>
    <w:rsid w:val="00F720B7"/>
    <w:rsid w:val="00F72E9E"/>
    <w:rsid w:val="00F748D9"/>
    <w:rsid w:val="00F764A4"/>
    <w:rsid w:val="00F8020E"/>
    <w:rsid w:val="00F84A99"/>
    <w:rsid w:val="00F90DFD"/>
    <w:rsid w:val="00F915EB"/>
    <w:rsid w:val="00F950F3"/>
    <w:rsid w:val="00F96754"/>
    <w:rsid w:val="00F96FB2"/>
    <w:rsid w:val="00FA53D0"/>
    <w:rsid w:val="00FB51D8"/>
    <w:rsid w:val="00FB7608"/>
    <w:rsid w:val="00FC29F1"/>
    <w:rsid w:val="00FD08E8"/>
    <w:rsid w:val="00FD3DE6"/>
    <w:rsid w:val="00FE3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3103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4ECE"/>
    <w:rPr>
      <w:rFonts w:ascii="Calibri" w:eastAsiaTheme="minorHAnsi" w:hAnsi="Calibri" w:cs="Calibri"/>
      <w:sz w:val="22"/>
      <w:szCs w:val="22"/>
      <w14:ligatures w14:val="standardContextual"/>
    </w:rPr>
  </w:style>
  <w:style w:type="paragraph" w:styleId="Heading1">
    <w:name w:val="heading 1"/>
    <w:aliases w:val="h1"/>
    <w:basedOn w:val="Normal"/>
    <w:next w:val="Normal"/>
    <w:qFormat/>
    <w:pPr>
      <w:keepNext/>
      <w:numPr>
        <w:numId w:val="1"/>
      </w:numPr>
      <w:spacing w:after="240"/>
      <w:outlineLvl w:val="0"/>
    </w:pPr>
    <w:rPr>
      <w:rFonts w:ascii="Times New Roman" w:eastAsia="Times New Roman" w:hAnsi="Times New Roman" w:cs="Times New Roman"/>
      <w:b/>
      <w:caps/>
      <w:sz w:val="24"/>
      <w:szCs w:val="20"/>
      <w14:ligatures w14:val="none"/>
    </w:rPr>
  </w:style>
  <w:style w:type="paragraph" w:styleId="Heading2">
    <w:name w:val="heading 2"/>
    <w:aliases w:val="h2"/>
    <w:basedOn w:val="Normal"/>
    <w:next w:val="Normal"/>
    <w:qFormat/>
    <w:pPr>
      <w:keepNext/>
      <w:numPr>
        <w:ilvl w:val="1"/>
        <w:numId w:val="1"/>
      </w:numPr>
      <w:spacing w:before="240" w:after="240"/>
      <w:outlineLvl w:val="1"/>
    </w:pPr>
    <w:rPr>
      <w:rFonts w:ascii="Times New Roman" w:eastAsia="Times New Roman" w:hAnsi="Times New Roman" w:cs="Times New Roman"/>
      <w:b/>
      <w:sz w:val="24"/>
      <w:szCs w:val="20"/>
      <w14:ligatures w14:val="none"/>
    </w:rPr>
  </w:style>
  <w:style w:type="paragraph" w:styleId="Heading3">
    <w:name w:val="heading 3"/>
    <w:aliases w:val="h3"/>
    <w:basedOn w:val="Normal"/>
    <w:next w:val="Normal"/>
    <w:qFormat/>
    <w:pPr>
      <w:keepNext/>
      <w:numPr>
        <w:ilvl w:val="2"/>
        <w:numId w:val="1"/>
      </w:numPr>
      <w:spacing w:before="120" w:after="120"/>
      <w:outlineLvl w:val="2"/>
    </w:pPr>
    <w:rPr>
      <w:rFonts w:ascii="Times New Roman" w:eastAsia="Times New Roman" w:hAnsi="Times New Roman" w:cs="Times New Roman"/>
      <w:b/>
      <w:bCs/>
      <w:i/>
      <w:iCs/>
      <w:sz w:val="24"/>
      <w:szCs w:val="20"/>
      <w14:ligatures w14:val="none"/>
    </w:rPr>
  </w:style>
  <w:style w:type="paragraph" w:styleId="Heading4">
    <w:name w:val="heading 4"/>
    <w:aliases w:val="h4"/>
    <w:basedOn w:val="Normal"/>
    <w:next w:val="Normal"/>
    <w:qFormat/>
    <w:pPr>
      <w:keepNext/>
      <w:widowControl w:val="0"/>
      <w:numPr>
        <w:ilvl w:val="3"/>
        <w:numId w:val="1"/>
      </w:numPr>
      <w:spacing w:before="360" w:after="240"/>
      <w:outlineLvl w:val="3"/>
    </w:pPr>
    <w:rPr>
      <w:rFonts w:ascii="Times New Roman" w:eastAsia="Times New Roman" w:hAnsi="Times New Roman" w:cs="Times New Roman"/>
      <w:b/>
      <w:bCs/>
      <w:snapToGrid w:val="0"/>
      <w:sz w:val="24"/>
      <w:szCs w:val="20"/>
      <w14:ligatures w14:val="none"/>
    </w:rPr>
  </w:style>
  <w:style w:type="paragraph" w:styleId="Heading5">
    <w:name w:val="heading 5"/>
    <w:aliases w:val="h5"/>
    <w:basedOn w:val="Normal"/>
    <w:next w:val="Normal"/>
    <w:qFormat/>
    <w:pPr>
      <w:spacing w:before="240" w:after="60"/>
      <w:outlineLvl w:val="4"/>
    </w:pPr>
    <w:rPr>
      <w:rFonts w:ascii="Times New Roman" w:eastAsia="Times New Roman" w:hAnsi="Times New Roman" w:cs="Times New Roman"/>
      <w:b/>
      <w:i/>
      <w:sz w:val="26"/>
      <w:szCs w:val="20"/>
      <w14:ligatures w14:val="none"/>
    </w:rPr>
  </w:style>
  <w:style w:type="paragraph" w:styleId="Heading6">
    <w:name w:val="heading 6"/>
    <w:aliases w:val="h6"/>
    <w:basedOn w:val="Normal"/>
    <w:next w:val="Normal"/>
    <w:qFormat/>
    <w:pPr>
      <w:spacing w:before="240" w:after="60"/>
      <w:outlineLvl w:val="5"/>
    </w:pPr>
    <w:rPr>
      <w:rFonts w:ascii="Times New Roman" w:eastAsia="Times New Roman" w:hAnsi="Times New Roman" w:cs="Times New Roman"/>
      <w:b/>
      <w:szCs w:val="20"/>
      <w14:ligatures w14:val="none"/>
    </w:rPr>
  </w:style>
  <w:style w:type="paragraph" w:styleId="Heading7">
    <w:name w:val="heading 7"/>
    <w:basedOn w:val="Normal"/>
    <w:next w:val="Normal"/>
    <w:qFormat/>
    <w:pPr>
      <w:spacing w:before="240" w:after="60"/>
      <w:outlineLvl w:val="6"/>
    </w:pPr>
    <w:rPr>
      <w:rFonts w:ascii="Times New Roman" w:eastAsia="Times New Roman" w:hAnsi="Times New Roman" w:cs="Times New Roman"/>
      <w:sz w:val="24"/>
      <w:szCs w:val="20"/>
      <w14:ligatures w14:val="none"/>
    </w:rPr>
  </w:style>
  <w:style w:type="paragraph" w:styleId="Heading8">
    <w:name w:val="heading 8"/>
    <w:basedOn w:val="Normal"/>
    <w:next w:val="Normal"/>
    <w:qFormat/>
    <w:pPr>
      <w:spacing w:before="240" w:after="60"/>
      <w:outlineLvl w:val="7"/>
    </w:pPr>
    <w:rPr>
      <w:rFonts w:ascii="Times New Roman" w:eastAsia="Times New Roman" w:hAnsi="Times New Roman" w:cs="Times New Roman"/>
      <w:i/>
      <w:sz w:val="24"/>
      <w:szCs w:val="20"/>
      <w14:ligatures w14:val="none"/>
    </w:rPr>
  </w:style>
  <w:style w:type="paragraph" w:styleId="Heading9">
    <w:name w:val="heading 9"/>
    <w:basedOn w:val="Normal"/>
    <w:next w:val="Normal"/>
    <w:qFormat/>
    <w:pPr>
      <w:spacing w:before="240" w:after="60"/>
      <w:outlineLvl w:val="8"/>
    </w:pPr>
    <w:rPr>
      <w:rFonts w:ascii="Arial" w:eastAsia="Times New Roman" w:hAnsi="Arial" w:cs="Times New Roman"/>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eastAsia="Times New Roman" w:hAnsi="Arial" w:cs="Times New Roman"/>
      <w:b/>
      <w:bCs/>
      <w:sz w:val="24"/>
      <w:szCs w:val="24"/>
      <w14:ligatures w14:val="none"/>
    </w:rPr>
  </w:style>
  <w:style w:type="paragraph" w:styleId="Footer">
    <w:name w:val="footer"/>
    <w:basedOn w:val="Normal"/>
    <w:pPr>
      <w:tabs>
        <w:tab w:val="center" w:pos="4320"/>
        <w:tab w:val="right" w:pos="8640"/>
      </w:tabs>
    </w:pPr>
    <w:rPr>
      <w:rFonts w:ascii="Times New Roman" w:eastAsia="Times New Roman" w:hAnsi="Times New Roman" w:cs="Times New Roman"/>
      <w:sz w:val="24"/>
      <w:szCs w:val="24"/>
      <w14:ligatures w14:val="none"/>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rFonts w:ascii="Times New Roman" w:eastAsia="Times New Roman" w:hAnsi="Times New Roman" w:cs="Times New Roman"/>
      <w:sz w:val="24"/>
      <w:szCs w:val="20"/>
      <w14:ligatures w14:val="none"/>
    </w:rPr>
  </w:style>
  <w:style w:type="character" w:styleId="Hyperlink">
    <w:name w:val="Hyperlink"/>
    <w:rPr>
      <w:color w:val="0000FF"/>
      <w:u w:val="single"/>
    </w:rPr>
  </w:style>
  <w:style w:type="paragraph" w:styleId="BodyText">
    <w:name w:val="Body Text"/>
    <w:basedOn w:val="Normal"/>
    <w:pPr>
      <w:spacing w:before="120" w:after="120"/>
    </w:pPr>
    <w:rPr>
      <w:rFonts w:ascii="Times New Roman" w:eastAsia="Times New Roman" w:hAnsi="Times New Roman" w:cs="Times New Roman"/>
      <w:sz w:val="24"/>
      <w:szCs w:val="24"/>
      <w14:ligatures w14:val="none"/>
    </w:rPr>
  </w:style>
  <w:style w:type="paragraph" w:styleId="BodyTextIndent">
    <w:name w:val="Body Text Indent"/>
    <w:basedOn w:val="Normal"/>
    <w:pPr>
      <w:spacing w:before="120" w:after="120"/>
      <w:ind w:left="720"/>
    </w:pPr>
    <w:rPr>
      <w:rFonts w:ascii="Times New Roman" w:eastAsia="Times New Roman" w:hAnsi="Times New Roman" w:cs="Times New Roman"/>
      <w:sz w:val="24"/>
      <w:szCs w:val="24"/>
      <w14:ligatures w14:val="none"/>
    </w:rPr>
  </w:style>
  <w:style w:type="paragraph" w:customStyle="1" w:styleId="Bullet">
    <w:name w:val="Bullet"/>
    <w:basedOn w:val="Normal"/>
    <w:pPr>
      <w:numPr>
        <w:numId w:val="2"/>
      </w:numPr>
      <w:spacing w:before="60" w:after="120"/>
    </w:pPr>
    <w:rPr>
      <w:rFonts w:ascii="Times New Roman" w:eastAsia="Times New Roman" w:hAnsi="Times New Roman" w:cs="Times New Roman"/>
      <w:sz w:val="24"/>
      <w:szCs w:val="20"/>
      <w14:ligatures w14:val="none"/>
    </w:rPr>
  </w:style>
  <w:style w:type="paragraph" w:styleId="BalloonText">
    <w:name w:val="Balloon Text"/>
    <w:basedOn w:val="Normal"/>
    <w:semiHidden/>
    <w:rsid w:val="00673B94"/>
    <w:rPr>
      <w:rFonts w:ascii="Tahoma" w:eastAsia="Times New Roman" w:hAnsi="Tahoma" w:cs="Tahoma"/>
      <w:sz w:val="16"/>
      <w:szCs w:val="16"/>
      <w14:ligatures w14:val="none"/>
    </w:rPr>
  </w:style>
  <w:style w:type="paragraph" w:customStyle="1" w:styleId="NormalArial">
    <w:name w:val="Normal+Arial"/>
    <w:basedOn w:val="Normal"/>
    <w:link w:val="NormalArialChar"/>
    <w:rPr>
      <w:rFonts w:ascii="Arial" w:eastAsia="Times New Roman" w:hAnsi="Arial" w:cs="Times New Roman"/>
      <w:sz w:val="24"/>
      <w:szCs w:val="24"/>
      <w14:ligatures w14:val="none"/>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rFonts w:ascii="Times New Roman" w:eastAsia="Times New Roman" w:hAnsi="Times New Roman" w:cs="Times New Roman"/>
      <w:sz w:val="20"/>
      <w:szCs w:val="20"/>
      <w14:ligatures w14:val="none"/>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locked/>
    <w:rsid w:val="0030527E"/>
    <w:rPr>
      <w:rFonts w:ascii="Arial" w:hAnsi="Arial"/>
      <w:sz w:val="24"/>
      <w:szCs w:val="24"/>
    </w:rPr>
  </w:style>
  <w:style w:type="character" w:styleId="UnresolvedMention">
    <w:name w:val="Unresolved Mention"/>
    <w:basedOn w:val="DefaultParagraphFont"/>
    <w:uiPriority w:val="99"/>
    <w:semiHidden/>
    <w:unhideWhenUsed/>
    <w:rsid w:val="00B37AE0"/>
    <w:rPr>
      <w:color w:val="605E5C"/>
      <w:shd w:val="clear" w:color="auto" w:fill="E1DFDD"/>
    </w:rPr>
  </w:style>
  <w:style w:type="paragraph" w:styleId="Revision">
    <w:name w:val="Revision"/>
    <w:hidden/>
    <w:uiPriority w:val="99"/>
    <w:semiHidden/>
    <w:rsid w:val="00A33185"/>
    <w:rPr>
      <w:sz w:val="24"/>
      <w:szCs w:val="24"/>
    </w:rPr>
  </w:style>
  <w:style w:type="character" w:styleId="FollowedHyperlink">
    <w:name w:val="FollowedHyperlink"/>
    <w:basedOn w:val="DefaultParagraphFont"/>
    <w:rsid w:val="00770286"/>
    <w:rPr>
      <w:color w:val="954F72" w:themeColor="followedHyperlink"/>
      <w:u w:val="single"/>
    </w:rPr>
  </w:style>
  <w:style w:type="paragraph" w:styleId="FootnoteText">
    <w:name w:val="footnote text"/>
    <w:basedOn w:val="Normal"/>
    <w:link w:val="FootnoteTextChar"/>
    <w:uiPriority w:val="99"/>
    <w:rsid w:val="004F43D4"/>
    <w:rPr>
      <w:rFonts w:ascii="Times New Roman" w:eastAsia="Times New Roman" w:hAnsi="Times New Roman" w:cs="Times New Roman"/>
      <w:sz w:val="20"/>
      <w:szCs w:val="20"/>
      <w14:ligatures w14:val="none"/>
    </w:rPr>
  </w:style>
  <w:style w:type="character" w:customStyle="1" w:styleId="FootnoteTextChar">
    <w:name w:val="Footnote Text Char"/>
    <w:basedOn w:val="DefaultParagraphFont"/>
    <w:link w:val="FootnoteText"/>
    <w:uiPriority w:val="99"/>
    <w:rsid w:val="004F43D4"/>
  </w:style>
  <w:style w:type="character" w:styleId="FootnoteReference">
    <w:name w:val="footnote reference"/>
    <w:basedOn w:val="DefaultParagraphFont"/>
    <w:rsid w:val="004F43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1433">
      <w:bodyDiv w:val="1"/>
      <w:marLeft w:val="0"/>
      <w:marRight w:val="0"/>
      <w:marTop w:val="0"/>
      <w:marBottom w:val="0"/>
      <w:divBdr>
        <w:top w:val="none" w:sz="0" w:space="0" w:color="auto"/>
        <w:left w:val="none" w:sz="0" w:space="0" w:color="auto"/>
        <w:bottom w:val="none" w:sz="0" w:space="0" w:color="auto"/>
        <w:right w:val="none" w:sz="0" w:space="0" w:color="auto"/>
      </w:divBdr>
    </w:div>
    <w:div w:id="567690919">
      <w:bodyDiv w:val="1"/>
      <w:marLeft w:val="0"/>
      <w:marRight w:val="0"/>
      <w:marTop w:val="0"/>
      <w:marBottom w:val="0"/>
      <w:divBdr>
        <w:top w:val="none" w:sz="0" w:space="0" w:color="auto"/>
        <w:left w:val="none" w:sz="0" w:space="0" w:color="auto"/>
        <w:bottom w:val="none" w:sz="0" w:space="0" w:color="auto"/>
        <w:right w:val="none" w:sz="0" w:space="0" w:color="auto"/>
      </w:divBdr>
    </w:div>
    <w:div w:id="911814204">
      <w:bodyDiv w:val="1"/>
      <w:marLeft w:val="0"/>
      <w:marRight w:val="0"/>
      <w:marTop w:val="0"/>
      <w:marBottom w:val="0"/>
      <w:divBdr>
        <w:top w:val="none" w:sz="0" w:space="0" w:color="auto"/>
        <w:left w:val="none" w:sz="0" w:space="0" w:color="auto"/>
        <w:bottom w:val="none" w:sz="0" w:space="0" w:color="auto"/>
        <w:right w:val="none" w:sz="0" w:space="0" w:color="auto"/>
      </w:divBdr>
    </w:div>
    <w:div w:id="1197812873">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9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dd.messer@power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EA9C6-F5D0-483C-8B02-CA2B86E8F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CharactersWithSpaces>
  <SharedDoc>false</SharedDoc>
  <HLinks>
    <vt:vector size="6" baseType="variant">
      <vt:variant>
        <vt:i4>5832830</vt:i4>
      </vt:variant>
      <vt:variant>
        <vt:i4>0</vt:i4>
      </vt:variant>
      <vt:variant>
        <vt:i4>0</vt:i4>
      </vt:variant>
      <vt:variant>
        <vt:i4>5</vt:i4>
      </vt:variant>
      <vt:variant>
        <vt:lpwstr>mailto:jcarpenter@tnsk.com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2023-11-01T02:26:00Z</dcterms:created>
  <dcterms:modified xsi:type="dcterms:W3CDTF">2023-11-01T02:26:00Z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2023-11-01T02:12:01Z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6054130c-0c84-4982-b846-73bd37541dd8</vt:lpwstr>
  </property>
  <property fmtid="{D5CDD505-2E9C-101B-9397-08002B2CF9AE}" pid="8" name="MSIP_Label_7084cbda-52b8-46fb-a7b7-cb5bd465ed85_ContentBits">
    <vt:lpwstr>0</vt:lpwstr>
  </property>
</Properties>
</file>